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2CB2" w14:textId="7965CF51" w:rsidR="000D75D0" w:rsidRDefault="003A4A47">
      <w:pPr>
        <w:rPr>
          <w:rStyle w:val="Hyperlink"/>
          <w:rFonts w:cs="Arial"/>
          <w:b/>
          <w:bCs/>
          <w:caps/>
          <w:noProof/>
          <w:color w:val="1F4E79" w:themeColor="accent1" w:themeShade="80"/>
          <w:kern w:val="20"/>
          <w:sz w:val="20"/>
          <w:szCs w:val="24"/>
          <w:u w:val="none"/>
        </w:rPr>
        <w:sectPr w:rsidR="000D75D0" w:rsidSect="000D75D0">
          <w:headerReference w:type="default" r:id="rId8"/>
          <w:headerReference w:type="first" r:id="rId9"/>
          <w:pgSz w:w="11906" w:h="16838" w:code="9"/>
          <w:pgMar w:top="0" w:right="0" w:bottom="0" w:left="0" w:header="0" w:footer="0" w:gutter="0"/>
          <w:cols w:space="708"/>
          <w:docGrid w:linePitch="360"/>
        </w:sectPr>
      </w:pPr>
      <w:bookmarkStart w:id="0" w:name="_Toc46770859"/>
      <w:bookmarkStart w:id="1" w:name="_Toc46507419"/>
      <w:bookmarkStart w:id="2" w:name="_Toc45113433"/>
      <w:bookmarkStart w:id="3" w:name="_Toc44694687"/>
      <w:r w:rsidRPr="003A4A47">
        <w:rPr>
          <w:noProof/>
          <w:lang w:eastAsia="pt-BR"/>
        </w:rPr>
        <w:drawing>
          <wp:inline distT="0" distB="0" distL="0" distR="0" wp14:anchorId="09BA8F5C" wp14:editId="1102B7E3">
            <wp:extent cx="7561028" cy="10684475"/>
            <wp:effectExtent l="0" t="0" r="1905" b="3175"/>
            <wp:docPr id="131" name="Imagem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586005" cy="10719770"/>
                    </a:xfrm>
                    <a:prstGeom prst="rect">
                      <a:avLst/>
                    </a:prstGeom>
                  </pic:spPr>
                </pic:pic>
              </a:graphicData>
            </a:graphic>
          </wp:inline>
        </w:drawing>
      </w:r>
    </w:p>
    <w:sdt>
      <w:sdtPr>
        <w:rPr>
          <w:rStyle w:val="Hyperlink"/>
          <w:rFonts w:eastAsiaTheme="minorHAnsi" w:cs="Arial"/>
          <w:b/>
          <w:bCs/>
          <w:caps/>
          <w:noProof/>
          <w:color w:val="1F4E79" w:themeColor="accent1" w:themeShade="80"/>
          <w:spacing w:val="0"/>
          <w:kern w:val="20"/>
          <w:sz w:val="20"/>
          <w:szCs w:val="24"/>
          <w:u w:val="none"/>
          <w:lang w:eastAsia="en-US"/>
        </w:rPr>
        <w:id w:val="1128744166"/>
        <w:docPartObj>
          <w:docPartGallery w:val="Table of Contents"/>
          <w:docPartUnique/>
        </w:docPartObj>
      </w:sdtPr>
      <w:sdtEndPr>
        <w:rPr>
          <w:rStyle w:val="Hyperlink"/>
          <w:b w:val="0"/>
          <w:bCs w:val="0"/>
          <w:caps w:val="0"/>
          <w:kern w:val="0"/>
          <w:sz w:val="18"/>
          <w:szCs w:val="18"/>
          <w:lang w:val="en-US"/>
        </w:rPr>
      </w:sdtEndPr>
      <w:sdtContent>
        <w:bookmarkEnd w:id="3" w:displacedByCustomXml="next"/>
        <w:bookmarkEnd w:id="2" w:displacedByCustomXml="next"/>
        <w:bookmarkEnd w:id="1" w:displacedByCustomXml="next"/>
        <w:bookmarkEnd w:id="0" w:displacedByCustomXml="next"/>
        <w:sdt>
          <w:sdtPr>
            <w:rPr>
              <w:rFonts w:eastAsiaTheme="minorEastAsia" w:cs="Arial"/>
              <w:b/>
              <w:bCs/>
              <w:caps/>
              <w:noProof/>
              <w:color w:val="1F4E79" w:themeColor="accent1" w:themeShade="80"/>
              <w:spacing w:val="0"/>
              <w:u w:val="single"/>
              <w:lang w:eastAsia="en-US"/>
            </w:rPr>
            <w:id w:val="-1836369859"/>
            <w:docPartObj>
              <w:docPartGallery w:val="Table of Contents"/>
              <w:docPartUnique/>
            </w:docPartObj>
          </w:sdtPr>
          <w:sdtEndPr>
            <w:rPr>
              <w:rFonts w:eastAsiaTheme="minorHAnsi"/>
              <w:color w:val="1F4E79"/>
            </w:rPr>
          </w:sdtEndPr>
          <w:sdtContent>
            <w:p w14:paraId="5EEADB20" w14:textId="473992C1" w:rsidR="003C725C" w:rsidRPr="00E00752" w:rsidRDefault="003C725C" w:rsidP="003C725C">
              <w:pPr>
                <w:pStyle w:val="05-Textonormal"/>
                <w:spacing w:before="0" w:after="0"/>
                <w:rPr>
                  <w:rFonts w:eastAsiaTheme="minorEastAsia" w:cs="Arial"/>
                  <w:b/>
                  <w:bCs/>
                  <w:caps/>
                  <w:noProof/>
                  <w:color w:val="1F4E79"/>
                </w:rPr>
              </w:pPr>
            </w:p>
            <w:p w14:paraId="72E5398E" w14:textId="625FF2B2" w:rsidR="003C725C" w:rsidRPr="00C74FB3" w:rsidRDefault="003C725C" w:rsidP="003C725C">
              <w:pPr>
                <w:pStyle w:val="05-Textonormal1"/>
                <w:jc w:val="center"/>
                <w:rPr>
                  <w:rStyle w:val="Hyperlink"/>
                  <w:rFonts w:eastAsiaTheme="minorHAnsi" w:cs="Arial"/>
                  <w:b/>
                  <w:bCs/>
                  <w:caps/>
                  <w:noProof/>
                  <w:color w:val="1F4E79" w:themeColor="accent1" w:themeShade="80"/>
                  <w:spacing w:val="0"/>
                  <w:u w:val="none"/>
                  <w:lang w:val="en-US" w:eastAsia="en-US"/>
                </w:rPr>
              </w:pPr>
              <w:r w:rsidRPr="00C74FB3">
                <w:rPr>
                  <w:rStyle w:val="Hyperlink"/>
                  <w:rFonts w:eastAsiaTheme="minorHAnsi" w:cs="Arial"/>
                  <w:b/>
                  <w:bCs/>
                  <w:caps/>
                  <w:noProof/>
                  <w:color w:val="1F4E79" w:themeColor="accent1" w:themeShade="80"/>
                  <w:spacing w:val="0"/>
                  <w:u w:val="none"/>
                  <w:lang w:val="en-US" w:eastAsia="en-US"/>
                </w:rPr>
                <w:t>iNDex</w:t>
              </w:r>
            </w:p>
            <w:p w14:paraId="0B9E4F89" w14:textId="70C7A169"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MANAGEMENT COMMENTS ON PERFORMACE</w:t>
              </w:r>
              <w:r w:rsidRPr="00C74FB3">
                <w:rPr>
                  <w:webHidden/>
                  <w:lang w:val="en-US"/>
                </w:rPr>
                <w:tab/>
              </w:r>
              <w:r w:rsidR="00C35EEA" w:rsidRPr="00C74FB3">
                <w:rPr>
                  <w:webHidden/>
                  <w:lang w:val="en-US"/>
                </w:rPr>
                <w:t>1</w:t>
              </w:r>
            </w:p>
            <w:p w14:paraId="535DEED8" w14:textId="47EECDF2"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STATEMENT OF INCOME</w:t>
              </w:r>
              <w:r w:rsidRPr="00C74FB3">
                <w:rPr>
                  <w:webHidden/>
                  <w:lang w:val="en-US"/>
                </w:rPr>
                <w:tab/>
              </w:r>
              <w:r w:rsidR="00C35EEA" w:rsidRPr="00C74FB3">
                <w:rPr>
                  <w:webHidden/>
                  <w:lang w:val="en-US"/>
                </w:rPr>
                <w:t>19</w:t>
              </w:r>
            </w:p>
            <w:p w14:paraId="55A0B786" w14:textId="6C55B47C"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STATEMENT OF COMPREHENSIVE INCOME</w:t>
              </w:r>
              <w:r w:rsidRPr="00C74FB3">
                <w:rPr>
                  <w:webHidden/>
                  <w:lang w:val="en-US"/>
                </w:rPr>
                <w:tab/>
              </w:r>
              <w:r w:rsidR="00C35EEA" w:rsidRPr="00C74FB3">
                <w:rPr>
                  <w:webHidden/>
                  <w:lang w:val="en-US"/>
                </w:rPr>
                <w:t>19</w:t>
              </w:r>
            </w:p>
            <w:p w14:paraId="11AD6E78" w14:textId="73C87C77"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BALANCE SHEET</w:t>
              </w:r>
              <w:r w:rsidRPr="00C74FB3">
                <w:rPr>
                  <w:webHidden/>
                  <w:lang w:val="en-US"/>
                </w:rPr>
                <w:tab/>
              </w:r>
              <w:r w:rsidR="00C35EEA" w:rsidRPr="00C74FB3">
                <w:rPr>
                  <w:webHidden/>
                  <w:lang w:val="en-US"/>
                </w:rPr>
                <w:t>20</w:t>
              </w:r>
            </w:p>
            <w:p w14:paraId="45739C74" w14:textId="3B1A7DA9"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STATEMENT OF CASH FLOWS</w:t>
              </w:r>
              <w:r w:rsidRPr="00C74FB3">
                <w:rPr>
                  <w:webHidden/>
                  <w:lang w:val="en-US"/>
                </w:rPr>
                <w:tab/>
              </w:r>
              <w:r w:rsidR="00C35EEA" w:rsidRPr="00C74FB3">
                <w:rPr>
                  <w:webHidden/>
                  <w:lang w:val="en-US"/>
                </w:rPr>
                <w:t>21</w:t>
              </w:r>
            </w:p>
            <w:p w14:paraId="7F45E414" w14:textId="442D54BE"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STATEMENT OF CHANGES IN EQUITY</w:t>
              </w:r>
              <w:r w:rsidRPr="00C74FB3">
                <w:rPr>
                  <w:webHidden/>
                  <w:lang w:val="en-US"/>
                </w:rPr>
                <w:tab/>
              </w:r>
              <w:r w:rsidR="00C35EEA" w:rsidRPr="00C74FB3">
                <w:rPr>
                  <w:webHidden/>
                  <w:lang w:val="en-US"/>
                </w:rPr>
                <w:t>22</w:t>
              </w:r>
            </w:p>
            <w:p w14:paraId="374BE095" w14:textId="46D497B5"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STATEMENT OF VALUE ADDED</w:t>
              </w:r>
              <w:r w:rsidRPr="00C74FB3">
                <w:rPr>
                  <w:webHidden/>
                  <w:lang w:val="en-US"/>
                </w:rPr>
                <w:tab/>
              </w:r>
              <w:r w:rsidR="00C35EEA" w:rsidRPr="00C74FB3">
                <w:rPr>
                  <w:webHidden/>
                  <w:lang w:val="en-US"/>
                </w:rPr>
                <w:t>23</w:t>
              </w:r>
            </w:p>
            <w:p w14:paraId="74F37DC8" w14:textId="4151BC75"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EXPLANATORY NOTES TO THE FINANCIAL STATEMENTS</w:t>
              </w:r>
              <w:r w:rsidRPr="00C74FB3">
                <w:rPr>
                  <w:webHidden/>
                  <w:lang w:val="en-US"/>
                </w:rPr>
                <w:tab/>
              </w:r>
              <w:r w:rsidR="00C35EEA" w:rsidRPr="00C74FB3">
                <w:rPr>
                  <w:webHidden/>
                  <w:lang w:val="en-US"/>
                </w:rPr>
                <w:t>24</w:t>
              </w:r>
            </w:p>
            <w:p w14:paraId="3C2D50B3" w14:textId="7CB63BB1"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1 - OPERATIONAL CONTEXT</w:t>
              </w:r>
              <w:r w:rsidRPr="00C74FB3">
                <w:rPr>
                  <w:webHidden/>
                  <w:lang w:val="en-US"/>
                </w:rPr>
                <w:tab/>
              </w:r>
              <w:r w:rsidR="00C35EEA" w:rsidRPr="00C74FB3">
                <w:rPr>
                  <w:webHidden/>
                  <w:lang w:val="en-US"/>
                </w:rPr>
                <w:t>24</w:t>
              </w:r>
            </w:p>
            <w:p w14:paraId="317DC45C" w14:textId="0BFED064"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2 – ACQUISITIONS, DISPOSALS AND CORPORATE RESTRUCTURINGS</w:t>
              </w:r>
              <w:r w:rsidRPr="00C74FB3">
                <w:rPr>
                  <w:webHidden/>
                  <w:lang w:val="en-US"/>
                </w:rPr>
                <w:tab/>
              </w:r>
              <w:r w:rsidR="00C35EEA" w:rsidRPr="00C74FB3">
                <w:rPr>
                  <w:webHidden/>
                  <w:lang w:val="en-US"/>
                </w:rPr>
                <w:t>25</w:t>
              </w:r>
            </w:p>
            <w:p w14:paraId="40E2D563" w14:textId="3E13C6E6"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3 – PRESENTATION OF FINANCIAL STATEMENTS</w:t>
              </w:r>
              <w:r w:rsidRPr="00C74FB3">
                <w:rPr>
                  <w:webHidden/>
                  <w:lang w:val="en-US"/>
                </w:rPr>
                <w:tab/>
              </w:r>
              <w:r w:rsidR="00C35EEA" w:rsidRPr="00C74FB3">
                <w:rPr>
                  <w:webHidden/>
                  <w:lang w:val="en-US"/>
                </w:rPr>
                <w:t>26</w:t>
              </w:r>
            </w:p>
            <w:p w14:paraId="59211A3E" w14:textId="028626B8"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4 – DESCRIPTION OF KEY ACCOUNTING POLICIES</w:t>
              </w:r>
              <w:r w:rsidRPr="00C74FB3">
                <w:rPr>
                  <w:webHidden/>
                  <w:lang w:val="en-US"/>
                </w:rPr>
                <w:tab/>
              </w:r>
              <w:r w:rsidR="00C35EEA" w:rsidRPr="00C74FB3">
                <w:rPr>
                  <w:webHidden/>
                  <w:lang w:val="en-US"/>
                </w:rPr>
                <w:t>29</w:t>
              </w:r>
            </w:p>
            <w:p w14:paraId="65F8B036" w14:textId="2C456EEA"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5 – RISK MANAGEMENT</w:t>
              </w:r>
              <w:r w:rsidRPr="00C74FB3">
                <w:rPr>
                  <w:webHidden/>
                  <w:lang w:val="en-US"/>
                </w:rPr>
                <w:tab/>
              </w:r>
              <w:r w:rsidR="00C35EEA" w:rsidRPr="00C74FB3">
                <w:rPr>
                  <w:webHidden/>
                  <w:lang w:val="en-US"/>
                </w:rPr>
                <w:t>36</w:t>
              </w:r>
            </w:p>
            <w:p w14:paraId="108CF2D8" w14:textId="76997783"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6 – SEGMENT INFORMATION</w:t>
              </w:r>
              <w:r w:rsidRPr="00C74FB3">
                <w:rPr>
                  <w:webHidden/>
                  <w:lang w:val="en-US"/>
                </w:rPr>
                <w:tab/>
              </w:r>
              <w:r w:rsidR="00C35EEA" w:rsidRPr="00C74FB3">
                <w:rPr>
                  <w:webHidden/>
                  <w:lang w:val="en-US"/>
                </w:rPr>
                <w:t>39</w:t>
              </w:r>
            </w:p>
            <w:p w14:paraId="0A4CF92D" w14:textId="062BAB0F"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7 - INVESTMENTS IN ASSOCIATES</w:t>
              </w:r>
              <w:r w:rsidRPr="00C74FB3">
                <w:rPr>
                  <w:webHidden/>
                  <w:lang w:val="en-US"/>
                </w:rPr>
                <w:tab/>
              </w:r>
              <w:r w:rsidR="00C35EEA" w:rsidRPr="00C74FB3">
                <w:rPr>
                  <w:webHidden/>
                  <w:lang w:val="en-US"/>
                </w:rPr>
                <w:t>42</w:t>
              </w:r>
            </w:p>
            <w:p w14:paraId="45FFE95F" w14:textId="2601F6C3"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8 – COMMISSIONS INCOME</w:t>
              </w:r>
              <w:r w:rsidRPr="00C74FB3">
                <w:rPr>
                  <w:webHidden/>
                  <w:lang w:val="en-US"/>
                </w:rPr>
                <w:tab/>
              </w:r>
              <w:r w:rsidR="00C35EEA" w:rsidRPr="00C74FB3">
                <w:rPr>
                  <w:webHidden/>
                  <w:lang w:val="en-US"/>
                </w:rPr>
                <w:t>50</w:t>
              </w:r>
            </w:p>
            <w:p w14:paraId="05A8B9EE" w14:textId="71FBCCA7"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9 – COSTS OF SERVICES PROVIDED</w:t>
              </w:r>
              <w:r w:rsidRPr="00C74FB3">
                <w:rPr>
                  <w:webHidden/>
                  <w:lang w:val="en-US"/>
                </w:rPr>
                <w:tab/>
              </w:r>
              <w:r w:rsidR="00C35EEA" w:rsidRPr="00C74FB3">
                <w:rPr>
                  <w:webHidden/>
                  <w:lang w:val="en-US"/>
                </w:rPr>
                <w:t>51</w:t>
              </w:r>
            </w:p>
            <w:p w14:paraId="34F19FD3" w14:textId="6371A73D"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10 – PERSONNEL EXPENSES</w:t>
              </w:r>
              <w:r w:rsidRPr="00C74FB3">
                <w:rPr>
                  <w:webHidden/>
                  <w:lang w:val="en-US"/>
                </w:rPr>
                <w:tab/>
              </w:r>
              <w:r w:rsidR="00C35EEA" w:rsidRPr="00C74FB3">
                <w:rPr>
                  <w:webHidden/>
                  <w:lang w:val="en-US"/>
                </w:rPr>
                <w:t>51</w:t>
              </w:r>
            </w:p>
            <w:p w14:paraId="348D3C9E" w14:textId="1827706D"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11 – ADMINISTRATIVE EXPENSES AND SALES</w:t>
              </w:r>
              <w:r w:rsidRPr="00C74FB3">
                <w:rPr>
                  <w:webHidden/>
                  <w:lang w:val="en-US"/>
                </w:rPr>
                <w:tab/>
              </w:r>
              <w:r w:rsidR="00C35EEA" w:rsidRPr="00C74FB3">
                <w:rPr>
                  <w:webHidden/>
                  <w:lang w:val="en-US"/>
                </w:rPr>
                <w:t>51</w:t>
              </w:r>
            </w:p>
            <w:p w14:paraId="295B4082" w14:textId="13045D52"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12 – TAXES</w:t>
              </w:r>
              <w:r w:rsidRPr="00C74FB3">
                <w:rPr>
                  <w:webHidden/>
                  <w:lang w:val="en-US"/>
                </w:rPr>
                <w:tab/>
              </w:r>
              <w:r w:rsidR="00C35EEA" w:rsidRPr="00C74FB3">
                <w:rPr>
                  <w:webHidden/>
                  <w:lang w:val="en-US"/>
                </w:rPr>
                <w:t>51</w:t>
              </w:r>
            </w:p>
            <w:p w14:paraId="2CC67D2A" w14:textId="48402CE3"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13 – OTHER INCOME AND EXPENSE</w:t>
              </w:r>
              <w:r w:rsidRPr="00C74FB3">
                <w:rPr>
                  <w:webHidden/>
                  <w:lang w:val="en-US"/>
                </w:rPr>
                <w:tab/>
              </w:r>
              <w:r w:rsidR="00C35EEA" w:rsidRPr="00C74FB3">
                <w:rPr>
                  <w:webHidden/>
                  <w:lang w:val="en-US"/>
                </w:rPr>
                <w:t>53</w:t>
              </w:r>
            </w:p>
            <w:p w14:paraId="55BC881A" w14:textId="2403DE20"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14 – FINANCIAL RESULT</w:t>
              </w:r>
              <w:r w:rsidRPr="00C74FB3">
                <w:rPr>
                  <w:webHidden/>
                  <w:lang w:val="en-US"/>
                </w:rPr>
                <w:tab/>
              </w:r>
              <w:r w:rsidR="00C35EEA" w:rsidRPr="00C74FB3">
                <w:rPr>
                  <w:webHidden/>
                  <w:lang w:val="en-US"/>
                </w:rPr>
                <w:t>54</w:t>
              </w:r>
            </w:p>
            <w:p w14:paraId="3CBE311A" w14:textId="4DD09DA5"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15 – CASH AND CASH EQUIVALENTS</w:t>
              </w:r>
              <w:r w:rsidRPr="00C74FB3">
                <w:rPr>
                  <w:webHidden/>
                  <w:lang w:val="en-US"/>
                </w:rPr>
                <w:tab/>
              </w:r>
              <w:r w:rsidR="00C35EEA" w:rsidRPr="00C74FB3">
                <w:rPr>
                  <w:webHidden/>
                  <w:lang w:val="en-US"/>
                </w:rPr>
                <w:t>54</w:t>
              </w:r>
            </w:p>
            <w:p w14:paraId="676E7C3F" w14:textId="2790D8C5"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16 – FINANCIAL INSTRUMENTS</w:t>
              </w:r>
              <w:r w:rsidRPr="00C74FB3">
                <w:rPr>
                  <w:webHidden/>
                  <w:lang w:val="en-US"/>
                </w:rPr>
                <w:tab/>
              </w:r>
              <w:r w:rsidR="00C35EEA" w:rsidRPr="00C74FB3">
                <w:rPr>
                  <w:webHidden/>
                  <w:lang w:val="en-US"/>
                </w:rPr>
                <w:t>54</w:t>
              </w:r>
            </w:p>
            <w:p w14:paraId="14A179DF" w14:textId="1E27A01F"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17 – DIVIDENDS / INTEREST ON EQUITY CAPITAL RECEIVABLE</w:t>
              </w:r>
              <w:r w:rsidRPr="00C74FB3">
                <w:rPr>
                  <w:webHidden/>
                  <w:lang w:val="en-US"/>
                </w:rPr>
                <w:tab/>
              </w:r>
              <w:r w:rsidR="00C35EEA" w:rsidRPr="00C74FB3">
                <w:rPr>
                  <w:webHidden/>
                  <w:lang w:val="en-US"/>
                </w:rPr>
                <w:t>55</w:t>
              </w:r>
            </w:p>
            <w:p w14:paraId="11CD1297" w14:textId="010C71B8"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18 – COMMISSIONS RECEIVABLE</w:t>
              </w:r>
              <w:r w:rsidRPr="00C74FB3">
                <w:rPr>
                  <w:webHidden/>
                  <w:lang w:val="en-US"/>
                </w:rPr>
                <w:tab/>
              </w:r>
              <w:r w:rsidR="00C35EEA" w:rsidRPr="00C74FB3">
                <w:rPr>
                  <w:webHidden/>
                  <w:lang w:val="en-US"/>
                </w:rPr>
                <w:t>55</w:t>
              </w:r>
            </w:p>
            <w:p w14:paraId="034EF5A3" w14:textId="7BC26B3B"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19 – INTANGIBLE ASSET</w:t>
              </w:r>
              <w:r w:rsidRPr="00C74FB3">
                <w:rPr>
                  <w:webHidden/>
                  <w:lang w:val="en-US"/>
                </w:rPr>
                <w:tab/>
              </w:r>
              <w:r w:rsidR="00C35EEA" w:rsidRPr="00C74FB3">
                <w:rPr>
                  <w:webHidden/>
                  <w:lang w:val="en-US"/>
                </w:rPr>
                <w:t>56</w:t>
              </w:r>
            </w:p>
            <w:p w14:paraId="07322C56" w14:textId="0B7B0ED5"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20 – OTHER ASSETS</w:t>
              </w:r>
              <w:r w:rsidRPr="00C74FB3">
                <w:rPr>
                  <w:webHidden/>
                  <w:lang w:val="en-US"/>
                </w:rPr>
                <w:tab/>
              </w:r>
              <w:r w:rsidR="00C35EEA" w:rsidRPr="00C74FB3">
                <w:rPr>
                  <w:webHidden/>
                  <w:lang w:val="en-US"/>
                </w:rPr>
                <w:t>56</w:t>
              </w:r>
            </w:p>
            <w:p w14:paraId="2ADB829D" w14:textId="52A45F1F"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21 – CORPORATE AND STATUTORY OBLIGATIONS</w:t>
              </w:r>
              <w:r w:rsidRPr="00C74FB3">
                <w:rPr>
                  <w:webHidden/>
                  <w:lang w:val="en-US"/>
                </w:rPr>
                <w:tab/>
              </w:r>
              <w:r w:rsidR="00C35EEA" w:rsidRPr="00C74FB3">
                <w:rPr>
                  <w:webHidden/>
                  <w:lang w:val="en-US"/>
                </w:rPr>
                <w:t>56</w:t>
              </w:r>
            </w:p>
            <w:p w14:paraId="422E8151" w14:textId="3A60890F"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22 – PROVISIONS AND CONTINGENT LIABILITIES</w:t>
              </w:r>
              <w:r w:rsidRPr="00C74FB3">
                <w:rPr>
                  <w:webHidden/>
                  <w:lang w:val="en-US"/>
                </w:rPr>
                <w:tab/>
              </w:r>
              <w:r w:rsidR="00C35EEA" w:rsidRPr="00C74FB3">
                <w:rPr>
                  <w:webHidden/>
                  <w:lang w:val="en-US"/>
                </w:rPr>
                <w:t>57</w:t>
              </w:r>
            </w:p>
            <w:p w14:paraId="0D23C52D" w14:textId="5B1FB55C"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23 – UNEARDED COMMISSIONS</w:t>
              </w:r>
              <w:r w:rsidRPr="00C74FB3">
                <w:rPr>
                  <w:webHidden/>
                  <w:lang w:val="en-US"/>
                </w:rPr>
                <w:tab/>
              </w:r>
              <w:r w:rsidR="00C35EEA" w:rsidRPr="00C74FB3">
                <w:rPr>
                  <w:webHidden/>
                  <w:lang w:val="en-US"/>
                </w:rPr>
                <w:t>59</w:t>
              </w:r>
            </w:p>
            <w:p w14:paraId="305008BE" w14:textId="50E2DE4B"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24 – OTHER LIABILITIES</w:t>
              </w:r>
              <w:r w:rsidRPr="00C74FB3">
                <w:rPr>
                  <w:webHidden/>
                  <w:lang w:val="en-US"/>
                </w:rPr>
                <w:tab/>
              </w:r>
              <w:r w:rsidR="00C35EEA" w:rsidRPr="00C74FB3">
                <w:rPr>
                  <w:webHidden/>
                  <w:lang w:val="en-US"/>
                </w:rPr>
                <w:t>60</w:t>
              </w:r>
            </w:p>
            <w:p w14:paraId="096C401C" w14:textId="68D2EFB7"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25 – EQUITY</w:t>
              </w:r>
              <w:r w:rsidRPr="00C74FB3">
                <w:rPr>
                  <w:webHidden/>
                  <w:lang w:val="en-US"/>
                </w:rPr>
                <w:tab/>
              </w:r>
              <w:r w:rsidR="00C35EEA" w:rsidRPr="00C74FB3">
                <w:rPr>
                  <w:webHidden/>
                  <w:lang w:val="en-US"/>
                </w:rPr>
                <w:t>60</w:t>
              </w:r>
            </w:p>
            <w:p w14:paraId="18E438E8" w14:textId="11EB7A93"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26 – RELATED PARTY TRANSACTIONS</w:t>
              </w:r>
              <w:r w:rsidRPr="00C74FB3">
                <w:rPr>
                  <w:webHidden/>
                  <w:lang w:val="en-US"/>
                </w:rPr>
                <w:tab/>
              </w:r>
              <w:r w:rsidR="00C35EEA" w:rsidRPr="00C74FB3">
                <w:rPr>
                  <w:webHidden/>
                  <w:lang w:val="en-US"/>
                </w:rPr>
                <w:t>63</w:t>
              </w:r>
            </w:p>
            <w:p w14:paraId="0667E1BE" w14:textId="6C6E8F11" w:rsidR="00FC4475" w:rsidRPr="00C74FB3" w:rsidRDefault="00FC4475">
              <w:pPr>
                <w:pStyle w:val="Sumrio1"/>
                <w:rPr>
                  <w:rFonts w:asciiTheme="minorHAnsi" w:eastAsiaTheme="minorEastAsia" w:hAnsiTheme="minorHAnsi" w:cstheme="minorBidi"/>
                  <w:b w:val="0"/>
                  <w:bCs w:val="0"/>
                  <w:caps w:val="0"/>
                  <w:color w:val="auto"/>
                  <w:sz w:val="22"/>
                  <w:szCs w:val="22"/>
                  <w:lang w:val="en-US" w:eastAsia="pt-BR"/>
                </w:rPr>
              </w:pPr>
              <w:r w:rsidRPr="00C74FB3">
                <w:rPr>
                  <w:lang w:val="en-US"/>
                </w:rPr>
                <w:t>27 - OTHER INFORMATION</w:t>
              </w:r>
              <w:r w:rsidRPr="00C74FB3">
                <w:rPr>
                  <w:webHidden/>
                  <w:lang w:val="en-US"/>
                </w:rPr>
                <w:tab/>
              </w:r>
              <w:r w:rsidR="00C35EEA" w:rsidRPr="00C74FB3">
                <w:rPr>
                  <w:webHidden/>
                  <w:lang w:val="en-US"/>
                </w:rPr>
                <w:t>66</w:t>
              </w:r>
            </w:p>
            <w:p w14:paraId="6D213385" w14:textId="7A56D8C9" w:rsidR="00FC4475" w:rsidRPr="00FC4475" w:rsidRDefault="00FC4475" w:rsidP="00FC4475">
              <w:pPr>
                <w:pStyle w:val="Sumrio1"/>
                <w:rPr>
                  <w:caps w:val="0"/>
                  <w:color w:val="1F4E79" w:themeColor="accent1" w:themeShade="80"/>
                  <w:lang w:val="en-US"/>
                </w:rPr>
              </w:pPr>
              <w:r w:rsidRPr="00FC4475">
                <w:rPr>
                  <w:caps w:val="0"/>
                  <w:color w:val="1F4E79" w:themeColor="accent1" w:themeShade="80"/>
                  <w:lang w:val="en-US"/>
                </w:rPr>
                <w:t>REPORT OF INDEPENDENT AUDITORS FOR FINANCIAL STATEMENTS</w:t>
              </w:r>
            </w:p>
            <w:p w14:paraId="2DC27898" w14:textId="77777777" w:rsidR="00FC4475" w:rsidRPr="00FC4475" w:rsidRDefault="00FC4475" w:rsidP="00FC4475">
              <w:pPr>
                <w:pStyle w:val="Sumrio1"/>
                <w:rPr>
                  <w:caps w:val="0"/>
                  <w:color w:val="1F4E79" w:themeColor="accent1" w:themeShade="80"/>
                  <w:lang w:val="en-US"/>
                </w:rPr>
              </w:pPr>
              <w:r w:rsidRPr="00FC4475">
                <w:rPr>
                  <w:caps w:val="0"/>
                  <w:color w:val="1F4E79" w:themeColor="accent1" w:themeShade="80"/>
                  <w:lang w:val="en-US"/>
                </w:rPr>
                <w:t>AUDIT COMMITTEE REPORT SUMMARY - FISCAL YEAR 2022</w:t>
              </w:r>
            </w:p>
            <w:p w14:paraId="18991BB0" w14:textId="77777777" w:rsidR="00FC4475" w:rsidRPr="00FC4475" w:rsidRDefault="00FC4475" w:rsidP="00FC4475">
              <w:pPr>
                <w:pStyle w:val="Sumrio1"/>
                <w:rPr>
                  <w:caps w:val="0"/>
                  <w:color w:val="1F4E79" w:themeColor="accent1" w:themeShade="80"/>
                  <w:lang w:val="en-US"/>
                </w:rPr>
              </w:pPr>
              <w:r w:rsidRPr="00FC4475">
                <w:rPr>
                  <w:caps w:val="0"/>
                  <w:color w:val="1F4E79" w:themeColor="accent1" w:themeShade="80"/>
                  <w:lang w:val="en-US"/>
                </w:rPr>
                <w:t>FISCAL COUNCIL REPORT</w:t>
              </w:r>
            </w:p>
            <w:p w14:paraId="44C7F8D1" w14:textId="77777777" w:rsidR="00FC4475" w:rsidRPr="00FC4475" w:rsidRDefault="00FC4475" w:rsidP="00FC4475">
              <w:pPr>
                <w:pStyle w:val="Sumrio1"/>
                <w:rPr>
                  <w:caps w:val="0"/>
                  <w:color w:val="1F4E79" w:themeColor="accent1" w:themeShade="80"/>
                  <w:lang w:val="en-US"/>
                </w:rPr>
              </w:pPr>
              <w:r w:rsidRPr="00FC4475">
                <w:rPr>
                  <w:caps w:val="0"/>
                  <w:color w:val="1F4E79" w:themeColor="accent1" w:themeShade="80"/>
                  <w:lang w:val="en-US"/>
                </w:rPr>
                <w:t>DECLARATION OF THE MEMBERS OF THE EXECUTIVE BOARD ABOUT THE FINANCIAL STATEMENTS</w:t>
              </w:r>
            </w:p>
            <w:p w14:paraId="46A14783" w14:textId="77777777" w:rsidR="00FC4475" w:rsidRPr="00FC4475" w:rsidRDefault="00FC4475" w:rsidP="00FC4475">
              <w:pPr>
                <w:pStyle w:val="Sumrio1"/>
                <w:rPr>
                  <w:caps w:val="0"/>
                  <w:color w:val="1F4E79" w:themeColor="accent1" w:themeShade="80"/>
                  <w:lang w:val="en-US"/>
                </w:rPr>
              </w:pPr>
              <w:r w:rsidRPr="00FC4475">
                <w:rPr>
                  <w:caps w:val="0"/>
                  <w:color w:val="1F4E79" w:themeColor="accent1" w:themeShade="80"/>
                  <w:lang w:val="en-US"/>
                </w:rPr>
                <w:t>STATEMENT OF THE MEMBERS OF THE EXECUTIVE BOARD ON THE REPORT OF THE INDEPENDENT AUDITORS</w:t>
              </w:r>
            </w:p>
            <w:p w14:paraId="704DE7D3" w14:textId="63B85891" w:rsidR="003C725C" w:rsidRPr="00FC4475" w:rsidRDefault="00FC4475" w:rsidP="001A2EC3">
              <w:pPr>
                <w:pStyle w:val="Sumrio1"/>
                <w:rPr>
                  <w:caps w:val="0"/>
                  <w:color w:val="1F4E79" w:themeColor="accent1" w:themeShade="80"/>
                  <w:lang w:val="en-US"/>
                </w:rPr>
              </w:pPr>
              <w:r w:rsidRPr="00FC4475">
                <w:rPr>
                  <w:caps w:val="0"/>
                  <w:color w:val="1F4E79" w:themeColor="accent1" w:themeShade="80"/>
                  <w:lang w:val="en-US"/>
                </w:rPr>
                <w:t>MEMBERS OF THE MANAGEMENT BODIES</w:t>
              </w:r>
            </w:p>
          </w:sdtContent>
        </w:sdt>
      </w:sdtContent>
    </w:sdt>
    <w:p w14:paraId="2C6E771A" w14:textId="77777777" w:rsidR="00572AC0" w:rsidRPr="00C72009" w:rsidRDefault="00572AC0" w:rsidP="00F0356E">
      <w:pPr>
        <w:pStyle w:val="Body"/>
        <w:spacing w:after="120" w:line="240" w:lineRule="auto"/>
        <w:jc w:val="left"/>
        <w:rPr>
          <w:rFonts w:cs="Arial"/>
          <w:lang w:val="en-US" w:eastAsia="pt-BR"/>
        </w:rPr>
      </w:pPr>
    </w:p>
    <w:p w14:paraId="62D805EC" w14:textId="77777777" w:rsidR="00F81992" w:rsidRPr="00C72009" w:rsidRDefault="00F81992" w:rsidP="002D71EB">
      <w:pPr>
        <w:tabs>
          <w:tab w:val="left" w:pos="6495"/>
        </w:tabs>
        <w:rPr>
          <w:rFonts w:cs="Arial"/>
          <w:lang w:val="en-US" w:eastAsia="pt-BR"/>
        </w:rPr>
        <w:sectPr w:rsidR="00F81992" w:rsidRPr="00C72009" w:rsidSect="00F81992">
          <w:headerReference w:type="default" r:id="rId11"/>
          <w:pgSz w:w="11906" w:h="16838" w:code="9"/>
          <w:pgMar w:top="1134" w:right="1134" w:bottom="851" w:left="1134" w:header="851" w:footer="284" w:gutter="0"/>
          <w:cols w:space="708"/>
          <w:docGrid w:linePitch="360"/>
        </w:sectPr>
      </w:pPr>
    </w:p>
    <w:p w14:paraId="501253EA" w14:textId="78C85A71" w:rsidR="005D05B7" w:rsidRPr="00D3472F" w:rsidRDefault="0042368D" w:rsidP="009D4210">
      <w:pPr>
        <w:pStyle w:val="02-TtulodeNota"/>
        <w:rPr>
          <w:color w:val="1F4E79" w:themeColor="accent1" w:themeShade="80"/>
          <w:lang w:val="en-US"/>
        </w:rPr>
      </w:pPr>
      <w:bookmarkStart w:id="4" w:name="_Toc110438594"/>
      <w:bookmarkStart w:id="5" w:name="_Toc126781084"/>
      <w:r w:rsidRPr="00D3472F">
        <w:rPr>
          <w:color w:val="1F4E79" w:themeColor="accent1" w:themeShade="80"/>
          <w:lang w:val="en-US"/>
        </w:rPr>
        <w:lastRenderedPageBreak/>
        <w:t>MANAGEMENT COMMENTS ON PERFORMACE</w:t>
      </w:r>
      <w:bookmarkEnd w:id="4"/>
      <w:bookmarkEnd w:id="5"/>
      <w:r w:rsidRPr="00D3472F">
        <w:rPr>
          <w:color w:val="1F4E79" w:themeColor="accent1" w:themeShade="80"/>
          <w:lang w:val="en-US"/>
        </w:rPr>
        <w:t xml:space="preserve"> </w:t>
      </w:r>
    </w:p>
    <w:p w14:paraId="1328BA6B" w14:textId="77777777" w:rsidR="005D05B7" w:rsidRDefault="005D05B7" w:rsidP="005D05B7">
      <w:pPr>
        <w:jc w:val="both"/>
        <w:rPr>
          <w:rFonts w:cs="Arial"/>
          <w:sz w:val="20"/>
          <w:szCs w:val="20"/>
          <w:lang w:val="en-US" w:eastAsia="pt-BR"/>
        </w:rPr>
      </w:pPr>
    </w:p>
    <w:p w14:paraId="28D88898" w14:textId="287077BB" w:rsidR="008C707F" w:rsidRPr="00776837" w:rsidRDefault="008C707F" w:rsidP="00C81A16">
      <w:pPr>
        <w:pStyle w:val="03-SubttulodeNota"/>
        <w:spacing w:line="276" w:lineRule="auto"/>
        <w:rPr>
          <w:color w:val="1F4E79" w:themeColor="accent1" w:themeShade="80"/>
          <w:lang w:val="en-US"/>
        </w:rPr>
      </w:pPr>
      <w:r>
        <w:rPr>
          <w:color w:val="1F4E79" w:themeColor="accent1" w:themeShade="80"/>
          <w:lang w:val="en-US"/>
        </w:rPr>
        <w:t xml:space="preserve">Dear </w:t>
      </w:r>
      <w:r w:rsidRPr="00776837">
        <w:rPr>
          <w:color w:val="1F4E79" w:themeColor="accent1" w:themeShade="80"/>
          <w:lang w:val="en-US"/>
        </w:rPr>
        <w:t xml:space="preserve">Shareholders, </w:t>
      </w:r>
      <w:r>
        <w:rPr>
          <w:color w:val="1F4E79" w:themeColor="accent1" w:themeShade="80"/>
          <w:lang w:val="en-US"/>
        </w:rPr>
        <w:t>Employees</w:t>
      </w:r>
      <w:r w:rsidRPr="00776837">
        <w:rPr>
          <w:color w:val="1F4E79" w:themeColor="accent1" w:themeShade="80"/>
          <w:lang w:val="en-US"/>
        </w:rPr>
        <w:t xml:space="preserve"> and Business Partners.</w:t>
      </w:r>
    </w:p>
    <w:p w14:paraId="15FCE4DF" w14:textId="77777777" w:rsidR="008C707F" w:rsidRPr="00776837" w:rsidRDefault="008C707F" w:rsidP="00C81A16">
      <w:pPr>
        <w:pStyle w:val="05-Textonormal"/>
        <w:rPr>
          <w:rFonts w:cs="Arial"/>
          <w:lang w:val="en-US"/>
        </w:rPr>
      </w:pPr>
      <w:r w:rsidRPr="00776837">
        <w:rPr>
          <w:rFonts w:cs="Arial"/>
          <w:lang w:val="en-US"/>
        </w:rPr>
        <w:t xml:space="preserve">We present the Annual Management Report of BB Seguridade Participações S.A. (“BB Seguridade” or “Company”) for the year 2022, in accordance with the requirements of the Brazilian Stock Corporations Act, the Securities and Exchange Commission (CVM) and its </w:t>
      </w:r>
      <w:r>
        <w:rPr>
          <w:rFonts w:cs="Arial"/>
          <w:lang w:val="en-US"/>
        </w:rPr>
        <w:t>Bylaws</w:t>
      </w:r>
      <w:r w:rsidRPr="00776837">
        <w:rPr>
          <w:rFonts w:cs="Arial"/>
          <w:lang w:val="en-US"/>
        </w:rPr>
        <w:t>.</w:t>
      </w:r>
    </w:p>
    <w:p w14:paraId="21E4F496" w14:textId="77777777" w:rsidR="008C707F" w:rsidRPr="00776837" w:rsidRDefault="008C707F" w:rsidP="00C81A16">
      <w:pPr>
        <w:pStyle w:val="05-Textonormal"/>
        <w:rPr>
          <w:rFonts w:cs="Arial"/>
          <w:lang w:val="en-US"/>
        </w:rPr>
      </w:pPr>
      <w:r w:rsidRPr="00776837">
        <w:rPr>
          <w:rFonts w:cs="Arial"/>
          <w:lang w:val="en-US"/>
        </w:rPr>
        <w:t>The consolidated financial statements were prepared in accordance with the International Financial Reporting Standards (IFRS).</w:t>
      </w:r>
    </w:p>
    <w:p w14:paraId="6787F375" w14:textId="77777777" w:rsidR="008C707F" w:rsidRPr="00776837" w:rsidRDefault="008C707F" w:rsidP="00C81A16">
      <w:pPr>
        <w:pStyle w:val="05-Textonormal"/>
        <w:rPr>
          <w:rFonts w:cs="Arial"/>
          <w:lang w:val="en-US"/>
        </w:rPr>
      </w:pPr>
      <w:r w:rsidRPr="00776837">
        <w:rPr>
          <w:rFonts w:cs="Arial"/>
          <w:lang w:val="en-US"/>
        </w:rPr>
        <w:t>It is noteworthy that this report presents accounting data of the companies invested in by BB Seguridade, which may differ from those disclosed by the affiliates, both due to differences in the financial reporting standards used and to the possible amortization of intangibles, deduction of results among affiliates, or due to other reasons. In this context, the net profit attributed to the investe</w:t>
      </w:r>
      <w:r>
        <w:rPr>
          <w:rFonts w:cs="Arial"/>
          <w:lang w:val="en-US"/>
        </w:rPr>
        <w:t>e</w:t>
      </w:r>
      <w:r w:rsidRPr="00776837">
        <w:rPr>
          <w:rFonts w:cs="Arial"/>
          <w:lang w:val="en-US"/>
        </w:rPr>
        <w:t xml:space="preserve"> companies reflects the results determined by the Company for each business segment, as per the Explanatory Note on Investments in Equity Interests.</w:t>
      </w:r>
    </w:p>
    <w:p w14:paraId="6593CEF4" w14:textId="77777777" w:rsidR="008C707F" w:rsidRPr="00776837" w:rsidRDefault="008C707F" w:rsidP="00C81A16">
      <w:pPr>
        <w:pStyle w:val="05-Textonormal"/>
        <w:rPr>
          <w:rFonts w:cs="Arial"/>
          <w:lang w:val="en-US"/>
        </w:rPr>
      </w:pPr>
      <w:r w:rsidRPr="00776837">
        <w:rPr>
          <w:rFonts w:cs="Arial"/>
          <w:lang w:val="en-US"/>
        </w:rPr>
        <w:t>Throughout this report, we will address the actions taken and results achieved in the year, as well as presenting the Company's strategic priorities.</w:t>
      </w:r>
    </w:p>
    <w:p w14:paraId="727765B7" w14:textId="77777777" w:rsidR="008C707F" w:rsidRPr="00776837" w:rsidRDefault="008C707F" w:rsidP="00C81A16">
      <w:pPr>
        <w:pStyle w:val="05-Textonormal"/>
        <w:rPr>
          <w:rFonts w:cs="Arial"/>
          <w:lang w:val="en-US"/>
        </w:rPr>
      </w:pPr>
    </w:p>
    <w:p w14:paraId="69862014" w14:textId="77777777" w:rsidR="008C707F" w:rsidRPr="00776837" w:rsidRDefault="008C707F" w:rsidP="008C707F">
      <w:pPr>
        <w:pStyle w:val="01-TtulodeNota"/>
        <w:numPr>
          <w:ilvl w:val="0"/>
          <w:numId w:val="44"/>
        </w:numPr>
        <w:ind w:left="357" w:hanging="357"/>
        <w:rPr>
          <w:color w:val="1F4E79" w:themeColor="accent1" w:themeShade="80"/>
          <w:lang w:val="en-US"/>
        </w:rPr>
      </w:pPr>
      <w:r w:rsidRPr="00776837">
        <w:rPr>
          <w:color w:val="1F4E79" w:themeColor="accent1" w:themeShade="80"/>
          <w:lang w:val="en-US"/>
        </w:rPr>
        <w:t>BUSINESS DESCRIPTION</w:t>
      </w:r>
    </w:p>
    <w:p w14:paraId="5989902E" w14:textId="77777777" w:rsidR="008C707F" w:rsidRPr="00776837" w:rsidRDefault="008C707F" w:rsidP="00C81A16">
      <w:pPr>
        <w:pStyle w:val="01-Textonormal"/>
        <w:rPr>
          <w:rFonts w:cs="Arial"/>
          <w:lang w:val="en-US"/>
        </w:rPr>
      </w:pPr>
      <w:r w:rsidRPr="00776837">
        <w:rPr>
          <w:rFonts w:cs="Arial"/>
          <w:lang w:val="en-US"/>
        </w:rPr>
        <w:t xml:space="preserve">BB Seguridade is a </w:t>
      </w:r>
      <w:r w:rsidRPr="00776837">
        <w:rPr>
          <w:rFonts w:cs="Arial"/>
          <w:i/>
          <w:lang w:val="en-US"/>
        </w:rPr>
        <w:t>holding company</w:t>
      </w:r>
      <w:r w:rsidRPr="00776837">
        <w:rPr>
          <w:rFonts w:cs="Arial"/>
          <w:lang w:val="en-US"/>
        </w:rPr>
        <w:t xml:space="preserve"> that concentrates its investments in the insurance, open pension, </w:t>
      </w:r>
      <w:r>
        <w:rPr>
          <w:rFonts w:cs="Arial"/>
          <w:lang w:val="en-US"/>
        </w:rPr>
        <w:t>premium bonds</w:t>
      </w:r>
      <w:r w:rsidRPr="00776837">
        <w:rPr>
          <w:rFonts w:cs="Arial"/>
          <w:lang w:val="en-US"/>
        </w:rPr>
        <w:t xml:space="preserve"> and dental care plans through private partnerships in companies </w:t>
      </w:r>
      <w:r>
        <w:rPr>
          <w:rFonts w:cs="Arial"/>
          <w:lang w:val="en-US"/>
        </w:rPr>
        <w:t>invested</w:t>
      </w:r>
      <w:r w:rsidRPr="00776837">
        <w:rPr>
          <w:rFonts w:cs="Arial"/>
          <w:lang w:val="en-US"/>
        </w:rPr>
        <w:t xml:space="preserve"> by its wholly owned subsidiary, BB Seguros Participações S.A. (“BB Seguros”), as well as in </w:t>
      </w:r>
      <w:r>
        <w:rPr>
          <w:rFonts w:cs="Arial"/>
          <w:lang w:val="en-US"/>
        </w:rPr>
        <w:t>the distribution of those</w:t>
      </w:r>
      <w:r w:rsidRPr="00776837">
        <w:rPr>
          <w:rFonts w:cs="Arial"/>
          <w:lang w:val="en-US"/>
        </w:rPr>
        <w:t xml:space="preserve"> products, highlighting its controlled company, BB Corretora de Seguros e Administradora de Bens S.A. (“BB Corretora”). </w:t>
      </w:r>
    </w:p>
    <w:p w14:paraId="0D6D2AA7" w14:textId="77777777" w:rsidR="008C707F" w:rsidRPr="00776837" w:rsidRDefault="008C707F" w:rsidP="00C81A16">
      <w:pPr>
        <w:pStyle w:val="01-Textonormal"/>
        <w:rPr>
          <w:rFonts w:cs="Arial"/>
          <w:lang w:val="en-US"/>
        </w:rPr>
      </w:pPr>
      <w:r w:rsidRPr="00776837">
        <w:rPr>
          <w:rFonts w:cs="Arial"/>
          <w:lang w:val="en-US"/>
        </w:rPr>
        <w:t xml:space="preserve">In the insurance segment, operations are carried out through a </w:t>
      </w:r>
      <w:r w:rsidRPr="00776837">
        <w:rPr>
          <w:rFonts w:cs="Arial"/>
          <w:i/>
          <w:lang w:val="en-US"/>
        </w:rPr>
        <w:t>joint venture</w:t>
      </w:r>
      <w:r w:rsidRPr="00776837">
        <w:rPr>
          <w:rFonts w:cs="Arial"/>
          <w:lang w:val="en-US"/>
        </w:rPr>
        <w:t xml:space="preserve"> with the Spanish group MAPFRE, </w:t>
      </w:r>
      <w:r>
        <w:rPr>
          <w:rFonts w:cs="Arial"/>
          <w:lang w:val="en-US"/>
        </w:rPr>
        <w:t xml:space="preserve">in a </w:t>
      </w:r>
      <w:r w:rsidRPr="00776837">
        <w:rPr>
          <w:rFonts w:cs="Arial"/>
          <w:lang w:val="en-US"/>
        </w:rPr>
        <w:t>20</w:t>
      </w:r>
      <w:r>
        <w:rPr>
          <w:rFonts w:cs="Arial"/>
          <w:lang w:val="en-US"/>
        </w:rPr>
        <w:t>-</w:t>
      </w:r>
      <w:r w:rsidRPr="00776837">
        <w:rPr>
          <w:rFonts w:cs="Arial"/>
          <w:lang w:val="en-US"/>
        </w:rPr>
        <w:t>years</w:t>
      </w:r>
      <w:r>
        <w:rPr>
          <w:rFonts w:cs="Arial"/>
          <w:lang w:val="en-US"/>
        </w:rPr>
        <w:t xml:space="preserve"> term agreement</w:t>
      </w:r>
      <w:r w:rsidRPr="00776837">
        <w:rPr>
          <w:rFonts w:cs="Arial"/>
          <w:lang w:val="en-US"/>
        </w:rPr>
        <w:t xml:space="preserve">, which began in 2011. This partnership is operated through two insurance companies: Brasilseg Companhia de Seguros S.A. and Aliança do Brasil Seguros S.A. (together, “Brasilseg”), focusing on the </w:t>
      </w:r>
      <w:r>
        <w:rPr>
          <w:rFonts w:cs="Arial"/>
          <w:lang w:val="en-US"/>
        </w:rPr>
        <w:t>life</w:t>
      </w:r>
      <w:r w:rsidRPr="00776837">
        <w:rPr>
          <w:rFonts w:cs="Arial"/>
          <w:lang w:val="en-US"/>
        </w:rPr>
        <w:t xml:space="preserve">, rural, </w:t>
      </w:r>
      <w:r>
        <w:rPr>
          <w:rFonts w:cs="Arial"/>
          <w:lang w:val="en-US"/>
        </w:rPr>
        <w:t>mortgage life</w:t>
      </w:r>
      <w:r w:rsidRPr="00776837">
        <w:rPr>
          <w:rFonts w:cs="Arial"/>
          <w:lang w:val="en-US"/>
        </w:rPr>
        <w:t xml:space="preserve">, </w:t>
      </w:r>
      <w:r>
        <w:rPr>
          <w:rFonts w:cs="Arial"/>
          <w:lang w:val="en-US"/>
        </w:rPr>
        <w:t>home</w:t>
      </w:r>
      <w:r w:rsidRPr="00776837">
        <w:rPr>
          <w:rFonts w:cs="Arial"/>
          <w:lang w:val="en-US"/>
        </w:rPr>
        <w:t>, business and other product segments.</w:t>
      </w:r>
    </w:p>
    <w:p w14:paraId="3009F866" w14:textId="77777777" w:rsidR="008C707F" w:rsidRPr="00776837" w:rsidRDefault="008C707F" w:rsidP="00C81A16">
      <w:pPr>
        <w:pStyle w:val="01-Textonormal"/>
        <w:rPr>
          <w:rFonts w:cs="Arial"/>
          <w:lang w:val="en-US"/>
        </w:rPr>
      </w:pPr>
      <w:r w:rsidRPr="00776837">
        <w:rPr>
          <w:rFonts w:cs="Arial"/>
          <w:lang w:val="en-US"/>
        </w:rPr>
        <w:t>In open pension plans, BB Seguridade operates together with the Principal Financial Group, through Brasilprev Seguros e Previdência S.A. (“Brasilprev”), in a partnership that will</w:t>
      </w:r>
      <w:r>
        <w:rPr>
          <w:rFonts w:cs="Arial"/>
          <w:lang w:val="en-US"/>
        </w:rPr>
        <w:t xml:space="preserve"> remain valid </w:t>
      </w:r>
      <w:r w:rsidRPr="00776837">
        <w:rPr>
          <w:rFonts w:cs="Arial"/>
          <w:lang w:val="en-US"/>
        </w:rPr>
        <w:t xml:space="preserve">until 2032, </w:t>
      </w:r>
      <w:r>
        <w:rPr>
          <w:rFonts w:cs="Arial"/>
          <w:lang w:val="en-US"/>
        </w:rPr>
        <w:t>as provided in the agreement in force since</w:t>
      </w:r>
      <w:r w:rsidRPr="00776837">
        <w:rPr>
          <w:rFonts w:cs="Arial"/>
          <w:lang w:val="en-US"/>
        </w:rPr>
        <w:t xml:space="preserve"> 2009. Brasilprev sells private pension solutions, with emphasis on defined contribution plans, in the PGBL (Free Benefit Generator Plan) and VGBL (Life Free Benefit Generator) modalities.</w:t>
      </w:r>
    </w:p>
    <w:p w14:paraId="098B2F95" w14:textId="77777777" w:rsidR="008C707F" w:rsidRPr="00776837" w:rsidRDefault="008C707F" w:rsidP="00C81A16">
      <w:pPr>
        <w:pStyle w:val="01-Textonormal"/>
        <w:rPr>
          <w:rFonts w:cs="Arial"/>
          <w:lang w:val="en-US"/>
        </w:rPr>
      </w:pPr>
      <w:r w:rsidRPr="00776837">
        <w:rPr>
          <w:rFonts w:cs="Arial"/>
          <w:lang w:val="en-US"/>
        </w:rPr>
        <w:t xml:space="preserve">The Company's business in </w:t>
      </w:r>
      <w:r>
        <w:rPr>
          <w:rFonts w:cs="Arial"/>
          <w:lang w:val="en-US"/>
        </w:rPr>
        <w:t>premium</w:t>
      </w:r>
      <w:r w:rsidRPr="00776837">
        <w:rPr>
          <w:rFonts w:cs="Arial"/>
          <w:lang w:val="en-US"/>
        </w:rPr>
        <w:t xml:space="preserve"> bonds is concentrated with Brasilcap Capitalização S.A. (“Brasilcap”), in partnership with Icatu Seguros and Aliança da Bahia. </w:t>
      </w:r>
    </w:p>
    <w:p w14:paraId="3BAD2864" w14:textId="77777777" w:rsidR="008C707F" w:rsidRPr="00776837" w:rsidRDefault="008C707F" w:rsidP="00C81A16">
      <w:pPr>
        <w:pStyle w:val="01-Textonormal"/>
        <w:rPr>
          <w:rFonts w:cs="Arial"/>
          <w:lang w:val="en-US"/>
        </w:rPr>
      </w:pPr>
      <w:r w:rsidRPr="00776837">
        <w:rPr>
          <w:rFonts w:cs="Arial"/>
          <w:lang w:val="en-US"/>
        </w:rPr>
        <w:t xml:space="preserve">Also, in the dental care plan segment, the Company operates together with Odontoprev through Brasildental Operadora de Planos Odontológicos S.A. (“Brasildental”). The joint operation began in 2014 and will </w:t>
      </w:r>
      <w:r>
        <w:rPr>
          <w:rFonts w:cs="Arial"/>
          <w:lang w:val="en-US"/>
        </w:rPr>
        <w:t>last for</w:t>
      </w:r>
      <w:r w:rsidRPr="00776837">
        <w:rPr>
          <w:rFonts w:cs="Arial"/>
          <w:lang w:val="en-US"/>
        </w:rPr>
        <w:t xml:space="preserve"> 20 years.</w:t>
      </w:r>
    </w:p>
    <w:p w14:paraId="7CF3662E" w14:textId="77777777" w:rsidR="008C707F" w:rsidRPr="00776837" w:rsidRDefault="008C707F" w:rsidP="00C81A16">
      <w:pPr>
        <w:pStyle w:val="01-Textonormal"/>
        <w:rPr>
          <w:rFonts w:cs="Arial"/>
          <w:lang w:val="en-US"/>
        </w:rPr>
      </w:pPr>
      <w:r w:rsidRPr="00776837">
        <w:rPr>
          <w:rFonts w:cs="Arial"/>
          <w:lang w:val="en-US"/>
        </w:rPr>
        <w:t xml:space="preserve">In the distribution </w:t>
      </w:r>
      <w:r>
        <w:rPr>
          <w:rFonts w:cs="Arial"/>
          <w:lang w:val="en-US"/>
        </w:rPr>
        <w:t>side of the business</w:t>
      </w:r>
      <w:r w:rsidRPr="00776837">
        <w:rPr>
          <w:rFonts w:cs="Arial"/>
          <w:lang w:val="en-US"/>
        </w:rPr>
        <w:t xml:space="preserve">, BB Corretora's main </w:t>
      </w:r>
      <w:r>
        <w:rPr>
          <w:rFonts w:cs="Arial"/>
          <w:lang w:val="en-US"/>
        </w:rPr>
        <w:t>channel is</w:t>
      </w:r>
      <w:r w:rsidRPr="00776837">
        <w:rPr>
          <w:rFonts w:cs="Arial"/>
          <w:lang w:val="en-US"/>
        </w:rPr>
        <w:t xml:space="preserve"> Banco do Brasil (“BB”). Complementarily, BB Corretora seeks to expand its distribution channels through commercial partnerships with companies from the most diverse business segments, also maintaining strategic investment in a digital brokerage company, the Ciclic Corretora de Seguros S.A. (“Ciclic”), in a partnership with the Principal Financial Group that began in 2018 and will be extended until 2032, </w:t>
      </w:r>
      <w:r>
        <w:rPr>
          <w:rFonts w:cs="Arial"/>
          <w:lang w:val="en-US"/>
        </w:rPr>
        <w:t xml:space="preserve">aiming </w:t>
      </w:r>
      <w:r w:rsidRPr="00776837">
        <w:rPr>
          <w:rFonts w:cs="Arial"/>
          <w:lang w:val="en-US"/>
        </w:rPr>
        <w:t>at developing the sale of insurance products through remote channels.</w:t>
      </w:r>
    </w:p>
    <w:p w14:paraId="20A3FB75" w14:textId="77777777" w:rsidR="008C707F" w:rsidRPr="00776837" w:rsidRDefault="008C707F">
      <w:pPr>
        <w:rPr>
          <w:lang w:val="en-US"/>
        </w:rPr>
      </w:pPr>
      <w:r w:rsidRPr="00776837">
        <w:rPr>
          <w:lang w:val="en-US"/>
        </w:rPr>
        <w:br w:type="page"/>
      </w:r>
    </w:p>
    <w:p w14:paraId="4DF27E03" w14:textId="77777777" w:rsidR="008C707F" w:rsidRPr="00776837" w:rsidRDefault="008C707F" w:rsidP="008C707F">
      <w:pPr>
        <w:pStyle w:val="01-TtulodeNota"/>
        <w:numPr>
          <w:ilvl w:val="0"/>
          <w:numId w:val="44"/>
        </w:numPr>
        <w:ind w:left="357" w:hanging="357"/>
        <w:rPr>
          <w:color w:val="1F4E79" w:themeColor="accent1" w:themeShade="80"/>
          <w:lang w:val="en-US"/>
        </w:rPr>
      </w:pPr>
      <w:r w:rsidRPr="00776837">
        <w:rPr>
          <w:color w:val="1F4E79" w:themeColor="accent1" w:themeShade="80"/>
          <w:lang w:val="en-US"/>
        </w:rPr>
        <w:lastRenderedPageBreak/>
        <w:t>BUSINESS ENVIRONMENT</w:t>
      </w:r>
    </w:p>
    <w:p w14:paraId="6AD91001" w14:textId="77777777" w:rsidR="008C707F" w:rsidRPr="00776837" w:rsidRDefault="008C707F" w:rsidP="009544AC">
      <w:pPr>
        <w:pStyle w:val="01-Textonormal"/>
        <w:rPr>
          <w:rFonts w:cs="Arial"/>
          <w:color w:val="FF0000"/>
          <w:lang w:val="en-US"/>
        </w:rPr>
      </w:pPr>
    </w:p>
    <w:p w14:paraId="2447EB2E" w14:textId="77777777" w:rsidR="008C707F" w:rsidRPr="00776837" w:rsidRDefault="008C707F" w:rsidP="009544AC">
      <w:pPr>
        <w:pStyle w:val="01-Textonormal"/>
        <w:rPr>
          <w:rFonts w:cs="Arial"/>
          <w:lang w:val="en-US"/>
        </w:rPr>
      </w:pPr>
      <w:r>
        <w:rPr>
          <w:rFonts w:cs="Arial"/>
          <w:lang w:val="en-US"/>
        </w:rPr>
        <w:t xml:space="preserve">Throughout the year, the </w:t>
      </w:r>
      <w:r w:rsidRPr="00776837">
        <w:rPr>
          <w:rFonts w:cs="Arial"/>
          <w:lang w:val="en-US"/>
        </w:rPr>
        <w:t>international environment</w:t>
      </w:r>
      <w:r>
        <w:rPr>
          <w:rFonts w:cs="Arial"/>
          <w:lang w:val="en-US"/>
        </w:rPr>
        <w:t xml:space="preserve"> was the focus of the economic landscape</w:t>
      </w:r>
      <w:r w:rsidRPr="00776837">
        <w:rPr>
          <w:rFonts w:cs="Arial"/>
          <w:lang w:val="en-US"/>
        </w:rPr>
        <w:t xml:space="preserve">, </w:t>
      </w:r>
      <w:r>
        <w:rPr>
          <w:rFonts w:cs="Arial"/>
          <w:lang w:val="en-US"/>
        </w:rPr>
        <w:t xml:space="preserve">mainly due to the high </w:t>
      </w:r>
      <w:r w:rsidRPr="00776837">
        <w:rPr>
          <w:rFonts w:cs="Arial"/>
          <w:lang w:val="en-US"/>
        </w:rPr>
        <w:t xml:space="preserve">inflation, although the latest announcements have </w:t>
      </w:r>
      <w:r>
        <w:rPr>
          <w:rFonts w:cs="Arial"/>
          <w:lang w:val="en-US"/>
        </w:rPr>
        <w:t xml:space="preserve">shown </w:t>
      </w:r>
      <w:r w:rsidRPr="00776837">
        <w:rPr>
          <w:rFonts w:cs="Arial"/>
          <w:lang w:val="en-US"/>
        </w:rPr>
        <w:t xml:space="preserve">a downward trend in the price level in US and in the Euro Zone. </w:t>
      </w:r>
      <w:r>
        <w:rPr>
          <w:rFonts w:cs="Arial"/>
          <w:lang w:val="en-US"/>
        </w:rPr>
        <w:t xml:space="preserve">The risks related to the pandemic and the war between Russia and Ukraine, in addition to the </w:t>
      </w:r>
      <w:r w:rsidRPr="00776837">
        <w:rPr>
          <w:rFonts w:cs="Arial"/>
          <w:lang w:val="en-US"/>
        </w:rPr>
        <w:t xml:space="preserve">monetary tightening measures in the </w:t>
      </w:r>
      <w:r>
        <w:rPr>
          <w:rFonts w:cs="Arial"/>
          <w:lang w:val="en-US"/>
        </w:rPr>
        <w:t>central</w:t>
      </w:r>
      <w:r w:rsidRPr="00776837">
        <w:rPr>
          <w:rFonts w:cs="Arial"/>
          <w:lang w:val="en-US"/>
        </w:rPr>
        <w:t xml:space="preserve"> economies, </w:t>
      </w:r>
      <w:r>
        <w:rPr>
          <w:rFonts w:cs="Arial"/>
          <w:lang w:val="en-US"/>
        </w:rPr>
        <w:t xml:space="preserve">have contributed </w:t>
      </w:r>
      <w:r w:rsidRPr="00776837">
        <w:rPr>
          <w:rFonts w:cs="Arial"/>
          <w:lang w:val="en-US"/>
        </w:rPr>
        <w:t xml:space="preserve">to a </w:t>
      </w:r>
      <w:r>
        <w:rPr>
          <w:rFonts w:cs="Arial"/>
          <w:lang w:val="en-US"/>
        </w:rPr>
        <w:t xml:space="preserve">deceleration </w:t>
      </w:r>
      <w:r w:rsidRPr="00776837">
        <w:rPr>
          <w:rFonts w:cs="Arial"/>
          <w:lang w:val="en-US"/>
        </w:rPr>
        <w:t xml:space="preserve">of </w:t>
      </w:r>
      <w:r>
        <w:rPr>
          <w:rFonts w:cs="Arial"/>
          <w:lang w:val="en-US"/>
        </w:rPr>
        <w:t xml:space="preserve">global </w:t>
      </w:r>
      <w:r w:rsidRPr="00776837">
        <w:rPr>
          <w:rFonts w:cs="Arial"/>
          <w:lang w:val="en-US"/>
        </w:rPr>
        <w:t xml:space="preserve">economic activity. </w:t>
      </w:r>
    </w:p>
    <w:p w14:paraId="7615FE14" w14:textId="77777777" w:rsidR="008C707F" w:rsidRPr="00776837" w:rsidRDefault="008C707F" w:rsidP="009544AC">
      <w:pPr>
        <w:pStyle w:val="01-Textonormal"/>
        <w:rPr>
          <w:rFonts w:cs="Arial"/>
          <w:lang w:val="en-US"/>
        </w:rPr>
      </w:pPr>
      <w:r>
        <w:rPr>
          <w:rFonts w:cs="Arial"/>
          <w:lang w:val="en-US"/>
        </w:rPr>
        <w:t xml:space="preserve">By the end of the year, </w:t>
      </w:r>
      <w:r w:rsidRPr="00776837">
        <w:rPr>
          <w:rFonts w:cs="Arial"/>
          <w:lang w:val="en-US"/>
        </w:rPr>
        <w:t>the latest data</w:t>
      </w:r>
      <w:r>
        <w:rPr>
          <w:rFonts w:cs="Arial"/>
          <w:lang w:val="en-US"/>
        </w:rPr>
        <w:t xml:space="preserve"> has confirmed the </w:t>
      </w:r>
      <w:r w:rsidRPr="00776837">
        <w:rPr>
          <w:rFonts w:cs="Arial"/>
          <w:lang w:val="en-US"/>
        </w:rPr>
        <w:t xml:space="preserve">slowdown of </w:t>
      </w:r>
      <w:r>
        <w:rPr>
          <w:rFonts w:cs="Arial"/>
          <w:lang w:val="en-US"/>
        </w:rPr>
        <w:t xml:space="preserve">European </w:t>
      </w:r>
      <w:r w:rsidRPr="00776837">
        <w:rPr>
          <w:rFonts w:cs="Arial"/>
          <w:lang w:val="en-US"/>
        </w:rPr>
        <w:t>economy. However, there was a perception of a less deep recession on the way in the region in face of the increase in gas stocks at higher-than-expected levels. In the US, consumption and the labor market still showed some resilience, which should prevent a more severe recession, despite the Fed</w:t>
      </w:r>
      <w:r>
        <w:rPr>
          <w:rFonts w:cs="Arial"/>
          <w:lang w:val="en-US"/>
        </w:rPr>
        <w:t>eral Reserve</w:t>
      </w:r>
      <w:r w:rsidRPr="00776837">
        <w:rPr>
          <w:rFonts w:cs="Arial"/>
          <w:lang w:val="en-US"/>
        </w:rPr>
        <w:t xml:space="preserve">'s </w:t>
      </w:r>
      <w:r>
        <w:rPr>
          <w:rFonts w:cs="Arial"/>
          <w:lang w:val="en-US"/>
        </w:rPr>
        <w:t xml:space="preserve">(“Fed”) </w:t>
      </w:r>
      <w:r w:rsidRPr="00776837">
        <w:rPr>
          <w:rFonts w:cs="Arial"/>
          <w:lang w:val="en-US"/>
        </w:rPr>
        <w:t>signaling of additional interest rate increases. In China, decisions related to</w:t>
      </w:r>
      <w:r>
        <w:rPr>
          <w:rFonts w:cs="Arial"/>
          <w:lang w:val="en-US"/>
        </w:rPr>
        <w:t xml:space="preserve"> the reduction of sanitary restrictions indicated a clear shift of the government’s focus to </w:t>
      </w:r>
      <w:r w:rsidRPr="00776837">
        <w:rPr>
          <w:rFonts w:cs="Arial"/>
          <w:lang w:val="en-US"/>
        </w:rPr>
        <w:t>economic</w:t>
      </w:r>
      <w:r>
        <w:rPr>
          <w:rFonts w:cs="Arial"/>
          <w:lang w:val="en-US"/>
        </w:rPr>
        <w:t xml:space="preserve"> growth, in prejudice of the Zero-Covid measures.</w:t>
      </w:r>
      <w:r w:rsidRPr="00776837">
        <w:rPr>
          <w:rFonts w:cs="Arial"/>
          <w:lang w:val="en-US"/>
        </w:rPr>
        <w:t xml:space="preserve"> </w:t>
      </w:r>
    </w:p>
    <w:p w14:paraId="44C13236" w14:textId="77777777" w:rsidR="008C707F" w:rsidRPr="00776837" w:rsidRDefault="008C707F" w:rsidP="009544AC">
      <w:pPr>
        <w:pStyle w:val="01-Textonormal"/>
        <w:rPr>
          <w:rFonts w:cs="Arial"/>
          <w:lang w:val="en-US"/>
        </w:rPr>
      </w:pPr>
      <w:r w:rsidRPr="00776837">
        <w:rPr>
          <w:rFonts w:cs="Arial"/>
          <w:lang w:val="en-US"/>
        </w:rPr>
        <w:t xml:space="preserve">In Brazil, </w:t>
      </w:r>
      <w:r>
        <w:rPr>
          <w:rFonts w:cs="Arial"/>
          <w:lang w:val="en-US"/>
        </w:rPr>
        <w:t xml:space="preserve">the economic activity has </w:t>
      </w:r>
      <w:r w:rsidRPr="00A11AD0">
        <w:rPr>
          <w:rFonts w:cs="Arial"/>
          <w:lang w:val="en-US"/>
        </w:rPr>
        <w:t>recurrently</w:t>
      </w:r>
      <w:r>
        <w:rPr>
          <w:rFonts w:cs="Arial"/>
          <w:lang w:val="en-US"/>
        </w:rPr>
        <w:t xml:space="preserve"> and positively surprised throughout the year. The recovery of the service sector and the labor market, as well as the measures to increase household income and consumption, have contributed to the economic growth posted until the Q3. However, </w:t>
      </w:r>
      <w:r w:rsidRPr="00776837">
        <w:rPr>
          <w:rFonts w:cs="Arial"/>
          <w:lang w:val="en-US"/>
        </w:rPr>
        <w:t>recent indicators suggest a</w:t>
      </w:r>
      <w:r>
        <w:rPr>
          <w:rFonts w:cs="Arial"/>
          <w:lang w:val="en-US"/>
        </w:rPr>
        <w:t xml:space="preserve"> less favorable behavior of domestic demand, given the tightening of financial conditions and the reduction of income transfers, which should lead to an economic deceleration. </w:t>
      </w:r>
      <w:r w:rsidRPr="00776837">
        <w:rPr>
          <w:rFonts w:cs="Arial"/>
          <w:lang w:val="en-US"/>
        </w:rPr>
        <w:t xml:space="preserve">Regarding the national financial system, there was a slowdown in the credit portfolios, both for companies and families, </w:t>
      </w:r>
      <w:r>
        <w:rPr>
          <w:rFonts w:cs="Arial"/>
          <w:lang w:val="en-US"/>
        </w:rPr>
        <w:t>due to higher interest rate, higher</w:t>
      </w:r>
      <w:r w:rsidRPr="00776837">
        <w:rPr>
          <w:rFonts w:cs="Arial"/>
          <w:lang w:val="en-US"/>
        </w:rPr>
        <w:t xml:space="preserve"> indebtedness and commitment of families' income, and the increase in de</w:t>
      </w:r>
      <w:r>
        <w:rPr>
          <w:rFonts w:cs="Arial"/>
          <w:lang w:val="en-US"/>
        </w:rPr>
        <w:t>linquency rate</w:t>
      </w:r>
      <w:r w:rsidRPr="00776837">
        <w:rPr>
          <w:rFonts w:cs="Arial"/>
          <w:lang w:val="en-US"/>
        </w:rPr>
        <w:t xml:space="preserve">. </w:t>
      </w:r>
    </w:p>
    <w:p w14:paraId="42B01FA7" w14:textId="77777777" w:rsidR="008C707F" w:rsidRDefault="008C707F" w:rsidP="009544AC">
      <w:pPr>
        <w:pStyle w:val="01-Textonormal"/>
        <w:rPr>
          <w:rFonts w:cs="Arial"/>
          <w:lang w:val="en-US"/>
        </w:rPr>
      </w:pPr>
      <w:r>
        <w:rPr>
          <w:rFonts w:cs="Arial"/>
          <w:lang w:val="en-US"/>
        </w:rPr>
        <w:t xml:space="preserve">Despite the strong decompression movement of the IPCA, inflation rate exceeded the upper limit of the target interval. The tax reduction on fuel, electricity and telecommunication led the deflation in July, August and September, but other factors, according to the Brazilian Central Bank, have put pressure to inflation, which reached 5.8%. The factors were: (i) inertia of the previous year’s inflation; (ii) rising commodity prices; (iii) imbalance between demand and supply of inputs and bottlenecks in global production chains; (iv) food price shocks resulting from climate issues; and (v) recovery in demand for services and employment, driven by the sharp decline in the number of Covid-19 cases and the consequent increase of mobility. Despite the failure in achieving the inflation target, the monetary policy kept the tightening movement, with Selic rate reaching 13.75% per year. </w:t>
      </w:r>
      <w:r w:rsidRPr="00C155D5">
        <w:rPr>
          <w:rFonts w:cs="Arial"/>
          <w:lang w:val="en-US"/>
        </w:rPr>
        <w:t xml:space="preserve">Finally, throughout 2022, uncertainties in the external environment, the electoral process and discussions surrounding the future of the fiscal framework in Brazil brought volatility to asset prices, in particular to the exchange rate, which ended the year at </w:t>
      </w:r>
      <w:r>
        <w:rPr>
          <w:rFonts w:cs="Arial"/>
          <w:lang w:val="en-US"/>
        </w:rPr>
        <w:t>BRL</w:t>
      </w:r>
      <w:r w:rsidRPr="00C155D5">
        <w:rPr>
          <w:rFonts w:cs="Arial"/>
          <w:lang w:val="en-US"/>
        </w:rPr>
        <w:t>/US</w:t>
      </w:r>
      <w:r>
        <w:rPr>
          <w:rFonts w:cs="Arial"/>
          <w:lang w:val="en-US"/>
        </w:rPr>
        <w:t>D 5</w:t>
      </w:r>
      <w:r w:rsidRPr="00C155D5">
        <w:rPr>
          <w:rFonts w:cs="Arial"/>
          <w:lang w:val="en-US"/>
        </w:rPr>
        <w:t>.22.</w:t>
      </w:r>
      <w:r>
        <w:rPr>
          <w:rFonts w:cs="Arial"/>
          <w:lang w:val="en-US"/>
        </w:rPr>
        <w:t xml:space="preserve">  </w:t>
      </w:r>
    </w:p>
    <w:p w14:paraId="79BB21EE" w14:textId="77777777" w:rsidR="008C707F" w:rsidRPr="00776837" w:rsidRDefault="008C707F" w:rsidP="009D1426">
      <w:pPr>
        <w:jc w:val="both"/>
        <w:rPr>
          <w:lang w:val="en-US"/>
        </w:rPr>
      </w:pPr>
      <w:r>
        <w:rPr>
          <w:lang w:val="en-US"/>
        </w:rPr>
        <w:t>T</w:t>
      </w:r>
      <w:r w:rsidRPr="00776837">
        <w:rPr>
          <w:lang w:val="en-US"/>
        </w:rPr>
        <w:t>he Brazilian insurance market</w:t>
      </w:r>
      <w:r>
        <w:rPr>
          <w:lang w:val="en-US"/>
        </w:rPr>
        <w:t xml:space="preserve"> maintained </w:t>
      </w:r>
      <w:r w:rsidRPr="00776837">
        <w:rPr>
          <w:lang w:val="en-US"/>
        </w:rPr>
        <w:t xml:space="preserve">the pace of two digits of nominal growth observed in the previous year, with an increase of </w:t>
      </w:r>
      <w:r w:rsidRPr="00902BBD">
        <w:rPr>
          <w:lang w:val="en-US"/>
        </w:rPr>
        <w:t>16.1%</w:t>
      </w:r>
      <w:r w:rsidRPr="00902BBD">
        <w:rPr>
          <w:rStyle w:val="Refdenotaderodap"/>
          <w:rFonts w:cs="Arial"/>
          <w:sz w:val="16"/>
          <w:szCs w:val="16"/>
          <w:lang w:val="en-US"/>
        </w:rPr>
        <w:footnoteReference w:id="1"/>
      </w:r>
      <w:r w:rsidRPr="00776837">
        <w:rPr>
          <w:lang w:val="en-US"/>
        </w:rPr>
        <w:t xml:space="preserve"> in the total volume of insurance premiums, pension </w:t>
      </w:r>
      <w:r>
        <w:rPr>
          <w:lang w:val="en-US"/>
        </w:rPr>
        <w:t xml:space="preserve">plans </w:t>
      </w:r>
      <w:r w:rsidRPr="00776837">
        <w:rPr>
          <w:lang w:val="en-US"/>
        </w:rPr>
        <w:t xml:space="preserve">contributions and </w:t>
      </w:r>
      <w:r>
        <w:rPr>
          <w:lang w:val="en-US"/>
        </w:rPr>
        <w:t xml:space="preserve">premium bonds </w:t>
      </w:r>
      <w:r w:rsidRPr="00776837">
        <w:rPr>
          <w:lang w:val="en-US"/>
        </w:rPr>
        <w:t xml:space="preserve">collection, according to data made available by the </w:t>
      </w:r>
      <w:r>
        <w:rPr>
          <w:lang w:val="en-US"/>
        </w:rPr>
        <w:t xml:space="preserve">Superintendence of </w:t>
      </w:r>
      <w:r w:rsidRPr="00776837">
        <w:rPr>
          <w:lang w:val="en-US"/>
        </w:rPr>
        <w:t>Private Insurance (SUSEP). The main increase was in insurance premiums written (+21.</w:t>
      </w:r>
      <w:r>
        <w:rPr>
          <w:lang w:val="en-US"/>
        </w:rPr>
        <w:t>3</w:t>
      </w:r>
      <w:r w:rsidRPr="00776837">
        <w:rPr>
          <w:lang w:val="en-US"/>
        </w:rPr>
        <w:t xml:space="preserve">%), while </w:t>
      </w:r>
      <w:r>
        <w:rPr>
          <w:lang w:val="en-US"/>
        </w:rPr>
        <w:t xml:space="preserve">pension plans </w:t>
      </w:r>
      <w:r w:rsidRPr="00776837">
        <w:rPr>
          <w:lang w:val="en-US"/>
        </w:rPr>
        <w:t xml:space="preserve">contributions and </w:t>
      </w:r>
      <w:r>
        <w:rPr>
          <w:lang w:val="en-US"/>
        </w:rPr>
        <w:t xml:space="preserve">premium bonds </w:t>
      </w:r>
      <w:r w:rsidRPr="00776837">
        <w:rPr>
          <w:lang w:val="en-US"/>
        </w:rPr>
        <w:t xml:space="preserve">collections </w:t>
      </w:r>
      <w:r>
        <w:rPr>
          <w:lang w:val="en-US"/>
        </w:rPr>
        <w:t xml:space="preserve">grew </w:t>
      </w:r>
      <w:r w:rsidRPr="00776837">
        <w:rPr>
          <w:lang w:val="en-US"/>
        </w:rPr>
        <w:t xml:space="preserve">by </w:t>
      </w:r>
      <w:r>
        <w:rPr>
          <w:lang w:val="en-US"/>
        </w:rPr>
        <w:t>11.0</w:t>
      </w:r>
      <w:r w:rsidRPr="00776837">
        <w:rPr>
          <w:lang w:val="en-US"/>
        </w:rPr>
        <w:t>% and 16.</w:t>
      </w:r>
      <w:r>
        <w:rPr>
          <w:lang w:val="en-US"/>
        </w:rPr>
        <w:t>9</w:t>
      </w:r>
      <w:r w:rsidRPr="00776837">
        <w:rPr>
          <w:lang w:val="en-US"/>
        </w:rPr>
        <w:t xml:space="preserve">%, respectively. </w:t>
      </w:r>
    </w:p>
    <w:p w14:paraId="1B11A69E" w14:textId="77777777" w:rsidR="008C707F" w:rsidRPr="00776837" w:rsidRDefault="008C707F" w:rsidP="00902BBD">
      <w:pPr>
        <w:jc w:val="both"/>
        <w:rPr>
          <w:lang w:val="en-US"/>
        </w:rPr>
      </w:pPr>
      <w:r w:rsidRPr="00776837">
        <w:rPr>
          <w:lang w:val="en-US"/>
        </w:rPr>
        <w:t xml:space="preserve">On the operational side, despite the record volume of </w:t>
      </w:r>
      <w:r>
        <w:rPr>
          <w:lang w:val="en-US"/>
        </w:rPr>
        <w:t>crop</w:t>
      </w:r>
      <w:r w:rsidRPr="00776837">
        <w:rPr>
          <w:lang w:val="en-US"/>
        </w:rPr>
        <w:t xml:space="preserve"> insurance claims at the beginning of the year related to the weather events that affected the</w:t>
      </w:r>
      <w:r>
        <w:rPr>
          <w:lang w:val="en-US"/>
        </w:rPr>
        <w:t xml:space="preserve"> Summer Crop</w:t>
      </w:r>
      <w:r w:rsidRPr="00776837">
        <w:rPr>
          <w:lang w:val="en-US"/>
        </w:rPr>
        <w:t xml:space="preserve"> productivity, 2022 was </w:t>
      </w:r>
      <w:r>
        <w:rPr>
          <w:lang w:val="en-US"/>
        </w:rPr>
        <w:t xml:space="preserve">a year of expressive </w:t>
      </w:r>
      <w:r w:rsidRPr="00776837">
        <w:rPr>
          <w:lang w:val="en-US"/>
        </w:rPr>
        <w:t xml:space="preserve">reduction in the number of claims </w:t>
      </w:r>
      <w:r>
        <w:rPr>
          <w:lang w:val="en-US"/>
        </w:rPr>
        <w:t xml:space="preserve">reported related to </w:t>
      </w:r>
      <w:r w:rsidRPr="00776837">
        <w:rPr>
          <w:lang w:val="en-US"/>
        </w:rPr>
        <w:t>Covid-19</w:t>
      </w:r>
      <w:r>
        <w:rPr>
          <w:lang w:val="en-US"/>
        </w:rPr>
        <w:t>, which benefited products with death coverage</w:t>
      </w:r>
      <w:r w:rsidRPr="00776837">
        <w:rPr>
          <w:lang w:val="en-US"/>
        </w:rPr>
        <w:t>. In the pension plan segment</w:t>
      </w:r>
      <w:r>
        <w:rPr>
          <w:lang w:val="en-US"/>
        </w:rPr>
        <w:t xml:space="preserve">, </w:t>
      </w:r>
      <w:r w:rsidRPr="00776837">
        <w:rPr>
          <w:lang w:val="en-US"/>
        </w:rPr>
        <w:t xml:space="preserve">the industry's net </w:t>
      </w:r>
      <w:r>
        <w:rPr>
          <w:lang w:val="en-US"/>
        </w:rPr>
        <w:t>inflows</w:t>
      </w:r>
      <w:r w:rsidRPr="00776837">
        <w:rPr>
          <w:vertAlign w:val="superscript"/>
          <w:lang w:val="en-US"/>
        </w:rPr>
        <w:t>²</w:t>
      </w:r>
      <w:r w:rsidRPr="00776837">
        <w:rPr>
          <w:lang w:val="en-US"/>
        </w:rPr>
        <w:t xml:space="preserve"> reached R$</w:t>
      </w:r>
      <w:r>
        <w:rPr>
          <w:lang w:val="en-US"/>
        </w:rPr>
        <w:t>24.7</w:t>
      </w:r>
      <w:r w:rsidRPr="00776837">
        <w:rPr>
          <w:lang w:val="en-US"/>
        </w:rPr>
        <w:t xml:space="preserve"> billion, </w:t>
      </w:r>
      <w:r>
        <w:rPr>
          <w:lang w:val="en-US"/>
        </w:rPr>
        <w:t xml:space="preserve">75.4% higher than the reported in 2021, mainly driven by the growth of contributions. </w:t>
      </w:r>
    </w:p>
    <w:p w14:paraId="0F31B852" w14:textId="77777777" w:rsidR="008C707F" w:rsidRPr="00776837" w:rsidRDefault="008C707F" w:rsidP="00591873">
      <w:pPr>
        <w:spacing w:line="256" w:lineRule="auto"/>
        <w:jc w:val="both"/>
        <w:rPr>
          <w:rFonts w:eastAsia="Times New Roman" w:cs="Arial"/>
          <w:spacing w:val="-2"/>
          <w:szCs w:val="18"/>
          <w:lang w:val="en-US" w:eastAsia="pt-BR"/>
        </w:rPr>
      </w:pPr>
      <w:r w:rsidRPr="00776837">
        <w:rPr>
          <w:rFonts w:cs="Arial"/>
          <w:lang w:val="en-US"/>
        </w:rPr>
        <w:t xml:space="preserve">  </w:t>
      </w:r>
      <w:r w:rsidRPr="00776837">
        <w:rPr>
          <w:rFonts w:cs="Arial"/>
          <w:lang w:val="en-US"/>
        </w:rPr>
        <w:br w:type="page"/>
      </w:r>
    </w:p>
    <w:p w14:paraId="0178C8C2" w14:textId="77777777" w:rsidR="008C707F" w:rsidRPr="00776837" w:rsidRDefault="008C707F" w:rsidP="00402DCE">
      <w:pPr>
        <w:pStyle w:val="05-Textonormal"/>
        <w:rPr>
          <w:rFonts w:cs="Arial"/>
          <w:highlight w:val="yellow"/>
          <w:lang w:val="en-US"/>
        </w:rPr>
      </w:pPr>
    </w:p>
    <w:p w14:paraId="11BA58FA" w14:textId="77777777" w:rsidR="008C707F" w:rsidRDefault="008C707F" w:rsidP="008C707F">
      <w:pPr>
        <w:pStyle w:val="01-TtulodeNota"/>
        <w:numPr>
          <w:ilvl w:val="0"/>
          <w:numId w:val="44"/>
        </w:numPr>
        <w:ind w:left="357" w:hanging="357"/>
        <w:rPr>
          <w:color w:val="1F4E79" w:themeColor="accent1" w:themeShade="80"/>
        </w:rPr>
      </w:pPr>
      <w:r>
        <w:rPr>
          <w:color w:val="1F4E79" w:themeColor="accent1" w:themeShade="80"/>
        </w:rPr>
        <w:t>FINANCIAL PERFORMANCE</w:t>
      </w:r>
    </w:p>
    <w:p w14:paraId="34F41F87" w14:textId="77777777" w:rsidR="008C707F" w:rsidRPr="00876B76" w:rsidRDefault="008C707F" w:rsidP="00876B76">
      <w:pPr>
        <w:pStyle w:val="01-Textonormal"/>
        <w:rPr>
          <w:rFonts w:cs="Arial"/>
          <w:lang w:val="en-US"/>
        </w:rPr>
      </w:pPr>
      <w:r w:rsidRPr="00876B76">
        <w:rPr>
          <w:rFonts w:cs="Arial"/>
          <w:lang w:val="en-US"/>
        </w:rPr>
        <w:t xml:space="preserve">As a holding company, BB Seguridade’s net income consists basically of the equity income arising from its investees, along with the holding standalone operating and financial income and expenses. </w:t>
      </w:r>
    </w:p>
    <w:p w14:paraId="146A3F92" w14:textId="77777777" w:rsidR="008C707F" w:rsidRPr="00876B76" w:rsidRDefault="008C707F" w:rsidP="00876B76">
      <w:pPr>
        <w:pStyle w:val="01-Textonormal"/>
        <w:rPr>
          <w:rFonts w:cs="Arial"/>
          <w:lang w:val="en-US"/>
        </w:rPr>
      </w:pPr>
      <w:r w:rsidRPr="00876B76">
        <w:rPr>
          <w:rFonts w:cs="Arial"/>
          <w:lang w:val="en-US"/>
        </w:rPr>
        <w:t>The table below presents BB Seguridade´s income statement for 2022 and 2021, as well as the comments on the main variations of the year:</w:t>
      </w:r>
    </w:p>
    <w:p w14:paraId="4B1584BD" w14:textId="77777777" w:rsidR="008C707F" w:rsidRPr="003351A3" w:rsidRDefault="008C707F" w:rsidP="007D6C7C">
      <w:pPr>
        <w:pStyle w:val="06-Rmil"/>
        <w:jc w:val="left"/>
        <w:rPr>
          <w:rFonts w:cs="Arial"/>
          <w:lang w:val="en-US"/>
        </w:rPr>
      </w:pPr>
    </w:p>
    <w:p w14:paraId="13922DCD" w14:textId="07811890" w:rsidR="008C707F" w:rsidRPr="00D20D3E" w:rsidRDefault="008C707F" w:rsidP="007D6C7C">
      <w:pPr>
        <w:pStyle w:val="01-TtulodeNota"/>
        <w:rPr>
          <w:b w:val="0"/>
          <w:sz w:val="14"/>
          <w:lang w:val="en-US"/>
        </w:rPr>
      </w:pPr>
      <w:r w:rsidRPr="00D20D3E">
        <w:rPr>
          <w:rFonts w:cs="Arial"/>
          <w:b w:val="0"/>
          <w:sz w:val="14"/>
          <w:szCs w:val="14"/>
          <w:lang w:val="en-US"/>
        </w:rPr>
        <w:t xml:space="preserve">Table </w:t>
      </w:r>
      <w:r w:rsidR="00C35EEA">
        <w:rPr>
          <w:rFonts w:cs="Arial"/>
          <w:b w:val="0"/>
          <w:noProof/>
          <w:sz w:val="14"/>
          <w:szCs w:val="14"/>
          <w:lang w:val="en-US"/>
        </w:rPr>
        <w:t>1</w:t>
      </w:r>
      <w:r w:rsidRPr="00D20D3E">
        <w:rPr>
          <w:b w:val="0"/>
          <w:sz w:val="14"/>
          <w:lang w:val="en-US"/>
        </w:rPr>
        <w:t xml:space="preserve"> – Financial performance | Income Statement – P</w:t>
      </w:r>
      <w:r>
        <w:rPr>
          <w:b w:val="0"/>
          <w:sz w:val="14"/>
          <w:lang w:val="en-US"/>
        </w:rPr>
        <w:t>arent</w:t>
      </w:r>
    </w:p>
    <w:tbl>
      <w:tblPr>
        <w:tblW w:w="9639" w:type="dxa"/>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066"/>
        <w:gridCol w:w="1860"/>
        <w:gridCol w:w="1860"/>
        <w:gridCol w:w="1853"/>
      </w:tblGrid>
      <w:tr w:rsidR="008C707F" w:rsidRPr="00FA31E9" w14:paraId="18B9DB29" w14:textId="77777777" w:rsidTr="003A2596">
        <w:trPr>
          <w:trHeight w:hRule="exact" w:val="283"/>
        </w:trPr>
        <w:tc>
          <w:tcPr>
            <w:tcW w:w="4066" w:type="dxa"/>
            <w:tcBorders>
              <w:top w:val="single" w:sz="2" w:space="0" w:color="1F4E79" w:themeColor="accent1" w:themeShade="80"/>
              <w:bottom w:val="nil"/>
            </w:tcBorders>
          </w:tcPr>
          <w:p w14:paraId="69F3D940" w14:textId="77777777" w:rsidR="008C707F" w:rsidRPr="003A2596" w:rsidRDefault="008C707F" w:rsidP="00D72BBC">
            <w:pPr>
              <w:pStyle w:val="08-Tabelageral"/>
              <w:jc w:val="left"/>
              <w:rPr>
                <w:rFonts w:cs="Arial"/>
                <w:b/>
                <w:bCs/>
                <w:lang w:eastAsia="en-US"/>
              </w:rPr>
            </w:pPr>
            <w:r w:rsidRPr="003A2596">
              <w:rPr>
                <w:rFonts w:cs="Arial"/>
                <w:b/>
                <w:bCs/>
                <w:lang w:eastAsia="en-US"/>
              </w:rPr>
              <w:t>R$ thousand</w:t>
            </w:r>
          </w:p>
        </w:tc>
        <w:tc>
          <w:tcPr>
            <w:tcW w:w="1860" w:type="dxa"/>
            <w:vMerge w:val="restart"/>
            <w:tcBorders>
              <w:top w:val="single" w:sz="2" w:space="0" w:color="1F4E79" w:themeColor="accent1" w:themeShade="80"/>
              <w:bottom w:val="nil"/>
            </w:tcBorders>
            <w:hideMark/>
          </w:tcPr>
          <w:p w14:paraId="4AE26CE7" w14:textId="77777777" w:rsidR="008C707F" w:rsidRPr="003A2596" w:rsidRDefault="008C707F" w:rsidP="00D72BBC">
            <w:pPr>
              <w:pStyle w:val="08-Tabelageral"/>
              <w:ind w:right="-57"/>
              <w:rPr>
                <w:rFonts w:cs="Arial"/>
                <w:b/>
                <w:bCs/>
                <w:lang w:eastAsia="en-US"/>
              </w:rPr>
            </w:pPr>
            <w:r w:rsidRPr="003A2596">
              <w:rPr>
                <w:rFonts w:cs="Arial"/>
                <w:b/>
                <w:bCs/>
                <w:lang w:eastAsia="en-US"/>
              </w:rPr>
              <w:t>FY2022</w:t>
            </w:r>
          </w:p>
        </w:tc>
        <w:tc>
          <w:tcPr>
            <w:tcW w:w="1860" w:type="dxa"/>
            <w:vMerge w:val="restart"/>
            <w:tcBorders>
              <w:top w:val="single" w:sz="2" w:space="0" w:color="1F4E79" w:themeColor="accent1" w:themeShade="80"/>
              <w:bottom w:val="nil"/>
            </w:tcBorders>
            <w:hideMark/>
          </w:tcPr>
          <w:p w14:paraId="6B78AF09" w14:textId="77777777" w:rsidR="008C707F" w:rsidRPr="003A2596" w:rsidRDefault="008C707F" w:rsidP="00D72BBC">
            <w:pPr>
              <w:pStyle w:val="08-Tabelageral"/>
              <w:ind w:right="-57"/>
              <w:rPr>
                <w:rFonts w:cs="Arial"/>
                <w:b/>
                <w:bCs/>
                <w:lang w:eastAsia="en-US"/>
              </w:rPr>
            </w:pPr>
            <w:r w:rsidRPr="003A2596">
              <w:rPr>
                <w:rFonts w:cs="Arial"/>
                <w:b/>
                <w:bCs/>
                <w:lang w:eastAsia="en-US"/>
              </w:rPr>
              <w:t>FY2021</w:t>
            </w:r>
          </w:p>
        </w:tc>
        <w:tc>
          <w:tcPr>
            <w:tcW w:w="1853" w:type="dxa"/>
            <w:tcBorders>
              <w:top w:val="single" w:sz="2" w:space="0" w:color="1F4E79" w:themeColor="accent1" w:themeShade="80"/>
              <w:bottom w:val="nil"/>
            </w:tcBorders>
            <w:hideMark/>
          </w:tcPr>
          <w:p w14:paraId="0FDFD34D" w14:textId="77777777" w:rsidR="008C707F" w:rsidRPr="003A2596" w:rsidRDefault="008C707F" w:rsidP="00D72BBC">
            <w:pPr>
              <w:pStyle w:val="08-Tabelageral"/>
              <w:ind w:right="-57"/>
              <w:rPr>
                <w:rFonts w:cs="Arial"/>
                <w:b/>
                <w:bCs/>
                <w:lang w:eastAsia="en-US"/>
              </w:rPr>
            </w:pPr>
            <w:r w:rsidRPr="003A2596">
              <w:rPr>
                <w:rFonts w:cs="Arial"/>
                <w:b/>
                <w:bCs/>
                <w:lang w:eastAsia="en-US"/>
              </w:rPr>
              <w:t>Var.%</w:t>
            </w:r>
          </w:p>
        </w:tc>
      </w:tr>
      <w:tr w:rsidR="008C707F" w:rsidRPr="00FA31E9" w14:paraId="2CDA7F13" w14:textId="77777777" w:rsidTr="003A2596">
        <w:trPr>
          <w:trHeight w:hRule="exact" w:val="238"/>
        </w:trPr>
        <w:tc>
          <w:tcPr>
            <w:tcW w:w="4066" w:type="dxa"/>
            <w:tcBorders>
              <w:top w:val="nil"/>
              <w:bottom w:val="single" w:sz="2" w:space="0" w:color="1F4E79" w:themeColor="accent1" w:themeShade="80"/>
            </w:tcBorders>
          </w:tcPr>
          <w:p w14:paraId="2D19717D" w14:textId="77777777" w:rsidR="008C707F" w:rsidRPr="003A2596" w:rsidRDefault="008C707F" w:rsidP="00D72BBC">
            <w:pPr>
              <w:pStyle w:val="08-Tabelageral"/>
              <w:jc w:val="left"/>
              <w:rPr>
                <w:rFonts w:cs="Arial"/>
                <w:b/>
                <w:bCs/>
                <w:szCs w:val="14"/>
                <w:lang w:eastAsia="en-US"/>
              </w:rPr>
            </w:pPr>
          </w:p>
        </w:tc>
        <w:tc>
          <w:tcPr>
            <w:tcW w:w="0" w:type="auto"/>
            <w:vMerge/>
            <w:tcBorders>
              <w:top w:val="nil"/>
              <w:bottom w:val="single" w:sz="2" w:space="0" w:color="1F4E79" w:themeColor="accent1" w:themeShade="80"/>
            </w:tcBorders>
            <w:hideMark/>
          </w:tcPr>
          <w:p w14:paraId="442387BA" w14:textId="77777777" w:rsidR="008C707F" w:rsidRPr="003A2596" w:rsidRDefault="008C707F" w:rsidP="00D72BBC">
            <w:pPr>
              <w:rPr>
                <w:rFonts w:eastAsia="Times New Roman" w:cs="Arial"/>
                <w:b/>
                <w:bCs/>
                <w:spacing w:val="-2"/>
                <w:sz w:val="14"/>
                <w:szCs w:val="18"/>
              </w:rPr>
            </w:pPr>
          </w:p>
        </w:tc>
        <w:tc>
          <w:tcPr>
            <w:tcW w:w="0" w:type="auto"/>
            <w:vMerge/>
            <w:tcBorders>
              <w:top w:val="nil"/>
              <w:bottom w:val="single" w:sz="2" w:space="0" w:color="1F4E79" w:themeColor="accent1" w:themeShade="80"/>
            </w:tcBorders>
            <w:hideMark/>
          </w:tcPr>
          <w:p w14:paraId="221AB0B5" w14:textId="77777777" w:rsidR="008C707F" w:rsidRPr="003A2596" w:rsidRDefault="008C707F" w:rsidP="00D72BBC">
            <w:pPr>
              <w:rPr>
                <w:rFonts w:eastAsia="Times New Roman" w:cs="Arial"/>
                <w:b/>
                <w:bCs/>
                <w:spacing w:val="-2"/>
                <w:sz w:val="14"/>
                <w:szCs w:val="18"/>
              </w:rPr>
            </w:pPr>
          </w:p>
        </w:tc>
        <w:tc>
          <w:tcPr>
            <w:tcW w:w="1853" w:type="dxa"/>
            <w:tcBorders>
              <w:top w:val="nil"/>
              <w:bottom w:val="single" w:sz="2" w:space="0" w:color="1F4E79" w:themeColor="accent1" w:themeShade="80"/>
            </w:tcBorders>
            <w:hideMark/>
          </w:tcPr>
          <w:p w14:paraId="74F9C3D3" w14:textId="77777777" w:rsidR="008C707F" w:rsidRPr="003A2596" w:rsidRDefault="008C707F" w:rsidP="00D72BBC">
            <w:pPr>
              <w:pStyle w:val="08-Tabelageral"/>
              <w:rPr>
                <w:rFonts w:cs="Arial"/>
                <w:b/>
                <w:bCs/>
                <w:lang w:eastAsia="en-US"/>
              </w:rPr>
            </w:pPr>
            <w:r w:rsidRPr="003A2596">
              <w:rPr>
                <w:rFonts w:cs="Arial"/>
                <w:b/>
                <w:bCs/>
                <w:lang w:eastAsia="en-US"/>
              </w:rPr>
              <w:t>On 2021</w:t>
            </w:r>
          </w:p>
        </w:tc>
      </w:tr>
      <w:tr w:rsidR="008C707F" w:rsidRPr="003A2596" w14:paraId="5E65B8FB" w14:textId="77777777" w:rsidTr="003A2596">
        <w:trPr>
          <w:trHeight w:hRule="exact" w:val="298"/>
        </w:trPr>
        <w:tc>
          <w:tcPr>
            <w:tcW w:w="4066" w:type="dxa"/>
            <w:tcBorders>
              <w:top w:val="single" w:sz="2" w:space="0" w:color="1F4E79" w:themeColor="accent1" w:themeShade="80"/>
            </w:tcBorders>
            <w:hideMark/>
          </w:tcPr>
          <w:p w14:paraId="5549B479" w14:textId="77777777" w:rsidR="008C707F" w:rsidRPr="003A2596" w:rsidRDefault="008C707F" w:rsidP="00D72BBC">
            <w:pPr>
              <w:pStyle w:val="08-Tabelageral"/>
              <w:jc w:val="left"/>
              <w:rPr>
                <w:rFonts w:cs="Arial"/>
                <w:b/>
                <w:bCs/>
                <w:snapToGrid w:val="0"/>
                <w:lang w:eastAsia="en-US"/>
              </w:rPr>
            </w:pPr>
            <w:r w:rsidRPr="003A2596">
              <w:rPr>
                <w:rFonts w:cs="Arial"/>
                <w:b/>
                <w:bCs/>
                <w:lang w:eastAsia="en-US"/>
              </w:rPr>
              <w:t>Equity income</w:t>
            </w:r>
          </w:p>
        </w:tc>
        <w:tc>
          <w:tcPr>
            <w:tcW w:w="1860" w:type="dxa"/>
            <w:tcBorders>
              <w:top w:val="single" w:sz="2" w:space="0" w:color="1F4E79" w:themeColor="accent1" w:themeShade="80"/>
            </w:tcBorders>
            <w:hideMark/>
          </w:tcPr>
          <w:p w14:paraId="079D651F" w14:textId="77777777" w:rsidR="008C707F" w:rsidRPr="003A2596" w:rsidRDefault="008C707F" w:rsidP="00D72BBC">
            <w:pPr>
              <w:pStyle w:val="08-Tabelageral"/>
              <w:rPr>
                <w:rFonts w:cs="Arial"/>
                <w:b/>
                <w:bCs/>
                <w:szCs w:val="14"/>
                <w:lang w:eastAsia="en-US"/>
              </w:rPr>
            </w:pPr>
            <w:r w:rsidRPr="003A2596">
              <w:rPr>
                <w:rFonts w:cs="Arial"/>
                <w:b/>
                <w:bCs/>
                <w:szCs w:val="14"/>
                <w:lang w:eastAsia="en-US"/>
              </w:rPr>
              <w:t>6,042,788</w:t>
            </w:r>
          </w:p>
        </w:tc>
        <w:tc>
          <w:tcPr>
            <w:tcW w:w="1860" w:type="dxa"/>
            <w:tcBorders>
              <w:top w:val="single" w:sz="2" w:space="0" w:color="1F4E79" w:themeColor="accent1" w:themeShade="80"/>
            </w:tcBorders>
            <w:hideMark/>
          </w:tcPr>
          <w:p w14:paraId="3C3CFD9A" w14:textId="77777777" w:rsidR="008C707F" w:rsidRPr="003A2596" w:rsidRDefault="008C707F" w:rsidP="00D72BBC">
            <w:pPr>
              <w:pStyle w:val="08-Tabelageral"/>
              <w:rPr>
                <w:rFonts w:cs="Arial"/>
                <w:b/>
                <w:bCs/>
                <w:szCs w:val="14"/>
                <w:lang w:eastAsia="en-US"/>
              </w:rPr>
            </w:pPr>
            <w:r w:rsidRPr="003A2596">
              <w:rPr>
                <w:rFonts w:cs="Arial"/>
                <w:b/>
                <w:bCs/>
                <w:szCs w:val="14"/>
                <w:lang w:eastAsia="en-US"/>
              </w:rPr>
              <w:t>3,923,593</w:t>
            </w:r>
          </w:p>
        </w:tc>
        <w:tc>
          <w:tcPr>
            <w:tcW w:w="1853" w:type="dxa"/>
            <w:tcBorders>
              <w:top w:val="single" w:sz="2" w:space="0" w:color="1F4E79" w:themeColor="accent1" w:themeShade="80"/>
            </w:tcBorders>
            <w:hideMark/>
          </w:tcPr>
          <w:p w14:paraId="0AD9BE49" w14:textId="77777777" w:rsidR="008C707F" w:rsidRPr="003A2596" w:rsidRDefault="008C707F" w:rsidP="00D72BBC">
            <w:pPr>
              <w:pStyle w:val="08-Tabelageral"/>
              <w:rPr>
                <w:rFonts w:cs="Arial"/>
                <w:b/>
                <w:bCs/>
                <w:szCs w:val="14"/>
                <w:lang w:eastAsia="en-US"/>
              </w:rPr>
            </w:pPr>
            <w:r w:rsidRPr="003A2596">
              <w:rPr>
                <w:b/>
                <w:bCs/>
              </w:rPr>
              <w:t>54.0</w:t>
            </w:r>
          </w:p>
        </w:tc>
      </w:tr>
      <w:tr w:rsidR="008C707F" w:rsidRPr="00FA31E9" w14:paraId="32D12921" w14:textId="77777777" w:rsidTr="003A2596">
        <w:trPr>
          <w:trHeight w:hRule="exact" w:val="238"/>
        </w:trPr>
        <w:tc>
          <w:tcPr>
            <w:tcW w:w="4066" w:type="dxa"/>
            <w:hideMark/>
          </w:tcPr>
          <w:p w14:paraId="7F765371" w14:textId="77777777" w:rsidR="008C707F" w:rsidRPr="00AA6D51" w:rsidRDefault="008C707F" w:rsidP="00D72BBC">
            <w:pPr>
              <w:pStyle w:val="08-Tabelageral"/>
              <w:ind w:left="113"/>
              <w:jc w:val="left"/>
              <w:rPr>
                <w:rFonts w:cs="Arial"/>
                <w:b/>
                <w:snapToGrid w:val="0"/>
                <w:lang w:eastAsia="en-US"/>
              </w:rPr>
            </w:pPr>
            <w:r w:rsidRPr="00AA6D51">
              <w:rPr>
                <w:rFonts w:cs="Arial"/>
                <w:lang w:eastAsia="en-US"/>
              </w:rPr>
              <w:t>BB MAPFRE Participações S.A. (Brasilseg)</w:t>
            </w:r>
          </w:p>
        </w:tc>
        <w:tc>
          <w:tcPr>
            <w:tcW w:w="1860" w:type="dxa"/>
            <w:hideMark/>
          </w:tcPr>
          <w:p w14:paraId="796C0338" w14:textId="77777777" w:rsidR="008C707F" w:rsidRPr="00A13715" w:rsidRDefault="008C707F" w:rsidP="00D72BBC">
            <w:pPr>
              <w:pStyle w:val="08-Tabelageral"/>
              <w:rPr>
                <w:rFonts w:cs="Arial"/>
                <w:szCs w:val="14"/>
                <w:lang w:eastAsia="en-US"/>
              </w:rPr>
            </w:pPr>
            <w:r w:rsidRPr="00A13715">
              <w:rPr>
                <w:rFonts w:cs="Arial"/>
                <w:szCs w:val="14"/>
                <w:lang w:eastAsia="en-US"/>
              </w:rPr>
              <w:t>2</w:t>
            </w:r>
            <w:r>
              <w:rPr>
                <w:rFonts w:cs="Arial"/>
                <w:szCs w:val="14"/>
                <w:lang w:eastAsia="en-US"/>
              </w:rPr>
              <w:t>,</w:t>
            </w:r>
            <w:r w:rsidRPr="00A13715">
              <w:rPr>
                <w:rFonts w:cs="Arial"/>
                <w:szCs w:val="14"/>
                <w:lang w:eastAsia="en-US"/>
              </w:rPr>
              <w:t>081</w:t>
            </w:r>
            <w:r>
              <w:rPr>
                <w:rFonts w:cs="Arial"/>
                <w:szCs w:val="14"/>
                <w:lang w:eastAsia="en-US"/>
              </w:rPr>
              <w:t>,</w:t>
            </w:r>
            <w:r w:rsidRPr="00A13715">
              <w:rPr>
                <w:rFonts w:cs="Arial"/>
                <w:szCs w:val="14"/>
                <w:lang w:eastAsia="en-US"/>
              </w:rPr>
              <w:t>551</w:t>
            </w:r>
          </w:p>
        </w:tc>
        <w:tc>
          <w:tcPr>
            <w:tcW w:w="1860" w:type="dxa"/>
            <w:hideMark/>
          </w:tcPr>
          <w:p w14:paraId="3FC46E36" w14:textId="77777777" w:rsidR="008C707F" w:rsidRPr="00AA6D51" w:rsidRDefault="008C707F" w:rsidP="00D72BBC">
            <w:pPr>
              <w:pStyle w:val="08-Tabelageral"/>
              <w:rPr>
                <w:rFonts w:cs="Arial"/>
                <w:szCs w:val="14"/>
                <w:lang w:eastAsia="en-US"/>
              </w:rPr>
            </w:pPr>
            <w:r w:rsidRPr="00AA6D51">
              <w:rPr>
                <w:rFonts w:cs="Arial"/>
                <w:szCs w:val="14"/>
                <w:lang w:eastAsia="en-US"/>
              </w:rPr>
              <w:t>1</w:t>
            </w:r>
            <w:r>
              <w:rPr>
                <w:rFonts w:cs="Arial"/>
                <w:szCs w:val="14"/>
                <w:lang w:eastAsia="en-US"/>
              </w:rPr>
              <w:t>,</w:t>
            </w:r>
            <w:r w:rsidRPr="00AA6D51">
              <w:rPr>
                <w:rFonts w:cs="Arial"/>
                <w:szCs w:val="14"/>
                <w:lang w:eastAsia="en-US"/>
              </w:rPr>
              <w:t>067</w:t>
            </w:r>
            <w:r>
              <w:rPr>
                <w:rFonts w:cs="Arial"/>
                <w:szCs w:val="14"/>
                <w:lang w:eastAsia="en-US"/>
              </w:rPr>
              <w:t>,</w:t>
            </w:r>
            <w:r w:rsidRPr="00AA6D51">
              <w:rPr>
                <w:rFonts w:cs="Arial"/>
                <w:szCs w:val="14"/>
                <w:lang w:eastAsia="en-US"/>
              </w:rPr>
              <w:t>020</w:t>
            </w:r>
          </w:p>
        </w:tc>
        <w:tc>
          <w:tcPr>
            <w:tcW w:w="1853" w:type="dxa"/>
            <w:hideMark/>
          </w:tcPr>
          <w:p w14:paraId="6DC4D2A0" w14:textId="77777777" w:rsidR="008C707F" w:rsidRPr="00A13715" w:rsidRDefault="008C707F" w:rsidP="00D72BBC">
            <w:pPr>
              <w:pStyle w:val="08-Tabelageral"/>
              <w:rPr>
                <w:rFonts w:cs="Arial"/>
                <w:szCs w:val="14"/>
                <w:lang w:eastAsia="en-US"/>
              </w:rPr>
            </w:pPr>
            <w:r w:rsidRPr="00A13715">
              <w:t>95</w:t>
            </w:r>
            <w:r>
              <w:t>.</w:t>
            </w:r>
            <w:r w:rsidRPr="00A13715">
              <w:t>1</w:t>
            </w:r>
          </w:p>
        </w:tc>
      </w:tr>
      <w:tr w:rsidR="008C707F" w:rsidRPr="00FA31E9" w14:paraId="335FE79B" w14:textId="77777777" w:rsidTr="003A2596">
        <w:trPr>
          <w:trHeight w:hRule="exact" w:val="238"/>
        </w:trPr>
        <w:tc>
          <w:tcPr>
            <w:tcW w:w="4066" w:type="dxa"/>
            <w:hideMark/>
          </w:tcPr>
          <w:p w14:paraId="1D23AB23" w14:textId="77777777" w:rsidR="008C707F" w:rsidRPr="00AA6D51" w:rsidRDefault="008C707F" w:rsidP="00D72BBC">
            <w:pPr>
              <w:pStyle w:val="08-Tabelageral"/>
              <w:ind w:left="113"/>
              <w:jc w:val="left"/>
              <w:rPr>
                <w:rFonts w:cs="Arial"/>
                <w:b/>
                <w:snapToGrid w:val="0"/>
                <w:lang w:eastAsia="en-US"/>
              </w:rPr>
            </w:pPr>
            <w:r w:rsidRPr="00AA6D51">
              <w:rPr>
                <w:rFonts w:cs="Arial"/>
                <w:lang w:eastAsia="en-US"/>
              </w:rPr>
              <w:t>Brasilprev Seguros e Previdência S.A.</w:t>
            </w:r>
          </w:p>
        </w:tc>
        <w:tc>
          <w:tcPr>
            <w:tcW w:w="1860" w:type="dxa"/>
            <w:hideMark/>
          </w:tcPr>
          <w:p w14:paraId="7C691083" w14:textId="77777777" w:rsidR="008C707F" w:rsidRPr="00A13715" w:rsidRDefault="008C707F" w:rsidP="00D72BBC">
            <w:pPr>
              <w:pStyle w:val="08-Tabelageral"/>
              <w:rPr>
                <w:rFonts w:cs="Arial"/>
                <w:szCs w:val="14"/>
                <w:lang w:eastAsia="en-US"/>
              </w:rPr>
            </w:pPr>
            <w:r w:rsidRPr="00A13715">
              <w:rPr>
                <w:rFonts w:cs="Arial"/>
                <w:szCs w:val="14"/>
                <w:lang w:eastAsia="en-US"/>
              </w:rPr>
              <w:t>1</w:t>
            </w:r>
            <w:r>
              <w:rPr>
                <w:rFonts w:cs="Arial"/>
                <w:szCs w:val="14"/>
                <w:lang w:eastAsia="en-US"/>
              </w:rPr>
              <w:t>,</w:t>
            </w:r>
            <w:r w:rsidRPr="00A13715">
              <w:rPr>
                <w:rFonts w:cs="Arial"/>
                <w:szCs w:val="14"/>
                <w:lang w:eastAsia="en-US"/>
              </w:rPr>
              <w:t>116</w:t>
            </w:r>
            <w:r>
              <w:rPr>
                <w:rFonts w:cs="Arial"/>
                <w:szCs w:val="14"/>
                <w:lang w:eastAsia="en-US"/>
              </w:rPr>
              <w:t>,</w:t>
            </w:r>
            <w:r w:rsidRPr="00A13715">
              <w:rPr>
                <w:rFonts w:cs="Arial"/>
                <w:szCs w:val="14"/>
                <w:lang w:eastAsia="en-US"/>
              </w:rPr>
              <w:t>786</w:t>
            </w:r>
          </w:p>
        </w:tc>
        <w:tc>
          <w:tcPr>
            <w:tcW w:w="1860" w:type="dxa"/>
            <w:hideMark/>
          </w:tcPr>
          <w:p w14:paraId="65AB77A2" w14:textId="77777777" w:rsidR="008C707F" w:rsidRPr="00AA6D51" w:rsidRDefault="008C707F" w:rsidP="00D72BBC">
            <w:pPr>
              <w:pStyle w:val="08-Tabelageral"/>
              <w:rPr>
                <w:rFonts w:cs="Arial"/>
                <w:szCs w:val="14"/>
                <w:lang w:eastAsia="en-US"/>
              </w:rPr>
            </w:pPr>
            <w:r w:rsidRPr="00AA6D51">
              <w:rPr>
                <w:rFonts w:cs="Arial"/>
                <w:szCs w:val="14"/>
                <w:lang w:eastAsia="en-US"/>
              </w:rPr>
              <w:t>756</w:t>
            </w:r>
            <w:r>
              <w:rPr>
                <w:rFonts w:cs="Arial"/>
                <w:szCs w:val="14"/>
                <w:lang w:eastAsia="en-US"/>
              </w:rPr>
              <w:t>,</w:t>
            </w:r>
            <w:r w:rsidRPr="00AA6D51">
              <w:rPr>
                <w:rFonts w:cs="Arial"/>
                <w:szCs w:val="14"/>
                <w:lang w:eastAsia="en-US"/>
              </w:rPr>
              <w:t>544</w:t>
            </w:r>
          </w:p>
        </w:tc>
        <w:tc>
          <w:tcPr>
            <w:tcW w:w="1853" w:type="dxa"/>
            <w:hideMark/>
          </w:tcPr>
          <w:p w14:paraId="7E198067" w14:textId="77777777" w:rsidR="008C707F" w:rsidRPr="00A13715" w:rsidRDefault="008C707F" w:rsidP="00D72BBC">
            <w:pPr>
              <w:pStyle w:val="08-Tabelageral"/>
              <w:rPr>
                <w:rFonts w:cs="Arial"/>
                <w:szCs w:val="14"/>
                <w:lang w:eastAsia="en-US"/>
              </w:rPr>
            </w:pPr>
            <w:r w:rsidRPr="00A13715">
              <w:t>47</w:t>
            </w:r>
            <w:r>
              <w:t>.</w:t>
            </w:r>
            <w:r w:rsidRPr="00A13715">
              <w:t>6</w:t>
            </w:r>
          </w:p>
        </w:tc>
      </w:tr>
      <w:tr w:rsidR="008C707F" w:rsidRPr="00FA31E9" w14:paraId="5D31646D" w14:textId="77777777" w:rsidTr="003A2596">
        <w:trPr>
          <w:trHeight w:hRule="exact" w:val="238"/>
        </w:trPr>
        <w:tc>
          <w:tcPr>
            <w:tcW w:w="4066" w:type="dxa"/>
            <w:hideMark/>
          </w:tcPr>
          <w:p w14:paraId="0144E647" w14:textId="77777777" w:rsidR="008C707F" w:rsidRPr="00AA6D51" w:rsidRDefault="008C707F" w:rsidP="00D72BBC">
            <w:pPr>
              <w:pStyle w:val="08-Tabelageral"/>
              <w:ind w:left="113"/>
              <w:jc w:val="left"/>
              <w:rPr>
                <w:rFonts w:cs="Arial"/>
                <w:b/>
                <w:snapToGrid w:val="0"/>
                <w:lang w:eastAsia="en-US"/>
              </w:rPr>
            </w:pPr>
            <w:r w:rsidRPr="00AA6D51">
              <w:rPr>
                <w:rFonts w:cs="Arial"/>
                <w:lang w:eastAsia="en-US"/>
              </w:rPr>
              <w:t>Brasilcap Capitalização S.A.</w:t>
            </w:r>
          </w:p>
        </w:tc>
        <w:tc>
          <w:tcPr>
            <w:tcW w:w="1860" w:type="dxa"/>
            <w:hideMark/>
          </w:tcPr>
          <w:p w14:paraId="4B42D16A" w14:textId="77777777" w:rsidR="008C707F" w:rsidRPr="00A13715" w:rsidRDefault="008C707F" w:rsidP="00D72BBC">
            <w:pPr>
              <w:pStyle w:val="08-Tabelageral"/>
              <w:rPr>
                <w:rFonts w:cs="Arial"/>
                <w:szCs w:val="14"/>
                <w:lang w:eastAsia="en-US"/>
              </w:rPr>
            </w:pPr>
            <w:r w:rsidRPr="00A13715">
              <w:rPr>
                <w:rFonts w:cs="Arial"/>
                <w:szCs w:val="14"/>
                <w:lang w:eastAsia="en-US"/>
              </w:rPr>
              <w:t>145</w:t>
            </w:r>
            <w:r>
              <w:rPr>
                <w:rFonts w:cs="Arial"/>
                <w:szCs w:val="14"/>
                <w:lang w:eastAsia="en-US"/>
              </w:rPr>
              <w:t>,</w:t>
            </w:r>
            <w:r w:rsidRPr="00A13715">
              <w:rPr>
                <w:rFonts w:cs="Arial"/>
                <w:szCs w:val="14"/>
                <w:lang w:eastAsia="en-US"/>
              </w:rPr>
              <w:t>199</w:t>
            </w:r>
          </w:p>
        </w:tc>
        <w:tc>
          <w:tcPr>
            <w:tcW w:w="1860" w:type="dxa"/>
            <w:hideMark/>
          </w:tcPr>
          <w:p w14:paraId="5D689C02" w14:textId="77777777" w:rsidR="008C707F" w:rsidRPr="00AA6D51" w:rsidRDefault="008C707F" w:rsidP="00D72BBC">
            <w:pPr>
              <w:pStyle w:val="08-Tabelageral"/>
              <w:rPr>
                <w:rFonts w:cs="Arial"/>
                <w:szCs w:val="14"/>
                <w:lang w:eastAsia="en-US"/>
              </w:rPr>
            </w:pPr>
            <w:r w:rsidRPr="00AA6D51">
              <w:rPr>
                <w:rFonts w:cs="Arial"/>
                <w:szCs w:val="14"/>
                <w:lang w:eastAsia="en-US"/>
              </w:rPr>
              <w:t>2</w:t>
            </w:r>
            <w:r>
              <w:rPr>
                <w:rFonts w:cs="Arial"/>
                <w:szCs w:val="14"/>
                <w:lang w:eastAsia="en-US"/>
              </w:rPr>
              <w:t>,</w:t>
            </w:r>
            <w:r w:rsidRPr="00AA6D51">
              <w:rPr>
                <w:rFonts w:cs="Arial"/>
                <w:szCs w:val="14"/>
                <w:lang w:eastAsia="en-US"/>
              </w:rPr>
              <w:t>341</w:t>
            </w:r>
          </w:p>
        </w:tc>
        <w:tc>
          <w:tcPr>
            <w:tcW w:w="1853" w:type="dxa"/>
            <w:hideMark/>
          </w:tcPr>
          <w:p w14:paraId="1135EF7E" w14:textId="77777777" w:rsidR="008C707F" w:rsidRPr="00A13715" w:rsidRDefault="008C707F" w:rsidP="00D72BBC">
            <w:pPr>
              <w:pStyle w:val="08-Tabelageral"/>
              <w:rPr>
                <w:rFonts w:cs="Arial"/>
                <w:szCs w:val="14"/>
                <w:lang w:eastAsia="en-US"/>
              </w:rPr>
            </w:pPr>
            <w:r w:rsidRPr="00A13715">
              <w:t>6</w:t>
            </w:r>
            <w:r>
              <w:t>,</w:t>
            </w:r>
            <w:r w:rsidRPr="00A13715">
              <w:t>102</w:t>
            </w:r>
            <w:r>
              <w:t>.</w:t>
            </w:r>
            <w:r w:rsidRPr="00A13715">
              <w:t>4</w:t>
            </w:r>
          </w:p>
        </w:tc>
      </w:tr>
      <w:tr w:rsidR="008C707F" w:rsidRPr="00FA31E9" w14:paraId="1BC92407" w14:textId="77777777" w:rsidTr="003A2596">
        <w:trPr>
          <w:trHeight w:hRule="exact" w:val="238"/>
        </w:trPr>
        <w:tc>
          <w:tcPr>
            <w:tcW w:w="4066" w:type="dxa"/>
            <w:hideMark/>
          </w:tcPr>
          <w:p w14:paraId="4AE69784" w14:textId="77777777" w:rsidR="008C707F" w:rsidRPr="00AA6D51" w:rsidRDefault="008C707F" w:rsidP="00D72BBC">
            <w:pPr>
              <w:pStyle w:val="08-Tabelageral"/>
              <w:ind w:left="113"/>
              <w:jc w:val="left"/>
              <w:rPr>
                <w:rFonts w:cs="Arial"/>
                <w:b/>
                <w:snapToGrid w:val="0"/>
                <w:vertAlign w:val="superscript"/>
                <w:lang w:eastAsia="en-US"/>
              </w:rPr>
            </w:pPr>
            <w:r w:rsidRPr="00AA6D51">
              <w:rPr>
                <w:rFonts w:cs="Arial"/>
                <w:lang w:eastAsia="en-US"/>
              </w:rPr>
              <w:t>Brasildental Operadora de Planos Odontológicos S.A.</w:t>
            </w:r>
          </w:p>
        </w:tc>
        <w:tc>
          <w:tcPr>
            <w:tcW w:w="1860" w:type="dxa"/>
            <w:hideMark/>
          </w:tcPr>
          <w:p w14:paraId="0B4F8EB4" w14:textId="77777777" w:rsidR="008C707F" w:rsidRPr="00A13715" w:rsidRDefault="008C707F" w:rsidP="00D72BBC">
            <w:pPr>
              <w:pStyle w:val="08-Tabelageral"/>
              <w:rPr>
                <w:rFonts w:cs="Arial"/>
                <w:szCs w:val="14"/>
                <w:lang w:eastAsia="en-US"/>
              </w:rPr>
            </w:pPr>
            <w:r w:rsidRPr="00A13715">
              <w:rPr>
                <w:lang w:eastAsia="en-US"/>
              </w:rPr>
              <w:t>20</w:t>
            </w:r>
            <w:r>
              <w:rPr>
                <w:lang w:eastAsia="en-US"/>
              </w:rPr>
              <w:t>,</w:t>
            </w:r>
            <w:r w:rsidRPr="00A13715">
              <w:rPr>
                <w:lang w:eastAsia="en-US"/>
              </w:rPr>
              <w:t>902</w:t>
            </w:r>
          </w:p>
        </w:tc>
        <w:tc>
          <w:tcPr>
            <w:tcW w:w="1860" w:type="dxa"/>
            <w:hideMark/>
          </w:tcPr>
          <w:p w14:paraId="06224A83" w14:textId="77777777" w:rsidR="008C707F" w:rsidRPr="00AA6D51" w:rsidRDefault="008C707F" w:rsidP="00D72BBC">
            <w:pPr>
              <w:pStyle w:val="08-Tabelageral"/>
              <w:rPr>
                <w:rFonts w:cs="Arial"/>
                <w:szCs w:val="14"/>
                <w:lang w:eastAsia="en-US"/>
              </w:rPr>
            </w:pPr>
            <w:r w:rsidRPr="00AA6D51">
              <w:rPr>
                <w:lang w:eastAsia="en-US"/>
              </w:rPr>
              <w:t>17</w:t>
            </w:r>
            <w:r>
              <w:rPr>
                <w:lang w:eastAsia="en-US"/>
              </w:rPr>
              <w:t>,</w:t>
            </w:r>
            <w:r w:rsidRPr="00AA6D51">
              <w:rPr>
                <w:lang w:eastAsia="en-US"/>
              </w:rPr>
              <w:t>083</w:t>
            </w:r>
          </w:p>
        </w:tc>
        <w:tc>
          <w:tcPr>
            <w:tcW w:w="1853" w:type="dxa"/>
            <w:hideMark/>
          </w:tcPr>
          <w:p w14:paraId="6C914320" w14:textId="77777777" w:rsidR="008C707F" w:rsidRPr="00A13715" w:rsidRDefault="008C707F" w:rsidP="00D72BBC">
            <w:pPr>
              <w:pStyle w:val="08-Tabelageral"/>
              <w:rPr>
                <w:rFonts w:cs="Arial"/>
                <w:szCs w:val="14"/>
                <w:lang w:eastAsia="en-US"/>
              </w:rPr>
            </w:pPr>
            <w:r w:rsidRPr="00A13715">
              <w:t>22</w:t>
            </w:r>
            <w:r>
              <w:t>.</w:t>
            </w:r>
            <w:r w:rsidRPr="00A13715">
              <w:t>4</w:t>
            </w:r>
          </w:p>
        </w:tc>
      </w:tr>
      <w:tr w:rsidR="008C707F" w:rsidRPr="00FA31E9" w14:paraId="5941E924" w14:textId="77777777" w:rsidTr="003A2596">
        <w:trPr>
          <w:trHeight w:hRule="exact" w:val="238"/>
        </w:trPr>
        <w:tc>
          <w:tcPr>
            <w:tcW w:w="4066" w:type="dxa"/>
            <w:hideMark/>
          </w:tcPr>
          <w:p w14:paraId="0E77EEB2" w14:textId="77777777" w:rsidR="008C707F" w:rsidRPr="00AA6D51" w:rsidRDefault="008C707F" w:rsidP="00D72BBC">
            <w:pPr>
              <w:pStyle w:val="08-Tabelageral"/>
              <w:ind w:left="113"/>
              <w:jc w:val="left"/>
              <w:rPr>
                <w:rFonts w:cs="Arial"/>
                <w:b/>
                <w:snapToGrid w:val="0"/>
                <w:lang w:eastAsia="en-US"/>
              </w:rPr>
            </w:pPr>
            <w:r w:rsidRPr="00AA6D51">
              <w:rPr>
                <w:rFonts w:cs="Arial"/>
                <w:lang w:eastAsia="en-US"/>
              </w:rPr>
              <w:t>BB Corretora de Seguros e Administradora de Bens S.A.</w:t>
            </w:r>
          </w:p>
        </w:tc>
        <w:tc>
          <w:tcPr>
            <w:tcW w:w="1860" w:type="dxa"/>
            <w:hideMark/>
          </w:tcPr>
          <w:p w14:paraId="2A0CE773" w14:textId="77777777" w:rsidR="008C707F" w:rsidRPr="00A13715" w:rsidRDefault="008C707F" w:rsidP="00D72BBC">
            <w:pPr>
              <w:pStyle w:val="08-Tabelageral"/>
              <w:rPr>
                <w:rFonts w:cs="Arial"/>
                <w:szCs w:val="14"/>
                <w:lang w:eastAsia="en-US"/>
              </w:rPr>
            </w:pPr>
            <w:r w:rsidRPr="00A13715">
              <w:rPr>
                <w:rFonts w:cs="Arial"/>
                <w:szCs w:val="14"/>
                <w:lang w:eastAsia="en-US"/>
              </w:rPr>
              <w:t>2</w:t>
            </w:r>
            <w:r>
              <w:rPr>
                <w:rFonts w:cs="Arial"/>
                <w:szCs w:val="14"/>
                <w:lang w:eastAsia="en-US"/>
              </w:rPr>
              <w:t>,</w:t>
            </w:r>
            <w:r w:rsidRPr="00A13715">
              <w:rPr>
                <w:rFonts w:cs="Arial"/>
                <w:szCs w:val="14"/>
                <w:lang w:eastAsia="en-US"/>
              </w:rPr>
              <w:t>729</w:t>
            </w:r>
            <w:r>
              <w:rPr>
                <w:rFonts w:cs="Arial"/>
                <w:szCs w:val="14"/>
                <w:lang w:eastAsia="en-US"/>
              </w:rPr>
              <w:t>,</w:t>
            </w:r>
            <w:r w:rsidRPr="00A13715">
              <w:rPr>
                <w:rFonts w:cs="Arial"/>
                <w:szCs w:val="14"/>
                <w:lang w:eastAsia="en-US"/>
              </w:rPr>
              <w:t>478</w:t>
            </w:r>
          </w:p>
        </w:tc>
        <w:tc>
          <w:tcPr>
            <w:tcW w:w="1860" w:type="dxa"/>
            <w:hideMark/>
          </w:tcPr>
          <w:p w14:paraId="4C17F6E0" w14:textId="77777777" w:rsidR="008C707F" w:rsidRPr="00AA6D51" w:rsidRDefault="008C707F" w:rsidP="00D72BBC">
            <w:pPr>
              <w:pStyle w:val="08-Tabelageral"/>
              <w:rPr>
                <w:rFonts w:cs="Arial"/>
                <w:szCs w:val="14"/>
                <w:lang w:eastAsia="en-US"/>
              </w:rPr>
            </w:pPr>
            <w:r w:rsidRPr="00AA6D51">
              <w:rPr>
                <w:rFonts w:cs="Arial"/>
                <w:szCs w:val="14"/>
                <w:lang w:eastAsia="en-US"/>
              </w:rPr>
              <w:t>2</w:t>
            </w:r>
            <w:r>
              <w:rPr>
                <w:rFonts w:cs="Arial"/>
                <w:szCs w:val="14"/>
                <w:lang w:eastAsia="en-US"/>
              </w:rPr>
              <w:t>,</w:t>
            </w:r>
            <w:r w:rsidRPr="00AA6D51">
              <w:rPr>
                <w:rFonts w:cs="Arial"/>
                <w:szCs w:val="14"/>
                <w:lang w:eastAsia="en-US"/>
              </w:rPr>
              <w:t>162</w:t>
            </w:r>
            <w:r>
              <w:rPr>
                <w:rFonts w:cs="Arial"/>
                <w:szCs w:val="14"/>
                <w:lang w:eastAsia="en-US"/>
              </w:rPr>
              <w:t>,</w:t>
            </w:r>
            <w:r w:rsidRPr="00AA6D51">
              <w:rPr>
                <w:rFonts w:cs="Arial"/>
                <w:szCs w:val="14"/>
                <w:lang w:eastAsia="en-US"/>
              </w:rPr>
              <w:t>039</w:t>
            </w:r>
          </w:p>
        </w:tc>
        <w:tc>
          <w:tcPr>
            <w:tcW w:w="1853" w:type="dxa"/>
            <w:hideMark/>
          </w:tcPr>
          <w:p w14:paraId="4E66CFE2" w14:textId="77777777" w:rsidR="008C707F" w:rsidRPr="00A13715" w:rsidRDefault="008C707F" w:rsidP="00D72BBC">
            <w:pPr>
              <w:pStyle w:val="08-Tabelageral"/>
              <w:rPr>
                <w:rFonts w:cs="Arial"/>
                <w:szCs w:val="14"/>
                <w:lang w:eastAsia="en-US"/>
              </w:rPr>
            </w:pPr>
            <w:r w:rsidRPr="00A13715">
              <w:t>26</w:t>
            </w:r>
            <w:r>
              <w:t>.</w:t>
            </w:r>
            <w:r w:rsidRPr="00A13715">
              <w:t>2</w:t>
            </w:r>
          </w:p>
        </w:tc>
      </w:tr>
      <w:tr w:rsidR="008C707F" w:rsidRPr="00FA31E9" w14:paraId="7F232C5C" w14:textId="77777777" w:rsidTr="003A2596">
        <w:trPr>
          <w:trHeight w:hRule="exact" w:val="266"/>
        </w:trPr>
        <w:tc>
          <w:tcPr>
            <w:tcW w:w="4066" w:type="dxa"/>
            <w:hideMark/>
          </w:tcPr>
          <w:p w14:paraId="5099F453" w14:textId="77777777" w:rsidR="008C707F" w:rsidRPr="00AA6D51" w:rsidRDefault="008C707F" w:rsidP="00D72BBC">
            <w:pPr>
              <w:pStyle w:val="08-Tabelageral"/>
              <w:ind w:left="113"/>
              <w:jc w:val="left"/>
              <w:rPr>
                <w:rFonts w:cs="Arial"/>
                <w:b/>
                <w:lang w:eastAsia="en-US"/>
              </w:rPr>
            </w:pPr>
            <w:r>
              <w:rPr>
                <w:rFonts w:cs="Arial"/>
                <w:lang w:eastAsia="en-US"/>
              </w:rPr>
              <w:t>Other</w:t>
            </w:r>
          </w:p>
        </w:tc>
        <w:tc>
          <w:tcPr>
            <w:tcW w:w="1860" w:type="dxa"/>
            <w:hideMark/>
          </w:tcPr>
          <w:p w14:paraId="3D3F03B9" w14:textId="77777777" w:rsidR="008C707F" w:rsidRPr="00A13715" w:rsidRDefault="008C707F" w:rsidP="00D72BBC">
            <w:pPr>
              <w:pStyle w:val="08-Tabelageral"/>
              <w:rPr>
                <w:rFonts w:cs="Arial"/>
                <w:szCs w:val="14"/>
                <w:lang w:eastAsia="en-US"/>
              </w:rPr>
            </w:pPr>
            <w:r w:rsidRPr="00A13715">
              <w:rPr>
                <w:rFonts w:cs="Arial"/>
                <w:szCs w:val="14"/>
                <w:lang w:eastAsia="en-US"/>
              </w:rPr>
              <w:t>(51</w:t>
            </w:r>
            <w:r>
              <w:rPr>
                <w:rFonts w:cs="Arial"/>
                <w:szCs w:val="14"/>
                <w:lang w:eastAsia="en-US"/>
              </w:rPr>
              <w:t>,</w:t>
            </w:r>
            <w:r w:rsidRPr="00A13715">
              <w:rPr>
                <w:rFonts w:cs="Arial"/>
                <w:szCs w:val="14"/>
                <w:lang w:eastAsia="en-US"/>
              </w:rPr>
              <w:t>128)</w:t>
            </w:r>
          </w:p>
        </w:tc>
        <w:tc>
          <w:tcPr>
            <w:tcW w:w="1860" w:type="dxa"/>
            <w:hideMark/>
          </w:tcPr>
          <w:p w14:paraId="357E9571" w14:textId="77777777" w:rsidR="008C707F" w:rsidRPr="00AA6D51" w:rsidRDefault="008C707F" w:rsidP="00D72BBC">
            <w:pPr>
              <w:pStyle w:val="08-Tabelageral"/>
              <w:rPr>
                <w:rFonts w:cs="Arial"/>
                <w:szCs w:val="14"/>
                <w:lang w:eastAsia="en-US"/>
              </w:rPr>
            </w:pPr>
            <w:r w:rsidRPr="00AA6D51">
              <w:rPr>
                <w:rFonts w:cs="Arial"/>
                <w:szCs w:val="14"/>
                <w:lang w:eastAsia="en-US"/>
              </w:rPr>
              <w:t>(</w:t>
            </w:r>
            <w:r>
              <w:rPr>
                <w:rFonts w:cs="Arial"/>
                <w:szCs w:val="14"/>
                <w:lang w:eastAsia="en-US"/>
              </w:rPr>
              <w:t>81,434</w:t>
            </w:r>
            <w:r w:rsidRPr="00AA6D51">
              <w:rPr>
                <w:rFonts w:cs="Arial"/>
                <w:szCs w:val="14"/>
                <w:lang w:eastAsia="en-US"/>
              </w:rPr>
              <w:t>)</w:t>
            </w:r>
          </w:p>
        </w:tc>
        <w:tc>
          <w:tcPr>
            <w:tcW w:w="1853" w:type="dxa"/>
            <w:hideMark/>
          </w:tcPr>
          <w:p w14:paraId="5437E398" w14:textId="77777777" w:rsidR="008C707F" w:rsidRPr="00A13715" w:rsidRDefault="008C707F" w:rsidP="00D72BBC">
            <w:pPr>
              <w:pStyle w:val="08-Tabelageral"/>
              <w:rPr>
                <w:rFonts w:cs="Arial"/>
                <w:szCs w:val="14"/>
                <w:lang w:eastAsia="en-US"/>
              </w:rPr>
            </w:pPr>
            <w:r w:rsidRPr="00A13715">
              <w:t>(37</w:t>
            </w:r>
            <w:r>
              <w:t>.</w:t>
            </w:r>
            <w:r w:rsidRPr="00A13715">
              <w:t>2)</w:t>
            </w:r>
          </w:p>
        </w:tc>
      </w:tr>
      <w:tr w:rsidR="008C707F" w:rsidRPr="003A2596" w14:paraId="274362BE" w14:textId="77777777" w:rsidTr="003A2596">
        <w:trPr>
          <w:trHeight w:hRule="exact" w:val="238"/>
        </w:trPr>
        <w:tc>
          <w:tcPr>
            <w:tcW w:w="4066" w:type="dxa"/>
            <w:hideMark/>
          </w:tcPr>
          <w:p w14:paraId="0369C614" w14:textId="77777777" w:rsidR="008C707F" w:rsidRPr="003A2596" w:rsidRDefault="008C707F" w:rsidP="00D72BBC">
            <w:pPr>
              <w:pStyle w:val="08-Tabelageral"/>
              <w:jc w:val="left"/>
              <w:rPr>
                <w:rFonts w:cs="Arial"/>
                <w:b/>
                <w:bCs/>
                <w:lang w:eastAsia="en-US"/>
              </w:rPr>
            </w:pPr>
            <w:r w:rsidRPr="003A2596">
              <w:rPr>
                <w:rFonts w:cs="Arial"/>
                <w:b/>
                <w:bCs/>
                <w:lang w:eastAsia="en-US"/>
              </w:rPr>
              <w:t>Other income and expenses</w:t>
            </w:r>
          </w:p>
        </w:tc>
        <w:tc>
          <w:tcPr>
            <w:tcW w:w="1860" w:type="dxa"/>
            <w:hideMark/>
          </w:tcPr>
          <w:p w14:paraId="0BE09C19" w14:textId="77777777" w:rsidR="008C707F" w:rsidRPr="003A2596" w:rsidRDefault="008C707F" w:rsidP="00D72BBC">
            <w:pPr>
              <w:pStyle w:val="08-Tabelageral"/>
              <w:rPr>
                <w:rFonts w:cs="Arial"/>
                <w:b/>
                <w:bCs/>
                <w:szCs w:val="14"/>
                <w:lang w:eastAsia="en-US"/>
              </w:rPr>
            </w:pPr>
            <w:r w:rsidRPr="003A2596">
              <w:rPr>
                <w:rFonts w:cs="Arial"/>
                <w:b/>
                <w:bCs/>
                <w:szCs w:val="14"/>
                <w:lang w:eastAsia="en-US"/>
              </w:rPr>
              <w:t>(13,537)</w:t>
            </w:r>
          </w:p>
        </w:tc>
        <w:tc>
          <w:tcPr>
            <w:tcW w:w="1860" w:type="dxa"/>
            <w:hideMark/>
          </w:tcPr>
          <w:p w14:paraId="42D132B7" w14:textId="77777777" w:rsidR="008C707F" w:rsidRPr="003A2596" w:rsidRDefault="008C707F" w:rsidP="00D72BBC">
            <w:pPr>
              <w:pStyle w:val="08-Tabelageral"/>
              <w:rPr>
                <w:rFonts w:cs="Arial"/>
                <w:b/>
                <w:bCs/>
                <w:szCs w:val="14"/>
                <w:lang w:eastAsia="en-US"/>
              </w:rPr>
            </w:pPr>
            <w:r w:rsidRPr="003A2596">
              <w:rPr>
                <w:rFonts w:cs="Arial"/>
                <w:b/>
                <w:bCs/>
                <w:szCs w:val="14"/>
                <w:lang w:eastAsia="en-US"/>
              </w:rPr>
              <w:t>(8,572)</w:t>
            </w:r>
          </w:p>
        </w:tc>
        <w:tc>
          <w:tcPr>
            <w:tcW w:w="1853" w:type="dxa"/>
            <w:hideMark/>
          </w:tcPr>
          <w:p w14:paraId="6E9362D4" w14:textId="77777777" w:rsidR="008C707F" w:rsidRPr="003A2596" w:rsidRDefault="008C707F" w:rsidP="00D72BBC">
            <w:pPr>
              <w:pStyle w:val="08-Tabelageral"/>
              <w:rPr>
                <w:rFonts w:cs="Arial"/>
                <w:b/>
                <w:bCs/>
                <w:szCs w:val="14"/>
                <w:lang w:eastAsia="en-US"/>
              </w:rPr>
            </w:pPr>
            <w:r w:rsidRPr="003A2596">
              <w:rPr>
                <w:b/>
                <w:bCs/>
              </w:rPr>
              <w:t>57.9</w:t>
            </w:r>
          </w:p>
        </w:tc>
      </w:tr>
      <w:tr w:rsidR="008C707F" w:rsidRPr="00FA31E9" w14:paraId="78C03330" w14:textId="77777777" w:rsidTr="003A2596">
        <w:trPr>
          <w:trHeight w:hRule="exact" w:val="238"/>
        </w:trPr>
        <w:tc>
          <w:tcPr>
            <w:tcW w:w="4066" w:type="dxa"/>
            <w:hideMark/>
          </w:tcPr>
          <w:p w14:paraId="5F2FD316" w14:textId="77777777" w:rsidR="008C707F" w:rsidRPr="00AA6D51" w:rsidRDefault="008C707F" w:rsidP="00D72BBC">
            <w:pPr>
              <w:pStyle w:val="08-Tabelageral"/>
              <w:ind w:left="113"/>
              <w:jc w:val="left"/>
              <w:rPr>
                <w:rFonts w:cs="Arial"/>
                <w:snapToGrid w:val="0"/>
                <w:lang w:eastAsia="en-US"/>
              </w:rPr>
            </w:pPr>
            <w:r>
              <w:rPr>
                <w:rFonts w:cs="Arial"/>
                <w:lang w:eastAsia="en-US"/>
              </w:rPr>
              <w:t>Personnel expenses</w:t>
            </w:r>
          </w:p>
        </w:tc>
        <w:tc>
          <w:tcPr>
            <w:tcW w:w="1860" w:type="dxa"/>
            <w:hideMark/>
          </w:tcPr>
          <w:p w14:paraId="48C1D872" w14:textId="77777777" w:rsidR="008C707F" w:rsidRPr="00A13715" w:rsidRDefault="008C707F" w:rsidP="00D72BBC">
            <w:pPr>
              <w:pStyle w:val="08-Tabelageral"/>
              <w:rPr>
                <w:rFonts w:cs="Arial"/>
                <w:b/>
                <w:szCs w:val="14"/>
                <w:lang w:eastAsia="en-US"/>
              </w:rPr>
            </w:pPr>
            <w:r w:rsidRPr="00A13715">
              <w:rPr>
                <w:rFonts w:cs="Arial"/>
                <w:szCs w:val="14"/>
                <w:lang w:eastAsia="en-US"/>
              </w:rPr>
              <w:t>(14</w:t>
            </w:r>
            <w:r>
              <w:rPr>
                <w:rFonts w:cs="Arial"/>
                <w:szCs w:val="14"/>
                <w:lang w:eastAsia="en-US"/>
              </w:rPr>
              <w:t>,</w:t>
            </w:r>
            <w:r w:rsidRPr="00A13715">
              <w:rPr>
                <w:rFonts w:cs="Arial"/>
                <w:szCs w:val="14"/>
                <w:lang w:eastAsia="en-US"/>
              </w:rPr>
              <w:t>955)</w:t>
            </w:r>
          </w:p>
        </w:tc>
        <w:tc>
          <w:tcPr>
            <w:tcW w:w="1860" w:type="dxa"/>
            <w:hideMark/>
          </w:tcPr>
          <w:p w14:paraId="4F996501" w14:textId="77777777" w:rsidR="008C707F" w:rsidRPr="00AA6D51" w:rsidRDefault="008C707F" w:rsidP="00D72BBC">
            <w:pPr>
              <w:pStyle w:val="08-Tabelageral"/>
              <w:rPr>
                <w:rFonts w:cs="Arial"/>
                <w:b/>
                <w:szCs w:val="14"/>
                <w:lang w:eastAsia="en-US"/>
              </w:rPr>
            </w:pPr>
            <w:r w:rsidRPr="00AA6D51">
              <w:rPr>
                <w:rFonts w:cs="Arial"/>
                <w:szCs w:val="14"/>
                <w:lang w:eastAsia="en-US"/>
              </w:rPr>
              <w:t>(12</w:t>
            </w:r>
            <w:r>
              <w:rPr>
                <w:rFonts w:cs="Arial"/>
                <w:szCs w:val="14"/>
                <w:lang w:eastAsia="en-US"/>
              </w:rPr>
              <w:t>,</w:t>
            </w:r>
            <w:r w:rsidRPr="00AA6D51">
              <w:rPr>
                <w:rFonts w:cs="Arial"/>
                <w:szCs w:val="14"/>
                <w:lang w:eastAsia="en-US"/>
              </w:rPr>
              <w:t>167)</w:t>
            </w:r>
          </w:p>
        </w:tc>
        <w:tc>
          <w:tcPr>
            <w:tcW w:w="1853" w:type="dxa"/>
            <w:hideMark/>
          </w:tcPr>
          <w:p w14:paraId="4AC4BE2A" w14:textId="77777777" w:rsidR="008C707F" w:rsidRPr="00A13715" w:rsidRDefault="008C707F" w:rsidP="00D72BBC">
            <w:pPr>
              <w:pStyle w:val="08-Tabelageral"/>
              <w:rPr>
                <w:rFonts w:cs="Arial"/>
                <w:b/>
                <w:szCs w:val="14"/>
                <w:lang w:eastAsia="en-US"/>
              </w:rPr>
            </w:pPr>
            <w:r w:rsidRPr="00A13715">
              <w:t>22</w:t>
            </w:r>
            <w:r>
              <w:t>.</w:t>
            </w:r>
            <w:r w:rsidRPr="00A13715">
              <w:t>9</w:t>
            </w:r>
          </w:p>
        </w:tc>
      </w:tr>
      <w:tr w:rsidR="008C707F" w:rsidRPr="00FA31E9" w14:paraId="7E5E4DA2" w14:textId="77777777" w:rsidTr="003A2596">
        <w:trPr>
          <w:trHeight w:hRule="exact" w:val="238"/>
        </w:trPr>
        <w:tc>
          <w:tcPr>
            <w:tcW w:w="4066" w:type="dxa"/>
            <w:hideMark/>
          </w:tcPr>
          <w:p w14:paraId="0078A1CA" w14:textId="77777777" w:rsidR="008C707F" w:rsidRPr="00AA6D51" w:rsidRDefault="008C707F" w:rsidP="00D72BBC">
            <w:pPr>
              <w:pStyle w:val="08-Tabelageral"/>
              <w:ind w:left="113"/>
              <w:jc w:val="left"/>
              <w:rPr>
                <w:rFonts w:cs="Arial"/>
                <w:b/>
                <w:snapToGrid w:val="0"/>
                <w:lang w:eastAsia="en-US"/>
              </w:rPr>
            </w:pPr>
            <w:r>
              <w:rPr>
                <w:rFonts w:cs="Arial"/>
                <w:lang w:eastAsia="en-US"/>
              </w:rPr>
              <w:t>Administrative expenses</w:t>
            </w:r>
          </w:p>
        </w:tc>
        <w:tc>
          <w:tcPr>
            <w:tcW w:w="1860" w:type="dxa"/>
            <w:hideMark/>
          </w:tcPr>
          <w:p w14:paraId="2EE384D8" w14:textId="77777777" w:rsidR="008C707F" w:rsidRPr="00A13715" w:rsidRDefault="008C707F" w:rsidP="00D72BBC">
            <w:pPr>
              <w:pStyle w:val="08-Tabelageral"/>
              <w:rPr>
                <w:rFonts w:cs="Arial"/>
                <w:szCs w:val="14"/>
                <w:lang w:eastAsia="en-US"/>
              </w:rPr>
            </w:pPr>
            <w:r w:rsidRPr="00A13715">
              <w:rPr>
                <w:rFonts w:cs="Arial"/>
                <w:szCs w:val="14"/>
                <w:lang w:eastAsia="en-US"/>
              </w:rPr>
              <w:t>(3</w:t>
            </w:r>
            <w:r>
              <w:rPr>
                <w:rFonts w:cs="Arial"/>
                <w:szCs w:val="14"/>
                <w:lang w:eastAsia="en-US"/>
              </w:rPr>
              <w:t>,</w:t>
            </w:r>
            <w:r w:rsidRPr="00A13715">
              <w:rPr>
                <w:rFonts w:cs="Arial"/>
                <w:szCs w:val="14"/>
                <w:lang w:eastAsia="en-US"/>
              </w:rPr>
              <w:t>867)</w:t>
            </w:r>
          </w:p>
        </w:tc>
        <w:tc>
          <w:tcPr>
            <w:tcW w:w="1860" w:type="dxa"/>
            <w:hideMark/>
          </w:tcPr>
          <w:p w14:paraId="696C30BA" w14:textId="77777777" w:rsidR="008C707F" w:rsidRPr="00AA6D51" w:rsidRDefault="008C707F" w:rsidP="00D72BBC">
            <w:pPr>
              <w:pStyle w:val="08-Tabelageral"/>
              <w:rPr>
                <w:rFonts w:cs="Arial"/>
                <w:szCs w:val="14"/>
                <w:lang w:eastAsia="en-US"/>
              </w:rPr>
            </w:pPr>
            <w:r w:rsidRPr="00AA6D51">
              <w:rPr>
                <w:rFonts w:cs="Arial"/>
                <w:szCs w:val="14"/>
                <w:lang w:eastAsia="en-US"/>
              </w:rPr>
              <w:t>(3</w:t>
            </w:r>
            <w:r>
              <w:rPr>
                <w:rFonts w:cs="Arial"/>
                <w:szCs w:val="14"/>
                <w:lang w:eastAsia="en-US"/>
              </w:rPr>
              <w:t>,</w:t>
            </w:r>
            <w:r w:rsidRPr="00AA6D51">
              <w:rPr>
                <w:rFonts w:cs="Arial"/>
                <w:szCs w:val="14"/>
                <w:lang w:eastAsia="en-US"/>
              </w:rPr>
              <w:t>152)</w:t>
            </w:r>
          </w:p>
        </w:tc>
        <w:tc>
          <w:tcPr>
            <w:tcW w:w="1853" w:type="dxa"/>
            <w:hideMark/>
          </w:tcPr>
          <w:p w14:paraId="7696483D" w14:textId="77777777" w:rsidR="008C707F" w:rsidRPr="00A13715" w:rsidRDefault="008C707F" w:rsidP="00D72BBC">
            <w:pPr>
              <w:pStyle w:val="08-Tabelageral"/>
              <w:rPr>
                <w:rFonts w:cs="Arial"/>
                <w:szCs w:val="14"/>
                <w:lang w:eastAsia="en-US"/>
              </w:rPr>
            </w:pPr>
            <w:r w:rsidRPr="00A13715">
              <w:t>22</w:t>
            </w:r>
            <w:r>
              <w:t>.</w:t>
            </w:r>
            <w:r w:rsidRPr="00A13715">
              <w:t>7</w:t>
            </w:r>
          </w:p>
        </w:tc>
      </w:tr>
      <w:tr w:rsidR="008C707F" w:rsidRPr="00FA31E9" w14:paraId="747C2D02" w14:textId="77777777" w:rsidTr="003A2596">
        <w:trPr>
          <w:trHeight w:hRule="exact" w:val="279"/>
        </w:trPr>
        <w:tc>
          <w:tcPr>
            <w:tcW w:w="4066" w:type="dxa"/>
            <w:hideMark/>
          </w:tcPr>
          <w:p w14:paraId="02D53B43" w14:textId="77777777" w:rsidR="008C707F" w:rsidRPr="00AA6D51" w:rsidRDefault="008C707F" w:rsidP="00D72BBC">
            <w:pPr>
              <w:pStyle w:val="08-Tabelageral"/>
              <w:ind w:left="113"/>
              <w:jc w:val="left"/>
              <w:rPr>
                <w:rFonts w:cs="Arial"/>
                <w:b/>
                <w:lang w:eastAsia="en-US"/>
              </w:rPr>
            </w:pPr>
            <w:r>
              <w:rPr>
                <w:rFonts w:cs="Arial"/>
                <w:lang w:eastAsia="en-US"/>
              </w:rPr>
              <w:t>Tax expenses</w:t>
            </w:r>
          </w:p>
        </w:tc>
        <w:tc>
          <w:tcPr>
            <w:tcW w:w="1860" w:type="dxa"/>
            <w:hideMark/>
          </w:tcPr>
          <w:p w14:paraId="494F331C" w14:textId="77777777" w:rsidR="008C707F" w:rsidRPr="00A13715" w:rsidRDefault="008C707F" w:rsidP="00D72BBC">
            <w:pPr>
              <w:pStyle w:val="08-Tabelageral"/>
              <w:rPr>
                <w:rFonts w:cs="Arial"/>
                <w:szCs w:val="14"/>
                <w:lang w:eastAsia="en-US"/>
              </w:rPr>
            </w:pPr>
            <w:r w:rsidRPr="00A13715">
              <w:rPr>
                <w:rFonts w:cs="Arial"/>
                <w:szCs w:val="14"/>
                <w:lang w:eastAsia="en-US"/>
              </w:rPr>
              <w:t>(2</w:t>
            </w:r>
            <w:r>
              <w:rPr>
                <w:rFonts w:cs="Arial"/>
                <w:szCs w:val="14"/>
                <w:lang w:eastAsia="en-US"/>
              </w:rPr>
              <w:t>,</w:t>
            </w:r>
            <w:r w:rsidRPr="00A13715">
              <w:rPr>
                <w:rFonts w:cs="Arial"/>
                <w:szCs w:val="14"/>
                <w:lang w:eastAsia="en-US"/>
              </w:rPr>
              <w:t>914)</w:t>
            </w:r>
          </w:p>
        </w:tc>
        <w:tc>
          <w:tcPr>
            <w:tcW w:w="1860" w:type="dxa"/>
            <w:hideMark/>
          </w:tcPr>
          <w:p w14:paraId="7E6894BC" w14:textId="77777777" w:rsidR="008C707F" w:rsidRPr="00AA6D51" w:rsidRDefault="008C707F" w:rsidP="00D72BBC">
            <w:pPr>
              <w:pStyle w:val="08-Tabelageral"/>
              <w:rPr>
                <w:rFonts w:cs="Arial"/>
                <w:szCs w:val="14"/>
                <w:lang w:eastAsia="en-US"/>
              </w:rPr>
            </w:pPr>
            <w:r w:rsidRPr="00AA6D51">
              <w:rPr>
                <w:rFonts w:cs="Arial"/>
                <w:szCs w:val="14"/>
                <w:lang w:eastAsia="en-US"/>
              </w:rPr>
              <w:t>(2</w:t>
            </w:r>
            <w:r>
              <w:rPr>
                <w:rFonts w:cs="Arial"/>
                <w:szCs w:val="14"/>
                <w:lang w:eastAsia="en-US"/>
              </w:rPr>
              <w:t>,</w:t>
            </w:r>
            <w:r w:rsidRPr="00AA6D51">
              <w:rPr>
                <w:rFonts w:cs="Arial"/>
                <w:szCs w:val="14"/>
                <w:lang w:eastAsia="en-US"/>
              </w:rPr>
              <w:t>083)</w:t>
            </w:r>
          </w:p>
        </w:tc>
        <w:tc>
          <w:tcPr>
            <w:tcW w:w="1853" w:type="dxa"/>
            <w:hideMark/>
          </w:tcPr>
          <w:p w14:paraId="0D1EDFCB" w14:textId="77777777" w:rsidR="008C707F" w:rsidRPr="00A13715" w:rsidRDefault="008C707F" w:rsidP="00D72BBC">
            <w:pPr>
              <w:pStyle w:val="08-Tabelageral"/>
              <w:rPr>
                <w:rFonts w:cs="Arial"/>
                <w:szCs w:val="14"/>
                <w:lang w:eastAsia="en-US"/>
              </w:rPr>
            </w:pPr>
            <w:r w:rsidRPr="00A13715">
              <w:t>39</w:t>
            </w:r>
            <w:r>
              <w:t>.</w:t>
            </w:r>
            <w:r w:rsidRPr="00A13715">
              <w:t>9</w:t>
            </w:r>
          </w:p>
        </w:tc>
      </w:tr>
      <w:tr w:rsidR="008C707F" w:rsidRPr="00FA31E9" w14:paraId="5945C2B5" w14:textId="77777777" w:rsidTr="003A2596">
        <w:trPr>
          <w:trHeight w:hRule="exact" w:val="284"/>
        </w:trPr>
        <w:tc>
          <w:tcPr>
            <w:tcW w:w="4066" w:type="dxa"/>
            <w:hideMark/>
          </w:tcPr>
          <w:p w14:paraId="5AD7A3C1" w14:textId="77777777" w:rsidR="008C707F" w:rsidRPr="00AA6D51" w:rsidRDefault="008C707F" w:rsidP="00D72BBC">
            <w:pPr>
              <w:pStyle w:val="08-Tabelageral"/>
              <w:ind w:left="113"/>
              <w:jc w:val="left"/>
              <w:rPr>
                <w:rFonts w:cs="Arial"/>
                <w:b/>
                <w:lang w:eastAsia="en-US"/>
              </w:rPr>
            </w:pPr>
            <w:r>
              <w:rPr>
                <w:rFonts w:cs="Arial"/>
                <w:lang w:eastAsia="en-US"/>
              </w:rPr>
              <w:t>Other operating income/(expenses)</w:t>
            </w:r>
          </w:p>
        </w:tc>
        <w:tc>
          <w:tcPr>
            <w:tcW w:w="1860" w:type="dxa"/>
            <w:hideMark/>
          </w:tcPr>
          <w:p w14:paraId="1DB21109" w14:textId="77777777" w:rsidR="008C707F" w:rsidRPr="00A13715" w:rsidRDefault="008C707F" w:rsidP="00D72BBC">
            <w:pPr>
              <w:pStyle w:val="08-Tabelageral"/>
              <w:rPr>
                <w:rFonts w:cs="Arial"/>
                <w:szCs w:val="14"/>
                <w:lang w:eastAsia="en-US"/>
              </w:rPr>
            </w:pPr>
            <w:r w:rsidRPr="00A13715">
              <w:rPr>
                <w:rFonts w:cs="Arial"/>
                <w:szCs w:val="14"/>
                <w:lang w:eastAsia="en-US"/>
              </w:rPr>
              <w:t>8</w:t>
            </w:r>
            <w:r>
              <w:rPr>
                <w:rFonts w:cs="Arial"/>
                <w:szCs w:val="14"/>
                <w:lang w:eastAsia="en-US"/>
              </w:rPr>
              <w:t>,</w:t>
            </w:r>
            <w:r w:rsidRPr="00A13715">
              <w:rPr>
                <w:rFonts w:cs="Arial"/>
                <w:szCs w:val="14"/>
                <w:lang w:eastAsia="en-US"/>
              </w:rPr>
              <w:t>199</w:t>
            </w:r>
          </w:p>
        </w:tc>
        <w:tc>
          <w:tcPr>
            <w:tcW w:w="1860" w:type="dxa"/>
            <w:hideMark/>
          </w:tcPr>
          <w:p w14:paraId="53444BA7" w14:textId="77777777" w:rsidR="008C707F" w:rsidRPr="00AA6D51" w:rsidRDefault="008C707F" w:rsidP="00D72BBC">
            <w:pPr>
              <w:pStyle w:val="08-Tabelageral"/>
              <w:rPr>
                <w:rFonts w:cs="Arial"/>
                <w:szCs w:val="14"/>
                <w:lang w:eastAsia="en-US"/>
              </w:rPr>
            </w:pPr>
            <w:r w:rsidRPr="00AA6D51">
              <w:rPr>
                <w:rFonts w:cs="Arial"/>
                <w:szCs w:val="14"/>
                <w:lang w:eastAsia="en-US"/>
              </w:rPr>
              <w:t>8</w:t>
            </w:r>
            <w:r>
              <w:rPr>
                <w:rFonts w:cs="Arial"/>
                <w:szCs w:val="14"/>
                <w:lang w:eastAsia="en-US"/>
              </w:rPr>
              <w:t>,</w:t>
            </w:r>
            <w:r w:rsidRPr="00AA6D51">
              <w:rPr>
                <w:rFonts w:cs="Arial"/>
                <w:szCs w:val="14"/>
                <w:lang w:eastAsia="en-US"/>
              </w:rPr>
              <w:t>830</w:t>
            </w:r>
          </w:p>
        </w:tc>
        <w:tc>
          <w:tcPr>
            <w:tcW w:w="1853" w:type="dxa"/>
            <w:hideMark/>
          </w:tcPr>
          <w:p w14:paraId="7E172725" w14:textId="77777777" w:rsidR="008C707F" w:rsidRPr="00A13715" w:rsidRDefault="008C707F" w:rsidP="00D72BBC">
            <w:pPr>
              <w:pStyle w:val="08-Tabelageral"/>
              <w:rPr>
                <w:rFonts w:cs="Arial"/>
                <w:szCs w:val="14"/>
                <w:lang w:eastAsia="en-US"/>
              </w:rPr>
            </w:pPr>
            <w:r w:rsidRPr="00A13715">
              <w:t>(7</w:t>
            </w:r>
            <w:r>
              <w:t>.</w:t>
            </w:r>
            <w:r w:rsidRPr="00A13715">
              <w:t>1)</w:t>
            </w:r>
          </w:p>
        </w:tc>
      </w:tr>
      <w:tr w:rsidR="008C707F" w:rsidRPr="003A2596" w14:paraId="467D4BB2" w14:textId="77777777" w:rsidTr="003A2596">
        <w:trPr>
          <w:trHeight w:hRule="exact" w:val="238"/>
        </w:trPr>
        <w:tc>
          <w:tcPr>
            <w:tcW w:w="4066" w:type="dxa"/>
            <w:hideMark/>
          </w:tcPr>
          <w:p w14:paraId="644B74CA" w14:textId="77777777" w:rsidR="008C707F" w:rsidRPr="003A2596" w:rsidRDefault="008C707F" w:rsidP="00D72BBC">
            <w:pPr>
              <w:pStyle w:val="08-Tabelageral"/>
              <w:jc w:val="left"/>
              <w:rPr>
                <w:rFonts w:cs="Arial"/>
                <w:b/>
                <w:bCs/>
                <w:snapToGrid w:val="0"/>
                <w:lang w:eastAsia="en-US"/>
              </w:rPr>
            </w:pPr>
            <w:r w:rsidRPr="003A2596">
              <w:rPr>
                <w:rFonts w:cs="Arial"/>
                <w:b/>
                <w:bCs/>
                <w:lang w:eastAsia="en-US"/>
              </w:rPr>
              <w:t>Financial result</w:t>
            </w:r>
          </w:p>
        </w:tc>
        <w:tc>
          <w:tcPr>
            <w:tcW w:w="1860" w:type="dxa"/>
            <w:hideMark/>
          </w:tcPr>
          <w:p w14:paraId="3DCC5DD2" w14:textId="77777777" w:rsidR="008C707F" w:rsidRPr="003A2596" w:rsidRDefault="008C707F" w:rsidP="00D72BBC">
            <w:pPr>
              <w:pStyle w:val="08-Tabelageral"/>
              <w:rPr>
                <w:rFonts w:cs="Arial"/>
                <w:b/>
                <w:bCs/>
                <w:szCs w:val="14"/>
                <w:lang w:eastAsia="en-US"/>
              </w:rPr>
            </w:pPr>
            <w:r w:rsidRPr="003A2596">
              <w:rPr>
                <w:rFonts w:cs="Arial"/>
                <w:b/>
                <w:bCs/>
                <w:szCs w:val="14"/>
                <w:lang w:eastAsia="en-US"/>
              </w:rPr>
              <w:t>16,370</w:t>
            </w:r>
          </w:p>
        </w:tc>
        <w:tc>
          <w:tcPr>
            <w:tcW w:w="1860" w:type="dxa"/>
            <w:hideMark/>
          </w:tcPr>
          <w:p w14:paraId="64382577" w14:textId="77777777" w:rsidR="008C707F" w:rsidRPr="003A2596" w:rsidRDefault="008C707F" w:rsidP="00D72BBC">
            <w:pPr>
              <w:pStyle w:val="08-Tabelageral"/>
              <w:rPr>
                <w:rFonts w:cs="Arial"/>
                <w:b/>
                <w:bCs/>
                <w:szCs w:val="14"/>
                <w:lang w:eastAsia="en-US"/>
              </w:rPr>
            </w:pPr>
            <w:r w:rsidRPr="003A2596">
              <w:rPr>
                <w:rFonts w:cs="Arial"/>
                <w:b/>
                <w:bCs/>
                <w:szCs w:val="14"/>
                <w:lang w:eastAsia="en-US"/>
              </w:rPr>
              <w:t>22,901</w:t>
            </w:r>
          </w:p>
        </w:tc>
        <w:tc>
          <w:tcPr>
            <w:tcW w:w="1853" w:type="dxa"/>
            <w:hideMark/>
          </w:tcPr>
          <w:p w14:paraId="590240D0" w14:textId="77777777" w:rsidR="008C707F" w:rsidRPr="003A2596" w:rsidRDefault="008C707F" w:rsidP="00D72BBC">
            <w:pPr>
              <w:pStyle w:val="08-Tabelageral"/>
              <w:rPr>
                <w:rFonts w:cs="Arial"/>
                <w:b/>
                <w:bCs/>
                <w:szCs w:val="14"/>
                <w:lang w:eastAsia="en-US"/>
              </w:rPr>
            </w:pPr>
            <w:r w:rsidRPr="003A2596">
              <w:rPr>
                <w:b/>
                <w:bCs/>
              </w:rPr>
              <w:t>(28.5)</w:t>
            </w:r>
          </w:p>
        </w:tc>
      </w:tr>
      <w:tr w:rsidR="008C707F" w:rsidRPr="00FA31E9" w14:paraId="32DCCD81" w14:textId="77777777" w:rsidTr="003A2596">
        <w:trPr>
          <w:trHeight w:hRule="exact" w:val="238"/>
        </w:trPr>
        <w:tc>
          <w:tcPr>
            <w:tcW w:w="4066" w:type="dxa"/>
            <w:hideMark/>
          </w:tcPr>
          <w:p w14:paraId="4FCDC73A" w14:textId="77777777" w:rsidR="008C707F" w:rsidRPr="00AA6D51" w:rsidRDefault="008C707F" w:rsidP="00D72BBC">
            <w:pPr>
              <w:pStyle w:val="08-Tabelageral"/>
              <w:ind w:left="113"/>
              <w:jc w:val="left"/>
              <w:rPr>
                <w:rFonts w:cs="Arial"/>
                <w:lang w:eastAsia="en-US"/>
              </w:rPr>
            </w:pPr>
            <w:r>
              <w:rPr>
                <w:rFonts w:cs="Arial"/>
                <w:lang w:eastAsia="en-US"/>
              </w:rPr>
              <w:t>Financial income</w:t>
            </w:r>
          </w:p>
        </w:tc>
        <w:tc>
          <w:tcPr>
            <w:tcW w:w="1860" w:type="dxa"/>
            <w:hideMark/>
          </w:tcPr>
          <w:p w14:paraId="2460D490" w14:textId="77777777" w:rsidR="008C707F" w:rsidRPr="00A13715" w:rsidRDefault="008C707F" w:rsidP="00D72BBC">
            <w:pPr>
              <w:pStyle w:val="08-Tabelageral"/>
              <w:rPr>
                <w:rFonts w:cs="Arial"/>
                <w:bCs/>
                <w:szCs w:val="14"/>
                <w:lang w:eastAsia="en-US"/>
              </w:rPr>
            </w:pPr>
            <w:r w:rsidRPr="00A13715">
              <w:rPr>
                <w:rFonts w:cs="Arial"/>
                <w:bCs/>
                <w:szCs w:val="14"/>
                <w:lang w:eastAsia="en-US"/>
              </w:rPr>
              <w:t>44</w:t>
            </w:r>
            <w:r>
              <w:rPr>
                <w:rFonts w:cs="Arial"/>
                <w:bCs/>
                <w:szCs w:val="14"/>
                <w:lang w:eastAsia="en-US"/>
              </w:rPr>
              <w:t>,</w:t>
            </w:r>
            <w:r w:rsidRPr="00A13715">
              <w:rPr>
                <w:rFonts w:cs="Arial"/>
                <w:bCs/>
                <w:szCs w:val="14"/>
                <w:lang w:eastAsia="en-US"/>
              </w:rPr>
              <w:t>465</w:t>
            </w:r>
          </w:p>
        </w:tc>
        <w:tc>
          <w:tcPr>
            <w:tcW w:w="1860" w:type="dxa"/>
            <w:hideMark/>
          </w:tcPr>
          <w:p w14:paraId="31C75FA5" w14:textId="77777777" w:rsidR="008C707F" w:rsidRPr="00AA6D51" w:rsidRDefault="008C707F" w:rsidP="00D72BBC">
            <w:pPr>
              <w:pStyle w:val="08-Tabelageral"/>
              <w:rPr>
                <w:rFonts w:cs="Arial"/>
                <w:b/>
                <w:szCs w:val="14"/>
                <w:lang w:eastAsia="en-US"/>
              </w:rPr>
            </w:pPr>
            <w:r w:rsidRPr="00AA6D51">
              <w:rPr>
                <w:rFonts w:cs="Arial"/>
                <w:bCs/>
                <w:szCs w:val="14"/>
                <w:lang w:eastAsia="en-US"/>
              </w:rPr>
              <w:t>26</w:t>
            </w:r>
            <w:r>
              <w:rPr>
                <w:rFonts w:cs="Arial"/>
                <w:bCs/>
                <w:szCs w:val="14"/>
                <w:lang w:eastAsia="en-US"/>
              </w:rPr>
              <w:t>,</w:t>
            </w:r>
            <w:r w:rsidRPr="00AA6D51">
              <w:rPr>
                <w:rFonts w:cs="Arial"/>
                <w:bCs/>
                <w:szCs w:val="14"/>
                <w:lang w:eastAsia="en-US"/>
              </w:rPr>
              <w:t>992</w:t>
            </w:r>
          </w:p>
        </w:tc>
        <w:tc>
          <w:tcPr>
            <w:tcW w:w="1853" w:type="dxa"/>
            <w:hideMark/>
          </w:tcPr>
          <w:p w14:paraId="48AD13C8" w14:textId="77777777" w:rsidR="008C707F" w:rsidRPr="00A13715" w:rsidRDefault="008C707F" w:rsidP="00D72BBC">
            <w:pPr>
              <w:pStyle w:val="08-Tabelageral"/>
              <w:rPr>
                <w:rFonts w:cs="Arial"/>
                <w:b/>
                <w:szCs w:val="14"/>
                <w:lang w:eastAsia="en-US"/>
              </w:rPr>
            </w:pPr>
            <w:r w:rsidRPr="00A13715">
              <w:t>64</w:t>
            </w:r>
            <w:r>
              <w:t>.</w:t>
            </w:r>
            <w:r w:rsidRPr="00A13715">
              <w:t>7</w:t>
            </w:r>
          </w:p>
        </w:tc>
      </w:tr>
      <w:tr w:rsidR="008C707F" w:rsidRPr="00FA31E9" w14:paraId="61E6BB99" w14:textId="77777777" w:rsidTr="003A2596">
        <w:trPr>
          <w:trHeight w:hRule="exact" w:val="238"/>
        </w:trPr>
        <w:tc>
          <w:tcPr>
            <w:tcW w:w="4066" w:type="dxa"/>
            <w:hideMark/>
          </w:tcPr>
          <w:p w14:paraId="5BC48C47" w14:textId="77777777" w:rsidR="008C707F" w:rsidRPr="00AA6D51" w:rsidRDefault="008C707F" w:rsidP="00D72BBC">
            <w:pPr>
              <w:pStyle w:val="08-Tabelageral"/>
              <w:ind w:left="113"/>
              <w:jc w:val="left"/>
              <w:rPr>
                <w:rFonts w:cs="Arial"/>
                <w:b/>
                <w:lang w:eastAsia="en-US"/>
              </w:rPr>
            </w:pPr>
            <w:r>
              <w:rPr>
                <w:rFonts w:cs="Arial"/>
                <w:lang w:eastAsia="en-US"/>
              </w:rPr>
              <w:t xml:space="preserve">Financial expenses </w:t>
            </w:r>
          </w:p>
        </w:tc>
        <w:tc>
          <w:tcPr>
            <w:tcW w:w="1860" w:type="dxa"/>
            <w:hideMark/>
          </w:tcPr>
          <w:p w14:paraId="1E466566" w14:textId="77777777" w:rsidR="008C707F" w:rsidRPr="00A13715" w:rsidRDefault="008C707F" w:rsidP="00D72BBC">
            <w:pPr>
              <w:pStyle w:val="08-Tabelageral"/>
              <w:rPr>
                <w:rFonts w:cs="Arial"/>
                <w:szCs w:val="14"/>
                <w:lang w:eastAsia="en-US"/>
              </w:rPr>
            </w:pPr>
            <w:r w:rsidRPr="00A13715">
              <w:rPr>
                <w:rFonts w:cs="Arial"/>
                <w:szCs w:val="14"/>
                <w:lang w:eastAsia="en-US"/>
              </w:rPr>
              <w:t>(28</w:t>
            </w:r>
            <w:r>
              <w:rPr>
                <w:rFonts w:cs="Arial"/>
                <w:szCs w:val="14"/>
                <w:lang w:eastAsia="en-US"/>
              </w:rPr>
              <w:t>,</w:t>
            </w:r>
            <w:r w:rsidRPr="00A13715">
              <w:rPr>
                <w:rFonts w:cs="Arial"/>
                <w:szCs w:val="14"/>
                <w:lang w:eastAsia="en-US"/>
              </w:rPr>
              <w:t>095)</w:t>
            </w:r>
          </w:p>
        </w:tc>
        <w:tc>
          <w:tcPr>
            <w:tcW w:w="1860" w:type="dxa"/>
            <w:hideMark/>
          </w:tcPr>
          <w:p w14:paraId="0DACB939" w14:textId="77777777" w:rsidR="008C707F" w:rsidRPr="00AA6D51" w:rsidRDefault="008C707F" w:rsidP="00D72BBC">
            <w:pPr>
              <w:pStyle w:val="08-Tabelageral"/>
              <w:rPr>
                <w:rFonts w:cs="Arial"/>
                <w:szCs w:val="14"/>
                <w:lang w:eastAsia="en-US"/>
              </w:rPr>
            </w:pPr>
            <w:r w:rsidRPr="00AA6D51">
              <w:rPr>
                <w:rFonts w:cs="Arial"/>
                <w:szCs w:val="14"/>
                <w:lang w:eastAsia="en-US"/>
              </w:rPr>
              <w:t>(4</w:t>
            </w:r>
            <w:r>
              <w:rPr>
                <w:rFonts w:cs="Arial"/>
                <w:szCs w:val="14"/>
                <w:lang w:eastAsia="en-US"/>
              </w:rPr>
              <w:t>,</w:t>
            </w:r>
            <w:r w:rsidRPr="00AA6D51">
              <w:rPr>
                <w:rFonts w:cs="Arial"/>
                <w:szCs w:val="14"/>
                <w:lang w:eastAsia="en-US"/>
              </w:rPr>
              <w:t>091)</w:t>
            </w:r>
          </w:p>
        </w:tc>
        <w:tc>
          <w:tcPr>
            <w:tcW w:w="1853" w:type="dxa"/>
            <w:hideMark/>
          </w:tcPr>
          <w:p w14:paraId="364A77E7" w14:textId="77777777" w:rsidR="008C707F" w:rsidRPr="00A13715" w:rsidRDefault="008C707F" w:rsidP="00D72BBC">
            <w:pPr>
              <w:pStyle w:val="08-Tabelageral"/>
              <w:rPr>
                <w:rFonts w:cs="Arial"/>
                <w:szCs w:val="14"/>
                <w:lang w:eastAsia="en-US"/>
              </w:rPr>
            </w:pPr>
            <w:r w:rsidRPr="00A13715">
              <w:t>586</w:t>
            </w:r>
            <w:r>
              <w:t>.</w:t>
            </w:r>
            <w:r w:rsidRPr="00A13715">
              <w:t>8</w:t>
            </w:r>
          </w:p>
        </w:tc>
      </w:tr>
      <w:tr w:rsidR="008C707F" w:rsidRPr="003A2596" w14:paraId="7A7B4288" w14:textId="77777777" w:rsidTr="003A2596">
        <w:trPr>
          <w:trHeight w:hRule="exact" w:val="238"/>
        </w:trPr>
        <w:tc>
          <w:tcPr>
            <w:tcW w:w="4066" w:type="dxa"/>
            <w:hideMark/>
          </w:tcPr>
          <w:p w14:paraId="6BB7BEE3" w14:textId="77777777" w:rsidR="008C707F" w:rsidRPr="003A2596" w:rsidRDefault="008C707F" w:rsidP="00D72BBC">
            <w:pPr>
              <w:pStyle w:val="08-Tabelageral"/>
              <w:jc w:val="left"/>
              <w:rPr>
                <w:rFonts w:cs="Arial"/>
                <w:b/>
                <w:bCs/>
                <w:lang w:eastAsia="en-US"/>
              </w:rPr>
            </w:pPr>
            <w:r w:rsidRPr="003A2596">
              <w:rPr>
                <w:rFonts w:cs="Arial"/>
                <w:b/>
                <w:bCs/>
                <w:lang w:eastAsia="en-US"/>
              </w:rPr>
              <w:t>Earnings before taxes</w:t>
            </w:r>
          </w:p>
        </w:tc>
        <w:tc>
          <w:tcPr>
            <w:tcW w:w="1860" w:type="dxa"/>
            <w:hideMark/>
          </w:tcPr>
          <w:p w14:paraId="0322F04C" w14:textId="77777777" w:rsidR="008C707F" w:rsidRPr="003A2596" w:rsidRDefault="008C707F" w:rsidP="00D72BBC">
            <w:pPr>
              <w:pStyle w:val="08-Tabelageral"/>
              <w:rPr>
                <w:rFonts w:cs="Arial"/>
                <w:b/>
                <w:bCs/>
                <w:szCs w:val="14"/>
                <w:lang w:eastAsia="en-US"/>
              </w:rPr>
            </w:pPr>
            <w:r w:rsidRPr="003A2596">
              <w:rPr>
                <w:rFonts w:cs="Arial"/>
                <w:b/>
                <w:bCs/>
                <w:szCs w:val="14"/>
                <w:lang w:eastAsia="en-US"/>
              </w:rPr>
              <w:t>6,045,621</w:t>
            </w:r>
          </w:p>
        </w:tc>
        <w:tc>
          <w:tcPr>
            <w:tcW w:w="1860" w:type="dxa"/>
            <w:hideMark/>
          </w:tcPr>
          <w:p w14:paraId="6E694163" w14:textId="77777777" w:rsidR="008C707F" w:rsidRPr="003A2596" w:rsidRDefault="008C707F" w:rsidP="00D72BBC">
            <w:pPr>
              <w:pStyle w:val="08-Tabelageral"/>
              <w:rPr>
                <w:rFonts w:cs="Arial"/>
                <w:b/>
                <w:bCs/>
                <w:szCs w:val="14"/>
                <w:lang w:eastAsia="en-US"/>
              </w:rPr>
            </w:pPr>
            <w:r w:rsidRPr="003A2596">
              <w:rPr>
                <w:rFonts w:cs="Arial"/>
                <w:b/>
                <w:bCs/>
                <w:szCs w:val="14"/>
                <w:lang w:eastAsia="en-US"/>
              </w:rPr>
              <w:t>3,937,922</w:t>
            </w:r>
          </w:p>
        </w:tc>
        <w:tc>
          <w:tcPr>
            <w:tcW w:w="1853" w:type="dxa"/>
            <w:hideMark/>
          </w:tcPr>
          <w:p w14:paraId="56FE727E" w14:textId="77777777" w:rsidR="008C707F" w:rsidRPr="003A2596" w:rsidRDefault="008C707F" w:rsidP="00D72BBC">
            <w:pPr>
              <w:pStyle w:val="08-Tabelageral"/>
              <w:rPr>
                <w:rFonts w:cs="Arial"/>
                <w:b/>
                <w:bCs/>
                <w:szCs w:val="14"/>
                <w:lang w:eastAsia="en-US"/>
              </w:rPr>
            </w:pPr>
            <w:r w:rsidRPr="003A2596">
              <w:rPr>
                <w:b/>
                <w:bCs/>
              </w:rPr>
              <w:t>53.5</w:t>
            </w:r>
          </w:p>
        </w:tc>
      </w:tr>
      <w:tr w:rsidR="008C707F" w:rsidRPr="00FA31E9" w14:paraId="48E3F53D" w14:textId="77777777" w:rsidTr="003A2596">
        <w:trPr>
          <w:trHeight w:hRule="exact" w:val="238"/>
        </w:trPr>
        <w:tc>
          <w:tcPr>
            <w:tcW w:w="4066" w:type="dxa"/>
            <w:hideMark/>
          </w:tcPr>
          <w:p w14:paraId="65B457C9" w14:textId="77777777" w:rsidR="008C707F" w:rsidRPr="00AA6D51" w:rsidRDefault="008C707F" w:rsidP="00D72BBC">
            <w:pPr>
              <w:pStyle w:val="08-Tabelageral"/>
              <w:ind w:left="113"/>
              <w:jc w:val="left"/>
              <w:rPr>
                <w:rFonts w:cs="Arial"/>
                <w:snapToGrid w:val="0"/>
                <w:lang w:eastAsia="en-US"/>
              </w:rPr>
            </w:pPr>
            <w:r>
              <w:rPr>
                <w:rFonts w:cs="Arial"/>
                <w:lang w:eastAsia="en-US"/>
              </w:rPr>
              <w:t>Income taxes</w:t>
            </w:r>
          </w:p>
        </w:tc>
        <w:tc>
          <w:tcPr>
            <w:tcW w:w="1860" w:type="dxa"/>
            <w:hideMark/>
          </w:tcPr>
          <w:p w14:paraId="5298A7F0" w14:textId="77777777" w:rsidR="008C707F" w:rsidRPr="00A13715" w:rsidRDefault="008C707F" w:rsidP="00D72BBC">
            <w:pPr>
              <w:pStyle w:val="08-Tabelageral"/>
              <w:rPr>
                <w:rFonts w:cs="Arial"/>
                <w:b/>
                <w:szCs w:val="14"/>
                <w:lang w:eastAsia="en-US"/>
              </w:rPr>
            </w:pPr>
            <w:r w:rsidRPr="00A13715">
              <w:rPr>
                <w:rFonts w:cs="Arial"/>
                <w:szCs w:val="14"/>
                <w:lang w:eastAsia="en-US"/>
              </w:rPr>
              <w:t>(1</w:t>
            </w:r>
            <w:r>
              <w:rPr>
                <w:rFonts w:cs="Arial"/>
                <w:szCs w:val="14"/>
                <w:lang w:eastAsia="en-US"/>
              </w:rPr>
              <w:t>,</w:t>
            </w:r>
            <w:r w:rsidRPr="00A13715">
              <w:rPr>
                <w:rFonts w:cs="Arial"/>
                <w:szCs w:val="14"/>
                <w:lang w:eastAsia="en-US"/>
              </w:rPr>
              <w:t>050)</w:t>
            </w:r>
          </w:p>
        </w:tc>
        <w:tc>
          <w:tcPr>
            <w:tcW w:w="1860" w:type="dxa"/>
            <w:hideMark/>
          </w:tcPr>
          <w:p w14:paraId="456F8DEF" w14:textId="77777777" w:rsidR="008C707F" w:rsidRPr="00AA6D51" w:rsidRDefault="008C707F" w:rsidP="00D72BBC">
            <w:pPr>
              <w:pStyle w:val="08-Tabelageral"/>
              <w:rPr>
                <w:rFonts w:cs="Arial"/>
                <w:b/>
                <w:szCs w:val="14"/>
                <w:lang w:eastAsia="en-US"/>
              </w:rPr>
            </w:pPr>
            <w:r w:rsidRPr="00AA6D51">
              <w:rPr>
                <w:rFonts w:cs="Arial"/>
                <w:szCs w:val="14"/>
                <w:lang w:eastAsia="en-US"/>
              </w:rPr>
              <w:t>(4</w:t>
            </w:r>
            <w:r>
              <w:rPr>
                <w:rFonts w:cs="Arial"/>
                <w:szCs w:val="14"/>
                <w:lang w:eastAsia="en-US"/>
              </w:rPr>
              <w:t>,</w:t>
            </w:r>
            <w:r w:rsidRPr="00AA6D51">
              <w:rPr>
                <w:rFonts w:cs="Arial"/>
                <w:szCs w:val="14"/>
                <w:lang w:eastAsia="en-US"/>
              </w:rPr>
              <w:t>705)</w:t>
            </w:r>
          </w:p>
        </w:tc>
        <w:tc>
          <w:tcPr>
            <w:tcW w:w="1853" w:type="dxa"/>
            <w:hideMark/>
          </w:tcPr>
          <w:p w14:paraId="63A4EB4E" w14:textId="77777777" w:rsidR="008C707F" w:rsidRPr="00A13715" w:rsidRDefault="008C707F" w:rsidP="00D72BBC">
            <w:pPr>
              <w:pStyle w:val="08-Tabelageral"/>
              <w:rPr>
                <w:rFonts w:cs="Arial"/>
                <w:b/>
                <w:szCs w:val="14"/>
                <w:lang w:eastAsia="en-US"/>
              </w:rPr>
            </w:pPr>
            <w:r w:rsidRPr="00A13715">
              <w:t>(77</w:t>
            </w:r>
            <w:r>
              <w:t>.</w:t>
            </w:r>
            <w:r w:rsidRPr="00A13715">
              <w:t>7)</w:t>
            </w:r>
          </w:p>
        </w:tc>
      </w:tr>
      <w:tr w:rsidR="008C707F" w:rsidRPr="003A2596" w14:paraId="060AC763" w14:textId="77777777" w:rsidTr="003A2596">
        <w:trPr>
          <w:trHeight w:hRule="exact" w:val="238"/>
        </w:trPr>
        <w:tc>
          <w:tcPr>
            <w:tcW w:w="4066" w:type="dxa"/>
            <w:hideMark/>
          </w:tcPr>
          <w:p w14:paraId="6C440032" w14:textId="77777777" w:rsidR="008C707F" w:rsidRPr="003A2596" w:rsidRDefault="008C707F" w:rsidP="00D72BBC">
            <w:pPr>
              <w:pStyle w:val="08-Tabelageral"/>
              <w:jc w:val="left"/>
              <w:rPr>
                <w:rFonts w:cs="Arial"/>
                <w:b/>
                <w:bCs/>
                <w:snapToGrid w:val="0"/>
                <w:lang w:eastAsia="en-US"/>
              </w:rPr>
            </w:pPr>
            <w:r w:rsidRPr="003A2596">
              <w:rPr>
                <w:rFonts w:cs="Arial"/>
                <w:b/>
                <w:bCs/>
                <w:lang w:eastAsia="en-US"/>
              </w:rPr>
              <w:t>Net income</w:t>
            </w:r>
          </w:p>
        </w:tc>
        <w:tc>
          <w:tcPr>
            <w:tcW w:w="1860" w:type="dxa"/>
            <w:hideMark/>
          </w:tcPr>
          <w:p w14:paraId="07C8729B" w14:textId="77777777" w:rsidR="008C707F" w:rsidRPr="003A2596" w:rsidRDefault="008C707F" w:rsidP="00D72BBC">
            <w:pPr>
              <w:pStyle w:val="08-Tabelageral"/>
              <w:rPr>
                <w:rFonts w:cs="Arial"/>
                <w:b/>
                <w:bCs/>
                <w:szCs w:val="14"/>
                <w:lang w:eastAsia="en-US"/>
              </w:rPr>
            </w:pPr>
            <w:r w:rsidRPr="003A2596">
              <w:rPr>
                <w:rFonts w:cs="Arial"/>
                <w:b/>
                <w:bCs/>
                <w:szCs w:val="14"/>
                <w:lang w:eastAsia="en-US"/>
              </w:rPr>
              <w:t>6,044,571</w:t>
            </w:r>
          </w:p>
        </w:tc>
        <w:tc>
          <w:tcPr>
            <w:tcW w:w="1860" w:type="dxa"/>
            <w:hideMark/>
          </w:tcPr>
          <w:p w14:paraId="2FE16247" w14:textId="77777777" w:rsidR="008C707F" w:rsidRPr="003A2596" w:rsidRDefault="008C707F" w:rsidP="00D72BBC">
            <w:pPr>
              <w:pStyle w:val="08-Tabelageral"/>
              <w:rPr>
                <w:rFonts w:cs="Arial"/>
                <w:b/>
                <w:bCs/>
                <w:szCs w:val="14"/>
                <w:lang w:eastAsia="en-US"/>
              </w:rPr>
            </w:pPr>
            <w:r w:rsidRPr="003A2596">
              <w:rPr>
                <w:rFonts w:cs="Arial"/>
                <w:b/>
                <w:bCs/>
                <w:szCs w:val="14"/>
                <w:lang w:eastAsia="en-US"/>
              </w:rPr>
              <w:t>3,933,217</w:t>
            </w:r>
          </w:p>
        </w:tc>
        <w:tc>
          <w:tcPr>
            <w:tcW w:w="1853" w:type="dxa"/>
            <w:hideMark/>
          </w:tcPr>
          <w:p w14:paraId="7483F995" w14:textId="77777777" w:rsidR="008C707F" w:rsidRPr="003A2596" w:rsidRDefault="008C707F" w:rsidP="00D72BBC">
            <w:pPr>
              <w:pStyle w:val="08-Tabelageral"/>
              <w:rPr>
                <w:rFonts w:cs="Arial"/>
                <w:b/>
                <w:bCs/>
                <w:szCs w:val="14"/>
                <w:lang w:eastAsia="en-US"/>
              </w:rPr>
            </w:pPr>
            <w:r w:rsidRPr="003A2596">
              <w:rPr>
                <w:b/>
                <w:bCs/>
              </w:rPr>
              <w:t>53.7</w:t>
            </w:r>
          </w:p>
        </w:tc>
      </w:tr>
    </w:tbl>
    <w:p w14:paraId="668FD6FC" w14:textId="77777777" w:rsidR="008C707F" w:rsidRPr="00876B76" w:rsidRDefault="008C707F" w:rsidP="007D6C7C">
      <w:pPr>
        <w:rPr>
          <w:rFonts w:asciiTheme="minorHAnsi" w:eastAsia="MS Mincho" w:hAnsiTheme="minorHAnsi"/>
          <w:sz w:val="22"/>
          <w:highlight w:val="yellow"/>
          <w:lang w:val="en-US" w:eastAsia="pt-BR"/>
        </w:rPr>
      </w:pPr>
    </w:p>
    <w:p w14:paraId="37378054" w14:textId="77777777" w:rsidR="008C707F" w:rsidRPr="00876B76" w:rsidRDefault="008C707F" w:rsidP="007D6C7C">
      <w:pPr>
        <w:pStyle w:val="01-Textonormal"/>
        <w:rPr>
          <w:rFonts w:cs="Arial"/>
          <w:lang w:val="en-US"/>
        </w:rPr>
      </w:pPr>
      <w:r w:rsidRPr="00876B76">
        <w:rPr>
          <w:rFonts w:cs="Arial"/>
          <w:lang w:val="en-US"/>
        </w:rPr>
        <w:t>In 2022, BB Seguridade net income increased R$2.1 billion (+53.7%), to R$6.0 billion, highlighting:</w:t>
      </w:r>
    </w:p>
    <w:p w14:paraId="6742D6E1" w14:textId="77777777" w:rsidR="008C707F" w:rsidRPr="00876B76" w:rsidRDefault="008C707F" w:rsidP="007D6C7C">
      <w:pPr>
        <w:pStyle w:val="10-Lista2"/>
        <w:rPr>
          <w:lang w:val="en-US"/>
        </w:rPr>
      </w:pPr>
      <w:r w:rsidRPr="00876B76">
        <w:rPr>
          <w:b/>
          <w:bCs/>
          <w:lang w:val="en-US"/>
        </w:rPr>
        <w:t>Brasilseg (+R$1.0 billion):</w:t>
      </w:r>
      <w:r w:rsidRPr="00876B76">
        <w:rPr>
          <w:lang w:val="en-US"/>
        </w:rPr>
        <w:t xml:space="preserve"> supported by the evolution in earned premiums, loss ratio improvement and growth of net investment income;</w:t>
      </w:r>
    </w:p>
    <w:p w14:paraId="0A3A50B4" w14:textId="77777777" w:rsidR="008C707F" w:rsidRPr="00876B76" w:rsidRDefault="008C707F" w:rsidP="007D6C7C">
      <w:pPr>
        <w:pStyle w:val="10-Lista2"/>
        <w:numPr>
          <w:ilvl w:val="0"/>
          <w:numId w:val="0"/>
        </w:numPr>
        <w:ind w:left="1004"/>
        <w:rPr>
          <w:lang w:val="en-US"/>
        </w:rPr>
      </w:pPr>
    </w:p>
    <w:p w14:paraId="7A36D07F" w14:textId="77777777" w:rsidR="008C707F" w:rsidRPr="00876B76" w:rsidRDefault="008C707F" w:rsidP="007D6C7C">
      <w:pPr>
        <w:pStyle w:val="10-Lista2"/>
        <w:rPr>
          <w:lang w:val="en-US"/>
        </w:rPr>
      </w:pPr>
      <w:r w:rsidRPr="00876B76">
        <w:rPr>
          <w:b/>
          <w:bCs/>
          <w:lang w:val="en-US"/>
        </w:rPr>
        <w:t>BB Corretora (+R$567.4 million):</w:t>
      </w:r>
      <w:r w:rsidRPr="00876B76">
        <w:rPr>
          <w:lang w:val="en-US"/>
        </w:rPr>
        <w:t xml:space="preserve"> with brokerage revenues increase in all business lines and higher financial results;</w:t>
      </w:r>
    </w:p>
    <w:p w14:paraId="23E98070" w14:textId="77777777" w:rsidR="008C707F" w:rsidRPr="00876B76" w:rsidRDefault="008C707F" w:rsidP="007D6C7C">
      <w:pPr>
        <w:pStyle w:val="10-Lista2"/>
        <w:numPr>
          <w:ilvl w:val="0"/>
          <w:numId w:val="0"/>
        </w:numPr>
        <w:ind w:left="1004"/>
        <w:rPr>
          <w:lang w:val="en-US"/>
        </w:rPr>
      </w:pPr>
    </w:p>
    <w:p w14:paraId="4FF11C88" w14:textId="77777777" w:rsidR="008C707F" w:rsidRPr="00876B76" w:rsidRDefault="008C707F" w:rsidP="007D6C7C">
      <w:pPr>
        <w:pStyle w:val="10-Lista2"/>
        <w:rPr>
          <w:lang w:val="en-US"/>
        </w:rPr>
      </w:pPr>
      <w:r w:rsidRPr="00876B76">
        <w:rPr>
          <w:b/>
          <w:bCs/>
          <w:lang w:val="en-US"/>
        </w:rPr>
        <w:t>Brasilprev (+R$360.2 million):</w:t>
      </w:r>
      <w:r w:rsidRPr="00876B76">
        <w:rPr>
          <w:lang w:val="en-US"/>
        </w:rPr>
        <w:t xml:space="preserve"> driven by the improvement in the net investment income, with the expansion of the average balance of earning assets, lower negative impact of MtM results in the comparative and a greater balance between the inflation indexes in the adjustment of assets and liabilities of traditional plans; and</w:t>
      </w:r>
    </w:p>
    <w:p w14:paraId="6FE0710F" w14:textId="77777777" w:rsidR="008C707F" w:rsidRPr="00876B76" w:rsidRDefault="008C707F" w:rsidP="007D6C7C">
      <w:pPr>
        <w:pStyle w:val="10-Lista2"/>
        <w:numPr>
          <w:ilvl w:val="0"/>
          <w:numId w:val="0"/>
        </w:numPr>
        <w:ind w:left="1004"/>
        <w:rPr>
          <w:lang w:val="en-US"/>
        </w:rPr>
      </w:pPr>
    </w:p>
    <w:p w14:paraId="105E3C9F" w14:textId="77777777" w:rsidR="008C707F" w:rsidRPr="00876B76" w:rsidRDefault="008C707F" w:rsidP="007D6C7C">
      <w:pPr>
        <w:pStyle w:val="10-Lista2"/>
        <w:rPr>
          <w:lang w:val="en-US"/>
        </w:rPr>
      </w:pPr>
      <w:r w:rsidRPr="00876B76">
        <w:rPr>
          <w:b/>
          <w:bCs/>
          <w:lang w:val="en-US"/>
        </w:rPr>
        <w:t>Brasilcap (+R$142.9 million):</w:t>
      </w:r>
      <w:r w:rsidRPr="00876B76">
        <w:rPr>
          <w:lang w:val="en-US"/>
        </w:rPr>
        <w:t xml:space="preserve"> sustained by the higher net investment income. The performance is attributed to the expansion of the average balance of earning assets and the spike in the Selic rate.</w:t>
      </w:r>
    </w:p>
    <w:p w14:paraId="0A485018" w14:textId="77777777" w:rsidR="008C707F" w:rsidRPr="00876B76" w:rsidRDefault="008C707F" w:rsidP="00876B76">
      <w:pPr>
        <w:pStyle w:val="10-Lista2"/>
        <w:numPr>
          <w:ilvl w:val="0"/>
          <w:numId w:val="0"/>
        </w:numPr>
        <w:ind w:left="1004"/>
        <w:rPr>
          <w:lang w:val="en-US"/>
        </w:rPr>
      </w:pPr>
    </w:p>
    <w:p w14:paraId="13356244" w14:textId="77777777" w:rsidR="008C707F" w:rsidRPr="009F162F" w:rsidRDefault="008C707F" w:rsidP="007D6C7C">
      <w:pPr>
        <w:pStyle w:val="01-Textonormal"/>
        <w:rPr>
          <w:rFonts w:cs="Arial"/>
          <w:lang w:val="en-US"/>
        </w:rPr>
      </w:pPr>
      <w:r w:rsidRPr="009F162F">
        <w:rPr>
          <w:rFonts w:cs="Arial"/>
          <w:lang w:val="en-US"/>
        </w:rPr>
        <w:t>The performance of each investee company will be better explained below.</w:t>
      </w:r>
    </w:p>
    <w:p w14:paraId="0207915D" w14:textId="77777777" w:rsidR="008C707F" w:rsidRPr="009F162F" w:rsidRDefault="008C707F" w:rsidP="007D6C7C">
      <w:pPr>
        <w:pStyle w:val="05-Textonormal"/>
        <w:rPr>
          <w:rFonts w:cs="Arial"/>
          <w:lang w:val="en-US"/>
        </w:rPr>
      </w:pPr>
      <w:r w:rsidRPr="009F162F">
        <w:rPr>
          <w:rFonts w:cs="Arial"/>
          <w:lang w:val="en-US"/>
        </w:rPr>
        <w:t xml:space="preserve">The other income and expenses line grew by 57.9%, driven by higher personnel expenses, with the expansion in the number of employees and filling </w:t>
      </w:r>
      <w:r>
        <w:rPr>
          <w:rFonts w:cs="Arial"/>
          <w:lang w:val="en-US"/>
        </w:rPr>
        <w:t xml:space="preserve">of </w:t>
      </w:r>
      <w:r w:rsidRPr="009F162F">
        <w:rPr>
          <w:rFonts w:cs="Arial"/>
          <w:lang w:val="en-US"/>
        </w:rPr>
        <w:t xml:space="preserve">vacant positions. </w:t>
      </w:r>
      <w:r>
        <w:rPr>
          <w:rFonts w:cs="Arial"/>
          <w:lang w:val="en-US"/>
        </w:rPr>
        <w:t xml:space="preserve">Also explaines the variation: </w:t>
      </w:r>
      <w:r w:rsidRPr="009F162F">
        <w:rPr>
          <w:rFonts w:cs="Arial"/>
          <w:lang w:val="en-US"/>
        </w:rPr>
        <w:t>the growth of tax expenses, concentrated in PIS and Cofins charged on financial income, which rose 64.7%</w:t>
      </w:r>
      <w:r>
        <w:rPr>
          <w:rFonts w:cs="Arial"/>
          <w:lang w:val="en-US"/>
        </w:rPr>
        <w:t>;</w:t>
      </w:r>
      <w:r w:rsidRPr="009F162F">
        <w:rPr>
          <w:rFonts w:cs="Arial"/>
          <w:lang w:val="en-US"/>
        </w:rPr>
        <w:t xml:space="preserve"> and the increase of administrative expenses, due to higher costs with rental and condominium fees, business trip, specialized technical services and communication.</w:t>
      </w:r>
    </w:p>
    <w:p w14:paraId="77605B46" w14:textId="77777777" w:rsidR="008C707F" w:rsidRPr="009F162F" w:rsidRDefault="008C707F" w:rsidP="007D6C7C">
      <w:pPr>
        <w:pStyle w:val="05-Textonormal"/>
        <w:rPr>
          <w:rFonts w:cs="Arial"/>
          <w:lang w:val="en-US"/>
        </w:rPr>
      </w:pPr>
      <w:r w:rsidRPr="009F162F">
        <w:rPr>
          <w:rFonts w:cs="Arial"/>
          <w:lang w:val="en-US"/>
        </w:rPr>
        <w:t>The positive balance of other operating income/(expenses) was 7.1% lower, impacted by the highe</w:t>
      </w:r>
      <w:r>
        <w:rPr>
          <w:rFonts w:cs="Arial"/>
          <w:lang w:val="en-US"/>
        </w:rPr>
        <w:t>r</w:t>
      </w:r>
      <w:r w:rsidRPr="009F162F">
        <w:rPr>
          <w:rFonts w:cs="Arial"/>
          <w:lang w:val="en-US"/>
        </w:rPr>
        <w:t xml:space="preserve"> volume of provisions for civil lawsuits and the write-off of intangible assets in 2022, while last year this line was positively impacted by the reversal of provision for labor lawsuits and recovery of charges. </w:t>
      </w:r>
    </w:p>
    <w:p w14:paraId="469A7901" w14:textId="77777777" w:rsidR="008C707F" w:rsidRPr="003351A3" w:rsidRDefault="008C707F" w:rsidP="007D6C7C">
      <w:pPr>
        <w:pStyle w:val="05-Textonormal"/>
        <w:rPr>
          <w:rFonts w:cs="Arial"/>
          <w:highlight w:val="yellow"/>
          <w:lang w:val="en-US"/>
        </w:rPr>
      </w:pPr>
    </w:p>
    <w:p w14:paraId="2F20ED69" w14:textId="77777777" w:rsidR="008C707F" w:rsidRPr="003351A3" w:rsidRDefault="008C707F" w:rsidP="007D6C7C">
      <w:pPr>
        <w:pStyle w:val="05-Textonormal"/>
        <w:rPr>
          <w:rFonts w:cs="Arial"/>
          <w:highlight w:val="yellow"/>
          <w:lang w:val="en-US"/>
        </w:rPr>
      </w:pPr>
    </w:p>
    <w:p w14:paraId="173F189C" w14:textId="77777777" w:rsidR="008C707F" w:rsidRDefault="008C707F" w:rsidP="007D6C7C">
      <w:pPr>
        <w:pStyle w:val="01-TtulodeNota"/>
        <w:rPr>
          <w:color w:val="1F4E79" w:themeColor="accent1" w:themeShade="80"/>
          <w:lang w:val="en-US"/>
        </w:rPr>
      </w:pPr>
      <w:bookmarkStart w:id="6" w:name="_Hlk94626662"/>
    </w:p>
    <w:p w14:paraId="1D40AB04" w14:textId="141225C1" w:rsidR="008C707F" w:rsidRPr="003351A3" w:rsidRDefault="008C707F" w:rsidP="007D6C7C">
      <w:pPr>
        <w:pStyle w:val="01-TtulodeNota"/>
        <w:rPr>
          <w:color w:val="1F4E79" w:themeColor="accent1" w:themeShade="80"/>
          <w:lang w:val="en-US"/>
        </w:rPr>
      </w:pPr>
      <w:r w:rsidRPr="003351A3">
        <w:rPr>
          <w:color w:val="1F4E79" w:themeColor="accent1" w:themeShade="80"/>
          <w:lang w:val="en-US"/>
        </w:rPr>
        <w:lastRenderedPageBreak/>
        <w:t>Investments</w:t>
      </w:r>
    </w:p>
    <w:p w14:paraId="54ED7212" w14:textId="77777777" w:rsidR="008C707F" w:rsidRPr="003351A3" w:rsidRDefault="008C707F" w:rsidP="007D6C7C">
      <w:pPr>
        <w:pStyle w:val="05-Textonormal"/>
        <w:rPr>
          <w:rFonts w:cs="Arial"/>
          <w:lang w:val="en-US"/>
        </w:rPr>
      </w:pPr>
      <w:r w:rsidRPr="003351A3">
        <w:rPr>
          <w:rFonts w:cs="Arial"/>
          <w:lang w:val="en-US"/>
        </w:rPr>
        <w:t xml:space="preserve">Pursuant to the article 243 of Law 6,404/76, the following table presents the equity investments in BB Seguridade’s affiliates and subsidiaries, as well as the changes occurred throughout the year. The changes are detailed in Explanatory Note 7.b) attached to the Financial Statemets. </w:t>
      </w:r>
    </w:p>
    <w:p w14:paraId="343E1087" w14:textId="3F5FF29E" w:rsidR="008C707F" w:rsidRPr="00D20D3E" w:rsidRDefault="008C707F" w:rsidP="007D6C7C">
      <w:pPr>
        <w:pStyle w:val="01-TtulodeNota"/>
        <w:rPr>
          <w:b w:val="0"/>
          <w:sz w:val="14"/>
          <w:lang w:val="en-US"/>
        </w:rPr>
      </w:pPr>
      <w:r w:rsidRPr="00D20D3E">
        <w:rPr>
          <w:rFonts w:cs="Arial"/>
          <w:b w:val="0"/>
          <w:sz w:val="14"/>
          <w:szCs w:val="14"/>
          <w:lang w:val="en-US"/>
        </w:rPr>
        <w:t xml:space="preserve">Table </w:t>
      </w:r>
      <w:r w:rsidR="00C35EEA">
        <w:rPr>
          <w:rFonts w:cs="Arial"/>
          <w:b w:val="0"/>
          <w:noProof/>
          <w:sz w:val="14"/>
          <w:szCs w:val="14"/>
          <w:lang w:val="en-US"/>
        </w:rPr>
        <w:t>2</w:t>
      </w:r>
      <w:r w:rsidRPr="00D20D3E">
        <w:rPr>
          <w:b w:val="0"/>
          <w:sz w:val="14"/>
          <w:lang w:val="en-US"/>
        </w:rPr>
        <w:t xml:space="preserve"> – Financial performance | Equity </w:t>
      </w:r>
      <w:r>
        <w:rPr>
          <w:b w:val="0"/>
          <w:sz w:val="14"/>
          <w:lang w:val="en-US"/>
        </w:rPr>
        <w:t>Investments</w:t>
      </w:r>
    </w:p>
    <w:tbl>
      <w:tblPr>
        <w:tblW w:w="9639" w:type="dxa"/>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2101"/>
        <w:gridCol w:w="1407"/>
        <w:gridCol w:w="1408"/>
        <w:gridCol w:w="1404"/>
        <w:gridCol w:w="1405"/>
        <w:gridCol w:w="1914"/>
      </w:tblGrid>
      <w:tr w:rsidR="008C707F" w:rsidRPr="003A2596" w14:paraId="35BDDDA0" w14:textId="77777777" w:rsidTr="003A2596">
        <w:trPr>
          <w:trHeight w:hRule="exact" w:val="283"/>
        </w:trPr>
        <w:tc>
          <w:tcPr>
            <w:tcW w:w="2101" w:type="dxa"/>
            <w:tcBorders>
              <w:top w:val="single" w:sz="2" w:space="0" w:color="1F4E79" w:themeColor="accent1" w:themeShade="80"/>
              <w:bottom w:val="nil"/>
            </w:tcBorders>
          </w:tcPr>
          <w:p w14:paraId="4C0CEBC6" w14:textId="77777777" w:rsidR="008C707F" w:rsidRPr="003A2596" w:rsidRDefault="008C707F" w:rsidP="00D72BBC">
            <w:pPr>
              <w:pStyle w:val="08-Tabelageral"/>
              <w:jc w:val="left"/>
              <w:rPr>
                <w:rFonts w:cs="Arial"/>
                <w:b/>
                <w:bCs/>
                <w:lang w:eastAsia="en-US"/>
              </w:rPr>
            </w:pPr>
            <w:r w:rsidRPr="003A2596">
              <w:rPr>
                <w:rFonts w:cs="Arial"/>
                <w:b/>
                <w:bCs/>
                <w:lang w:eastAsia="en-US"/>
              </w:rPr>
              <w:t>R$ thousand</w:t>
            </w:r>
          </w:p>
        </w:tc>
        <w:tc>
          <w:tcPr>
            <w:tcW w:w="1407" w:type="dxa"/>
            <w:tcBorders>
              <w:top w:val="single" w:sz="2" w:space="0" w:color="1F4E79" w:themeColor="accent1" w:themeShade="80"/>
              <w:bottom w:val="nil"/>
            </w:tcBorders>
          </w:tcPr>
          <w:p w14:paraId="26BDF7E1" w14:textId="77777777" w:rsidR="008C707F" w:rsidRPr="003A2596" w:rsidRDefault="008C707F" w:rsidP="00D72BBC">
            <w:pPr>
              <w:pStyle w:val="08-Tabelageral"/>
              <w:rPr>
                <w:rFonts w:cs="Arial"/>
                <w:b/>
                <w:bCs/>
                <w:lang w:eastAsia="en-US"/>
              </w:rPr>
            </w:pPr>
          </w:p>
        </w:tc>
        <w:tc>
          <w:tcPr>
            <w:tcW w:w="1408" w:type="dxa"/>
            <w:tcBorders>
              <w:top w:val="single" w:sz="2" w:space="0" w:color="1F4E79" w:themeColor="accent1" w:themeShade="80"/>
              <w:bottom w:val="nil"/>
            </w:tcBorders>
            <w:hideMark/>
          </w:tcPr>
          <w:p w14:paraId="60DB2A42" w14:textId="77777777" w:rsidR="008C707F" w:rsidRPr="003A2596" w:rsidRDefault="008C707F" w:rsidP="00D72BBC">
            <w:pPr>
              <w:pStyle w:val="08-Tabelageral"/>
              <w:rPr>
                <w:rFonts w:cs="Arial"/>
                <w:b/>
                <w:bCs/>
                <w:lang w:eastAsia="en-US"/>
              </w:rPr>
            </w:pPr>
            <w:r w:rsidRPr="003A2596">
              <w:rPr>
                <w:rFonts w:cs="Arial"/>
                <w:b/>
                <w:bCs/>
                <w:lang w:eastAsia="en-US"/>
              </w:rPr>
              <w:t>Equity Stakes (%)</w:t>
            </w:r>
          </w:p>
        </w:tc>
        <w:tc>
          <w:tcPr>
            <w:tcW w:w="2809" w:type="dxa"/>
            <w:gridSpan w:val="2"/>
            <w:tcBorders>
              <w:top w:val="single" w:sz="2" w:space="0" w:color="1F4E79" w:themeColor="accent1" w:themeShade="80"/>
              <w:bottom w:val="nil"/>
            </w:tcBorders>
            <w:hideMark/>
          </w:tcPr>
          <w:p w14:paraId="52F116AB" w14:textId="77777777" w:rsidR="008C707F" w:rsidRPr="003A2596" w:rsidRDefault="008C707F" w:rsidP="00D72BBC">
            <w:pPr>
              <w:pStyle w:val="08-Tabelageral"/>
              <w:ind w:right="-57"/>
              <w:rPr>
                <w:rFonts w:cs="Arial"/>
                <w:b/>
                <w:bCs/>
                <w:lang w:eastAsia="en-US"/>
              </w:rPr>
            </w:pPr>
            <w:r w:rsidRPr="003A2596">
              <w:rPr>
                <w:rFonts w:cs="Arial"/>
                <w:b/>
                <w:bCs/>
                <w:lang w:eastAsia="en-US"/>
              </w:rPr>
              <w:t xml:space="preserve">Equity Investments Balance </w:t>
            </w:r>
          </w:p>
        </w:tc>
        <w:tc>
          <w:tcPr>
            <w:tcW w:w="1914" w:type="dxa"/>
            <w:tcBorders>
              <w:top w:val="single" w:sz="2" w:space="0" w:color="1F4E79" w:themeColor="accent1" w:themeShade="80"/>
              <w:bottom w:val="nil"/>
            </w:tcBorders>
            <w:hideMark/>
          </w:tcPr>
          <w:p w14:paraId="05FF7F28" w14:textId="77777777" w:rsidR="008C707F" w:rsidRPr="003A2596" w:rsidRDefault="008C707F" w:rsidP="00D72BBC">
            <w:pPr>
              <w:pStyle w:val="08-Tabelageral"/>
              <w:ind w:right="-57"/>
              <w:rPr>
                <w:rFonts w:cs="Arial"/>
                <w:b/>
                <w:bCs/>
                <w:lang w:eastAsia="en-US"/>
              </w:rPr>
            </w:pPr>
            <w:r w:rsidRPr="003A2596">
              <w:rPr>
                <w:rFonts w:cs="Arial"/>
                <w:b/>
                <w:bCs/>
                <w:lang w:eastAsia="en-US"/>
              </w:rPr>
              <w:t>Equity Income</w:t>
            </w:r>
          </w:p>
        </w:tc>
      </w:tr>
      <w:tr w:rsidR="008C707F" w:rsidRPr="003A2596" w14:paraId="6248F2BA" w14:textId="77777777" w:rsidTr="003A2596">
        <w:trPr>
          <w:trHeight w:hRule="exact" w:val="238"/>
        </w:trPr>
        <w:tc>
          <w:tcPr>
            <w:tcW w:w="2101" w:type="dxa"/>
            <w:tcBorders>
              <w:top w:val="nil"/>
              <w:bottom w:val="single" w:sz="2" w:space="0" w:color="1F4E79" w:themeColor="accent1" w:themeShade="80"/>
            </w:tcBorders>
          </w:tcPr>
          <w:p w14:paraId="4FEC1086" w14:textId="77777777" w:rsidR="008C707F" w:rsidRPr="003A2596" w:rsidRDefault="008C707F" w:rsidP="00D72BBC">
            <w:pPr>
              <w:pStyle w:val="08-Tabelageral"/>
              <w:jc w:val="left"/>
              <w:rPr>
                <w:rFonts w:cs="Arial"/>
                <w:b/>
                <w:bCs/>
                <w:szCs w:val="14"/>
                <w:lang w:eastAsia="en-US"/>
              </w:rPr>
            </w:pPr>
          </w:p>
        </w:tc>
        <w:tc>
          <w:tcPr>
            <w:tcW w:w="1407" w:type="dxa"/>
            <w:tcBorders>
              <w:top w:val="nil"/>
              <w:bottom w:val="single" w:sz="2" w:space="0" w:color="1F4E79" w:themeColor="accent1" w:themeShade="80"/>
            </w:tcBorders>
            <w:hideMark/>
          </w:tcPr>
          <w:p w14:paraId="2E42D6DF" w14:textId="77777777" w:rsidR="008C707F" w:rsidRPr="003A2596" w:rsidRDefault="008C707F" w:rsidP="00D72BBC">
            <w:pPr>
              <w:pStyle w:val="08-Tabelageral"/>
              <w:ind w:right="-57"/>
              <w:jc w:val="center"/>
              <w:rPr>
                <w:rFonts w:cs="Arial"/>
                <w:b/>
                <w:bCs/>
                <w:lang w:eastAsia="en-US"/>
              </w:rPr>
            </w:pPr>
            <w:r w:rsidRPr="003A2596">
              <w:rPr>
                <w:rFonts w:cs="Arial"/>
                <w:b/>
                <w:bCs/>
                <w:lang w:eastAsia="en-US"/>
              </w:rPr>
              <w:t>Segment</w:t>
            </w:r>
          </w:p>
        </w:tc>
        <w:tc>
          <w:tcPr>
            <w:tcW w:w="1408" w:type="dxa"/>
            <w:tcBorders>
              <w:top w:val="nil"/>
              <w:bottom w:val="single" w:sz="2" w:space="0" w:color="1F4E79" w:themeColor="accent1" w:themeShade="80"/>
            </w:tcBorders>
            <w:hideMark/>
          </w:tcPr>
          <w:p w14:paraId="5539FBF5" w14:textId="77777777" w:rsidR="008C707F" w:rsidRPr="003A2596" w:rsidRDefault="008C707F" w:rsidP="00D72BBC">
            <w:pPr>
              <w:pStyle w:val="08-Tabelageral"/>
              <w:ind w:right="-57"/>
              <w:rPr>
                <w:rFonts w:cs="Arial"/>
                <w:b/>
                <w:bCs/>
                <w:lang w:eastAsia="en-US"/>
              </w:rPr>
            </w:pPr>
            <w:r w:rsidRPr="003A2596">
              <w:rPr>
                <w:rFonts w:cs="Arial"/>
                <w:b/>
                <w:bCs/>
                <w:lang w:eastAsia="en-US"/>
              </w:rPr>
              <w:t>12.31.2022</w:t>
            </w:r>
          </w:p>
        </w:tc>
        <w:tc>
          <w:tcPr>
            <w:tcW w:w="1404" w:type="dxa"/>
            <w:tcBorders>
              <w:top w:val="nil"/>
              <w:bottom w:val="single" w:sz="2" w:space="0" w:color="1F4E79" w:themeColor="accent1" w:themeShade="80"/>
            </w:tcBorders>
            <w:hideMark/>
          </w:tcPr>
          <w:p w14:paraId="2C83C2C4" w14:textId="77777777" w:rsidR="008C707F" w:rsidRPr="003A2596" w:rsidRDefault="008C707F" w:rsidP="00D72BBC">
            <w:pPr>
              <w:pStyle w:val="08-Tabelageral"/>
              <w:ind w:right="-57"/>
              <w:rPr>
                <w:rFonts w:cs="Arial"/>
                <w:b/>
                <w:bCs/>
                <w:lang w:eastAsia="en-US"/>
              </w:rPr>
            </w:pPr>
            <w:r w:rsidRPr="003A2596">
              <w:rPr>
                <w:rFonts w:cs="Arial"/>
                <w:b/>
                <w:bCs/>
                <w:lang w:eastAsia="en-US"/>
              </w:rPr>
              <w:t>12.31.2022</w:t>
            </w:r>
          </w:p>
        </w:tc>
        <w:tc>
          <w:tcPr>
            <w:tcW w:w="1405" w:type="dxa"/>
            <w:tcBorders>
              <w:top w:val="nil"/>
              <w:bottom w:val="single" w:sz="2" w:space="0" w:color="1F4E79" w:themeColor="accent1" w:themeShade="80"/>
            </w:tcBorders>
            <w:hideMark/>
          </w:tcPr>
          <w:p w14:paraId="55D3AE19" w14:textId="77777777" w:rsidR="008C707F" w:rsidRPr="003A2596" w:rsidRDefault="008C707F" w:rsidP="00D72BBC">
            <w:pPr>
              <w:pStyle w:val="08-Tabelageral"/>
              <w:ind w:right="-57"/>
              <w:rPr>
                <w:rFonts w:cs="Arial"/>
                <w:b/>
                <w:bCs/>
                <w:lang w:eastAsia="en-US"/>
              </w:rPr>
            </w:pPr>
            <w:r w:rsidRPr="003A2596">
              <w:rPr>
                <w:rFonts w:cs="Arial"/>
                <w:b/>
                <w:bCs/>
                <w:lang w:eastAsia="en-US"/>
              </w:rPr>
              <w:t>12.31.2021</w:t>
            </w:r>
          </w:p>
        </w:tc>
        <w:tc>
          <w:tcPr>
            <w:tcW w:w="1914" w:type="dxa"/>
            <w:tcBorders>
              <w:top w:val="nil"/>
              <w:bottom w:val="single" w:sz="2" w:space="0" w:color="1F4E79" w:themeColor="accent1" w:themeShade="80"/>
            </w:tcBorders>
            <w:hideMark/>
          </w:tcPr>
          <w:p w14:paraId="34CAC734" w14:textId="77777777" w:rsidR="008C707F" w:rsidRPr="003A2596" w:rsidRDefault="008C707F" w:rsidP="00D72BBC">
            <w:pPr>
              <w:pStyle w:val="08-Tabelageral"/>
              <w:rPr>
                <w:rFonts w:cs="Arial"/>
                <w:b/>
                <w:bCs/>
                <w:lang w:eastAsia="en-US"/>
              </w:rPr>
            </w:pPr>
            <w:r w:rsidRPr="003A2596">
              <w:rPr>
                <w:rFonts w:cs="Arial"/>
                <w:b/>
                <w:bCs/>
                <w:lang w:eastAsia="en-US"/>
              </w:rPr>
              <w:t>FY2022</w:t>
            </w:r>
          </w:p>
        </w:tc>
      </w:tr>
      <w:tr w:rsidR="008C707F" w:rsidRPr="003A2596" w14:paraId="76D991AB" w14:textId="77777777" w:rsidTr="003A2596">
        <w:trPr>
          <w:trHeight w:hRule="exact" w:val="298"/>
        </w:trPr>
        <w:tc>
          <w:tcPr>
            <w:tcW w:w="2101" w:type="dxa"/>
            <w:tcBorders>
              <w:top w:val="single" w:sz="2" w:space="0" w:color="1F4E79" w:themeColor="accent1" w:themeShade="80"/>
            </w:tcBorders>
            <w:hideMark/>
          </w:tcPr>
          <w:p w14:paraId="2394A56F" w14:textId="77777777" w:rsidR="008C707F" w:rsidRPr="003A2596" w:rsidRDefault="008C707F" w:rsidP="00D72BBC">
            <w:pPr>
              <w:pStyle w:val="08-Tabelageral"/>
              <w:jc w:val="left"/>
              <w:rPr>
                <w:rFonts w:cs="Arial"/>
                <w:b/>
                <w:bCs/>
                <w:snapToGrid w:val="0"/>
                <w:lang w:eastAsia="en-US"/>
              </w:rPr>
            </w:pPr>
            <w:r w:rsidRPr="003A2596">
              <w:rPr>
                <w:rFonts w:cs="Arial"/>
                <w:b/>
                <w:bCs/>
                <w:lang w:eastAsia="en-US"/>
              </w:rPr>
              <w:t>Equity Investments</w:t>
            </w:r>
          </w:p>
        </w:tc>
        <w:tc>
          <w:tcPr>
            <w:tcW w:w="1407" w:type="dxa"/>
            <w:tcBorders>
              <w:top w:val="single" w:sz="2" w:space="0" w:color="1F4E79" w:themeColor="accent1" w:themeShade="80"/>
            </w:tcBorders>
          </w:tcPr>
          <w:p w14:paraId="189B6154" w14:textId="77777777" w:rsidR="008C707F" w:rsidRPr="003A2596" w:rsidRDefault="008C707F" w:rsidP="00D72BBC">
            <w:pPr>
              <w:pStyle w:val="08-Tabelageral"/>
              <w:jc w:val="center"/>
              <w:rPr>
                <w:rFonts w:cs="Arial"/>
                <w:b/>
                <w:bCs/>
                <w:color w:val="FF0000"/>
                <w:szCs w:val="14"/>
                <w:lang w:eastAsia="en-US"/>
              </w:rPr>
            </w:pPr>
          </w:p>
        </w:tc>
        <w:tc>
          <w:tcPr>
            <w:tcW w:w="1408" w:type="dxa"/>
            <w:tcBorders>
              <w:top w:val="single" w:sz="2" w:space="0" w:color="1F4E79" w:themeColor="accent1" w:themeShade="80"/>
            </w:tcBorders>
          </w:tcPr>
          <w:p w14:paraId="1BF18A5E" w14:textId="77777777" w:rsidR="008C707F" w:rsidRPr="003A2596" w:rsidRDefault="008C707F" w:rsidP="00D72BBC">
            <w:pPr>
              <w:pStyle w:val="08-Tabelageral"/>
              <w:rPr>
                <w:rFonts w:cs="Arial"/>
                <w:b/>
                <w:bCs/>
                <w:color w:val="FF0000"/>
                <w:szCs w:val="14"/>
                <w:lang w:eastAsia="en-US"/>
              </w:rPr>
            </w:pPr>
          </w:p>
        </w:tc>
        <w:tc>
          <w:tcPr>
            <w:tcW w:w="1404" w:type="dxa"/>
            <w:tcBorders>
              <w:top w:val="single" w:sz="2" w:space="0" w:color="1F4E79" w:themeColor="accent1" w:themeShade="80"/>
            </w:tcBorders>
          </w:tcPr>
          <w:p w14:paraId="1C55EA21" w14:textId="77777777" w:rsidR="008C707F" w:rsidRPr="003A2596" w:rsidRDefault="008C707F" w:rsidP="00D72BBC">
            <w:pPr>
              <w:pStyle w:val="08-Tabelageral"/>
              <w:rPr>
                <w:rFonts w:cs="Arial"/>
                <w:b/>
                <w:bCs/>
                <w:color w:val="FF0000"/>
                <w:szCs w:val="14"/>
                <w:lang w:eastAsia="en-US"/>
              </w:rPr>
            </w:pPr>
          </w:p>
        </w:tc>
        <w:tc>
          <w:tcPr>
            <w:tcW w:w="1405" w:type="dxa"/>
            <w:tcBorders>
              <w:top w:val="single" w:sz="2" w:space="0" w:color="1F4E79" w:themeColor="accent1" w:themeShade="80"/>
            </w:tcBorders>
          </w:tcPr>
          <w:p w14:paraId="2703AD63" w14:textId="77777777" w:rsidR="008C707F" w:rsidRPr="003A2596" w:rsidRDefault="008C707F" w:rsidP="00D72BBC">
            <w:pPr>
              <w:pStyle w:val="08-Tabelageral"/>
              <w:rPr>
                <w:rFonts w:cs="Arial"/>
                <w:b/>
                <w:bCs/>
                <w:szCs w:val="14"/>
                <w:lang w:eastAsia="en-US"/>
              </w:rPr>
            </w:pPr>
          </w:p>
        </w:tc>
        <w:tc>
          <w:tcPr>
            <w:tcW w:w="1914" w:type="dxa"/>
            <w:tcBorders>
              <w:top w:val="single" w:sz="2" w:space="0" w:color="1F4E79" w:themeColor="accent1" w:themeShade="80"/>
            </w:tcBorders>
          </w:tcPr>
          <w:p w14:paraId="531F67AF" w14:textId="77777777" w:rsidR="008C707F" w:rsidRPr="003A2596" w:rsidRDefault="008C707F" w:rsidP="00D72BBC">
            <w:pPr>
              <w:pStyle w:val="08-Tabelageral"/>
              <w:rPr>
                <w:rFonts w:cs="Arial"/>
                <w:b/>
                <w:bCs/>
                <w:color w:val="FF0000"/>
                <w:szCs w:val="14"/>
                <w:lang w:eastAsia="en-US"/>
              </w:rPr>
            </w:pPr>
          </w:p>
        </w:tc>
      </w:tr>
      <w:tr w:rsidR="008C707F" w:rsidRPr="003A2596" w14:paraId="09ED1E40" w14:textId="77777777" w:rsidTr="003A2596">
        <w:trPr>
          <w:trHeight w:hRule="exact" w:val="238"/>
        </w:trPr>
        <w:tc>
          <w:tcPr>
            <w:tcW w:w="2101" w:type="dxa"/>
            <w:hideMark/>
          </w:tcPr>
          <w:p w14:paraId="13B638F2" w14:textId="77777777" w:rsidR="008C707F" w:rsidRPr="003A2596" w:rsidRDefault="008C707F" w:rsidP="00D72BBC">
            <w:pPr>
              <w:pStyle w:val="08-Tabelageral"/>
              <w:jc w:val="left"/>
              <w:rPr>
                <w:rFonts w:cs="Arial"/>
                <w:b/>
                <w:bCs/>
                <w:snapToGrid w:val="0"/>
                <w:lang w:eastAsia="en-US"/>
              </w:rPr>
            </w:pPr>
            <w:r w:rsidRPr="003A2596">
              <w:rPr>
                <w:rFonts w:cs="Arial"/>
                <w:b/>
                <w:bCs/>
                <w:lang w:eastAsia="en-US"/>
              </w:rPr>
              <w:t>BB Seguros</w:t>
            </w:r>
          </w:p>
        </w:tc>
        <w:tc>
          <w:tcPr>
            <w:tcW w:w="1407" w:type="dxa"/>
            <w:hideMark/>
          </w:tcPr>
          <w:p w14:paraId="50B35E13" w14:textId="77777777" w:rsidR="008C707F" w:rsidRPr="003A2596" w:rsidRDefault="008C707F" w:rsidP="00D72BBC">
            <w:pPr>
              <w:pStyle w:val="08-Tabelageral"/>
              <w:jc w:val="center"/>
              <w:rPr>
                <w:rFonts w:cs="Arial"/>
                <w:b/>
                <w:bCs/>
                <w:lang w:eastAsia="en-US"/>
              </w:rPr>
            </w:pPr>
            <w:r w:rsidRPr="003A2596">
              <w:rPr>
                <w:rFonts w:cs="Arial"/>
                <w:b/>
                <w:bCs/>
                <w:lang w:eastAsia="en-US"/>
              </w:rPr>
              <w:t>Holding</w:t>
            </w:r>
          </w:p>
        </w:tc>
        <w:tc>
          <w:tcPr>
            <w:tcW w:w="1408" w:type="dxa"/>
            <w:hideMark/>
          </w:tcPr>
          <w:p w14:paraId="0C2CE7A8" w14:textId="77777777" w:rsidR="008C707F" w:rsidRPr="003A2596" w:rsidRDefault="008C707F" w:rsidP="00D72BBC">
            <w:pPr>
              <w:pStyle w:val="08-Tabelageral"/>
              <w:rPr>
                <w:rFonts w:cs="Arial"/>
                <w:b/>
                <w:bCs/>
                <w:lang w:eastAsia="en-US"/>
              </w:rPr>
            </w:pPr>
            <w:r w:rsidRPr="003A2596">
              <w:rPr>
                <w:rFonts w:cs="Arial"/>
                <w:b/>
                <w:bCs/>
                <w:lang w:eastAsia="en-US"/>
              </w:rPr>
              <w:t>100.00%</w:t>
            </w:r>
          </w:p>
        </w:tc>
        <w:tc>
          <w:tcPr>
            <w:tcW w:w="1404" w:type="dxa"/>
            <w:hideMark/>
          </w:tcPr>
          <w:p w14:paraId="31BFC8F6" w14:textId="77777777" w:rsidR="008C707F" w:rsidRPr="003A2596" w:rsidRDefault="008C707F" w:rsidP="00D72BBC">
            <w:pPr>
              <w:pStyle w:val="08-Tabelageral"/>
              <w:rPr>
                <w:rFonts w:cs="Arial"/>
                <w:b/>
                <w:bCs/>
                <w:lang w:eastAsia="en-US"/>
              </w:rPr>
            </w:pPr>
            <w:r w:rsidRPr="003A2596">
              <w:rPr>
                <w:rFonts w:cs="Arial"/>
                <w:b/>
                <w:bCs/>
                <w:lang w:eastAsia="en-US"/>
              </w:rPr>
              <w:t>7,410,432</w:t>
            </w:r>
          </w:p>
        </w:tc>
        <w:tc>
          <w:tcPr>
            <w:tcW w:w="1405" w:type="dxa"/>
            <w:hideMark/>
          </w:tcPr>
          <w:p w14:paraId="258D504C" w14:textId="77777777" w:rsidR="008C707F" w:rsidRPr="003A2596" w:rsidRDefault="008C707F" w:rsidP="00D72BBC">
            <w:pPr>
              <w:pStyle w:val="08-Tabelageral"/>
              <w:rPr>
                <w:rFonts w:cs="Arial"/>
                <w:b/>
                <w:bCs/>
                <w:lang w:eastAsia="en-US"/>
              </w:rPr>
            </w:pPr>
            <w:r w:rsidRPr="003A2596">
              <w:rPr>
                <w:rFonts w:cs="Arial"/>
                <w:b/>
                <w:bCs/>
                <w:lang w:eastAsia="en-US"/>
              </w:rPr>
              <w:t>7,074,640</w:t>
            </w:r>
          </w:p>
        </w:tc>
        <w:tc>
          <w:tcPr>
            <w:tcW w:w="1914" w:type="dxa"/>
            <w:hideMark/>
          </w:tcPr>
          <w:p w14:paraId="394E3FAA" w14:textId="77777777" w:rsidR="008C707F" w:rsidRPr="003A2596" w:rsidRDefault="008C707F" w:rsidP="00D72BBC">
            <w:pPr>
              <w:jc w:val="right"/>
              <w:rPr>
                <w:rFonts w:cs="Arial"/>
                <w:b/>
                <w:bCs/>
                <w:sz w:val="14"/>
                <w:szCs w:val="14"/>
                <w:lang w:eastAsia="pt-BR"/>
              </w:rPr>
            </w:pPr>
            <w:r w:rsidRPr="003A2596">
              <w:rPr>
                <w:rFonts w:cs="Arial"/>
                <w:b/>
                <w:bCs/>
                <w:sz w:val="14"/>
                <w:szCs w:val="14"/>
              </w:rPr>
              <w:t>3,313,310</w:t>
            </w:r>
          </w:p>
        </w:tc>
      </w:tr>
      <w:tr w:rsidR="008C707F" w:rsidRPr="00016D9A" w14:paraId="6424A726" w14:textId="77777777" w:rsidTr="003A2596">
        <w:trPr>
          <w:trHeight w:hRule="exact" w:val="238"/>
        </w:trPr>
        <w:tc>
          <w:tcPr>
            <w:tcW w:w="2101" w:type="dxa"/>
            <w:hideMark/>
          </w:tcPr>
          <w:p w14:paraId="68AE2748" w14:textId="77777777" w:rsidR="008C707F" w:rsidRPr="00016D9A" w:rsidRDefault="008C707F" w:rsidP="00D72BBC">
            <w:pPr>
              <w:pStyle w:val="08-Tabelageral"/>
              <w:ind w:left="113"/>
              <w:jc w:val="left"/>
              <w:rPr>
                <w:rFonts w:cs="Arial"/>
                <w:b/>
                <w:snapToGrid w:val="0"/>
                <w:lang w:eastAsia="en-US"/>
              </w:rPr>
            </w:pPr>
            <w:r w:rsidRPr="00016D9A">
              <w:rPr>
                <w:rFonts w:cs="Arial"/>
                <w:lang w:eastAsia="en-US"/>
              </w:rPr>
              <w:t>BB MAPFRE</w:t>
            </w:r>
          </w:p>
        </w:tc>
        <w:tc>
          <w:tcPr>
            <w:tcW w:w="1407" w:type="dxa"/>
            <w:hideMark/>
          </w:tcPr>
          <w:p w14:paraId="7C25F189" w14:textId="77777777" w:rsidR="008C707F" w:rsidRPr="00016D9A" w:rsidRDefault="008C707F" w:rsidP="00D72BBC">
            <w:pPr>
              <w:pStyle w:val="08-Tabelageral"/>
              <w:jc w:val="center"/>
              <w:rPr>
                <w:rFonts w:cs="Arial"/>
                <w:lang w:eastAsia="en-US"/>
              </w:rPr>
            </w:pPr>
            <w:r>
              <w:rPr>
                <w:rFonts w:cs="Arial"/>
                <w:lang w:eastAsia="en-US"/>
              </w:rPr>
              <w:t>Insurance</w:t>
            </w:r>
          </w:p>
        </w:tc>
        <w:tc>
          <w:tcPr>
            <w:tcW w:w="1408" w:type="dxa"/>
            <w:hideMark/>
          </w:tcPr>
          <w:p w14:paraId="56B002B0" w14:textId="77777777" w:rsidR="008C707F" w:rsidRPr="00016D9A" w:rsidRDefault="008C707F" w:rsidP="00D72BBC">
            <w:pPr>
              <w:pStyle w:val="08-Tabelageral"/>
              <w:rPr>
                <w:rFonts w:cs="Arial"/>
                <w:lang w:eastAsia="en-US"/>
              </w:rPr>
            </w:pPr>
            <w:r w:rsidRPr="00016D9A">
              <w:rPr>
                <w:rFonts w:cs="Arial"/>
                <w:lang w:eastAsia="en-US"/>
              </w:rPr>
              <w:t>74</w:t>
            </w:r>
            <w:r>
              <w:rPr>
                <w:rFonts w:cs="Arial"/>
                <w:lang w:eastAsia="en-US"/>
              </w:rPr>
              <w:t>.</w:t>
            </w:r>
            <w:r w:rsidRPr="00016D9A">
              <w:rPr>
                <w:rFonts w:cs="Arial"/>
                <w:lang w:eastAsia="en-US"/>
              </w:rPr>
              <w:t>99%</w:t>
            </w:r>
          </w:p>
        </w:tc>
        <w:tc>
          <w:tcPr>
            <w:tcW w:w="1404" w:type="dxa"/>
            <w:hideMark/>
          </w:tcPr>
          <w:p w14:paraId="396405C3" w14:textId="77777777" w:rsidR="008C707F" w:rsidRPr="00016D9A" w:rsidRDefault="008C707F" w:rsidP="00D72BBC">
            <w:pPr>
              <w:pStyle w:val="08-Tabelageral"/>
              <w:rPr>
                <w:rFonts w:cs="Arial"/>
                <w:lang w:eastAsia="en-US"/>
              </w:rPr>
            </w:pPr>
            <w:r w:rsidRPr="00016D9A">
              <w:rPr>
                <w:rFonts w:cs="Arial"/>
                <w:szCs w:val="14"/>
                <w:lang w:eastAsia="en-US"/>
              </w:rPr>
              <w:t>2</w:t>
            </w:r>
            <w:r>
              <w:rPr>
                <w:rFonts w:cs="Arial"/>
                <w:szCs w:val="14"/>
                <w:lang w:eastAsia="en-US"/>
              </w:rPr>
              <w:t>,</w:t>
            </w:r>
            <w:r w:rsidRPr="00016D9A">
              <w:rPr>
                <w:rFonts w:cs="Arial"/>
                <w:szCs w:val="14"/>
                <w:lang w:eastAsia="en-US"/>
              </w:rPr>
              <w:t>436</w:t>
            </w:r>
            <w:r>
              <w:rPr>
                <w:rFonts w:cs="Arial"/>
                <w:szCs w:val="14"/>
                <w:lang w:eastAsia="en-US"/>
              </w:rPr>
              <w:t>,</w:t>
            </w:r>
            <w:r w:rsidRPr="00016D9A">
              <w:rPr>
                <w:rFonts w:cs="Arial"/>
                <w:szCs w:val="14"/>
                <w:lang w:eastAsia="en-US"/>
              </w:rPr>
              <w:t>345</w:t>
            </w:r>
          </w:p>
        </w:tc>
        <w:tc>
          <w:tcPr>
            <w:tcW w:w="1405" w:type="dxa"/>
            <w:hideMark/>
          </w:tcPr>
          <w:p w14:paraId="4D3DCBED" w14:textId="77777777" w:rsidR="008C707F" w:rsidRPr="00016D9A" w:rsidRDefault="008C707F" w:rsidP="00D72BBC">
            <w:pPr>
              <w:pStyle w:val="08-Tabelageral"/>
              <w:rPr>
                <w:rFonts w:cs="Arial"/>
                <w:lang w:eastAsia="en-US"/>
              </w:rPr>
            </w:pPr>
            <w:r w:rsidRPr="00016D9A">
              <w:rPr>
                <w:rFonts w:cs="Arial"/>
                <w:szCs w:val="14"/>
                <w:lang w:eastAsia="en-US"/>
              </w:rPr>
              <w:t>2</w:t>
            </w:r>
            <w:r>
              <w:rPr>
                <w:rFonts w:cs="Arial"/>
                <w:szCs w:val="14"/>
                <w:lang w:eastAsia="en-US"/>
              </w:rPr>
              <w:t>,</w:t>
            </w:r>
            <w:r w:rsidRPr="00016D9A">
              <w:rPr>
                <w:rFonts w:cs="Arial"/>
                <w:szCs w:val="14"/>
                <w:lang w:eastAsia="en-US"/>
              </w:rPr>
              <w:t>337</w:t>
            </w:r>
            <w:r>
              <w:rPr>
                <w:rFonts w:cs="Arial"/>
                <w:szCs w:val="14"/>
                <w:lang w:eastAsia="en-US"/>
              </w:rPr>
              <w:t>,</w:t>
            </w:r>
            <w:r w:rsidRPr="00016D9A">
              <w:rPr>
                <w:rFonts w:cs="Arial"/>
                <w:szCs w:val="14"/>
                <w:lang w:eastAsia="en-US"/>
              </w:rPr>
              <w:t>086</w:t>
            </w:r>
          </w:p>
        </w:tc>
        <w:tc>
          <w:tcPr>
            <w:tcW w:w="1914" w:type="dxa"/>
            <w:hideMark/>
          </w:tcPr>
          <w:p w14:paraId="56C524E1" w14:textId="77777777" w:rsidR="008C707F" w:rsidRPr="00016D9A" w:rsidRDefault="008C707F" w:rsidP="00D72BBC">
            <w:pPr>
              <w:jc w:val="right"/>
              <w:rPr>
                <w:rFonts w:cs="Arial"/>
                <w:sz w:val="14"/>
                <w:szCs w:val="14"/>
                <w:lang w:eastAsia="pt-BR"/>
              </w:rPr>
            </w:pPr>
            <w:r w:rsidRPr="00016D9A">
              <w:rPr>
                <w:rFonts w:cs="Arial"/>
                <w:sz w:val="14"/>
                <w:szCs w:val="14"/>
              </w:rPr>
              <w:t>2</w:t>
            </w:r>
            <w:r>
              <w:rPr>
                <w:rFonts w:cs="Arial"/>
                <w:sz w:val="14"/>
                <w:szCs w:val="14"/>
              </w:rPr>
              <w:t>,</w:t>
            </w:r>
            <w:r w:rsidRPr="00016D9A">
              <w:rPr>
                <w:rFonts w:cs="Arial"/>
                <w:sz w:val="14"/>
                <w:szCs w:val="14"/>
              </w:rPr>
              <w:t>081</w:t>
            </w:r>
            <w:r>
              <w:rPr>
                <w:rFonts w:cs="Arial"/>
                <w:sz w:val="14"/>
                <w:szCs w:val="14"/>
              </w:rPr>
              <w:t>,</w:t>
            </w:r>
            <w:r w:rsidRPr="00016D9A">
              <w:rPr>
                <w:rFonts w:cs="Arial"/>
                <w:sz w:val="14"/>
                <w:szCs w:val="14"/>
              </w:rPr>
              <w:t>551</w:t>
            </w:r>
          </w:p>
        </w:tc>
      </w:tr>
      <w:tr w:rsidR="008C707F" w:rsidRPr="00016D9A" w14:paraId="16E19CE0" w14:textId="77777777" w:rsidTr="003A2596">
        <w:trPr>
          <w:trHeight w:hRule="exact" w:val="238"/>
        </w:trPr>
        <w:tc>
          <w:tcPr>
            <w:tcW w:w="2101" w:type="dxa"/>
            <w:hideMark/>
          </w:tcPr>
          <w:p w14:paraId="6D2D4DB8" w14:textId="77777777" w:rsidR="008C707F" w:rsidRPr="00016D9A" w:rsidRDefault="008C707F" w:rsidP="00D72BBC">
            <w:pPr>
              <w:pStyle w:val="08-Tabelageral"/>
              <w:ind w:left="113"/>
              <w:jc w:val="left"/>
              <w:rPr>
                <w:rFonts w:cs="Arial"/>
                <w:b/>
                <w:snapToGrid w:val="0"/>
                <w:lang w:eastAsia="en-US"/>
              </w:rPr>
            </w:pPr>
            <w:r w:rsidRPr="00016D9A">
              <w:rPr>
                <w:rFonts w:cs="Arial"/>
                <w:lang w:eastAsia="en-US"/>
              </w:rPr>
              <w:t>Brasilprev</w:t>
            </w:r>
          </w:p>
        </w:tc>
        <w:tc>
          <w:tcPr>
            <w:tcW w:w="1407" w:type="dxa"/>
            <w:hideMark/>
          </w:tcPr>
          <w:p w14:paraId="7E0B81C7" w14:textId="77777777" w:rsidR="008C707F" w:rsidRPr="00016D9A" w:rsidRDefault="008C707F" w:rsidP="00D72BBC">
            <w:pPr>
              <w:pStyle w:val="08-Tabelageral"/>
              <w:jc w:val="center"/>
              <w:rPr>
                <w:rFonts w:cs="Arial"/>
                <w:lang w:eastAsia="en-US"/>
              </w:rPr>
            </w:pPr>
            <w:r>
              <w:rPr>
                <w:rFonts w:cs="Arial"/>
                <w:lang w:eastAsia="en-US"/>
              </w:rPr>
              <w:t>Pension Plan</w:t>
            </w:r>
          </w:p>
        </w:tc>
        <w:tc>
          <w:tcPr>
            <w:tcW w:w="1408" w:type="dxa"/>
            <w:hideMark/>
          </w:tcPr>
          <w:p w14:paraId="1A7EABE7" w14:textId="77777777" w:rsidR="008C707F" w:rsidRPr="00016D9A" w:rsidRDefault="008C707F" w:rsidP="00D72BBC">
            <w:pPr>
              <w:pStyle w:val="08-Tabelageral"/>
              <w:rPr>
                <w:rFonts w:cs="Arial"/>
                <w:lang w:eastAsia="en-US"/>
              </w:rPr>
            </w:pPr>
            <w:r w:rsidRPr="00016D9A">
              <w:rPr>
                <w:rFonts w:cs="Arial"/>
                <w:lang w:eastAsia="en-US"/>
              </w:rPr>
              <w:t>74</w:t>
            </w:r>
            <w:r>
              <w:rPr>
                <w:rFonts w:cs="Arial"/>
                <w:lang w:eastAsia="en-US"/>
              </w:rPr>
              <w:t>.</w:t>
            </w:r>
            <w:r w:rsidRPr="00016D9A">
              <w:rPr>
                <w:rFonts w:cs="Arial"/>
                <w:lang w:eastAsia="en-US"/>
              </w:rPr>
              <w:t>99%</w:t>
            </w:r>
          </w:p>
        </w:tc>
        <w:tc>
          <w:tcPr>
            <w:tcW w:w="1404" w:type="dxa"/>
            <w:hideMark/>
          </w:tcPr>
          <w:p w14:paraId="08957318" w14:textId="77777777" w:rsidR="008C707F" w:rsidRPr="00016D9A" w:rsidRDefault="008C707F" w:rsidP="00D72BBC">
            <w:pPr>
              <w:pStyle w:val="08-Tabelageral"/>
              <w:rPr>
                <w:rFonts w:cs="Arial"/>
                <w:lang w:eastAsia="en-US"/>
              </w:rPr>
            </w:pPr>
            <w:r w:rsidRPr="00016D9A">
              <w:rPr>
                <w:lang w:eastAsia="en-US"/>
              </w:rPr>
              <w:t>4</w:t>
            </w:r>
            <w:r>
              <w:rPr>
                <w:lang w:eastAsia="en-US"/>
              </w:rPr>
              <w:t>,</w:t>
            </w:r>
            <w:r w:rsidRPr="00016D9A">
              <w:rPr>
                <w:lang w:eastAsia="en-US"/>
              </w:rPr>
              <w:t>512</w:t>
            </w:r>
            <w:r>
              <w:rPr>
                <w:lang w:eastAsia="en-US"/>
              </w:rPr>
              <w:t>,</w:t>
            </w:r>
            <w:r w:rsidRPr="00016D9A">
              <w:rPr>
                <w:lang w:eastAsia="en-US"/>
              </w:rPr>
              <w:t>886</w:t>
            </w:r>
          </w:p>
        </w:tc>
        <w:tc>
          <w:tcPr>
            <w:tcW w:w="1405" w:type="dxa"/>
            <w:hideMark/>
          </w:tcPr>
          <w:p w14:paraId="686D1FB5" w14:textId="77777777" w:rsidR="008C707F" w:rsidRPr="00016D9A" w:rsidRDefault="008C707F" w:rsidP="00D72BBC">
            <w:pPr>
              <w:pStyle w:val="08-Tabelageral"/>
              <w:rPr>
                <w:rFonts w:cs="Arial"/>
                <w:lang w:eastAsia="en-US"/>
              </w:rPr>
            </w:pPr>
            <w:r w:rsidRPr="00016D9A">
              <w:rPr>
                <w:lang w:eastAsia="en-US"/>
              </w:rPr>
              <w:t>4</w:t>
            </w:r>
            <w:r>
              <w:rPr>
                <w:lang w:eastAsia="en-US"/>
              </w:rPr>
              <w:t>,</w:t>
            </w:r>
            <w:r w:rsidRPr="00016D9A">
              <w:rPr>
                <w:lang w:eastAsia="en-US"/>
              </w:rPr>
              <w:t>354</w:t>
            </w:r>
            <w:r>
              <w:rPr>
                <w:lang w:eastAsia="en-US"/>
              </w:rPr>
              <w:t>,</w:t>
            </w:r>
            <w:r w:rsidRPr="00016D9A">
              <w:rPr>
                <w:lang w:eastAsia="en-US"/>
              </w:rPr>
              <w:t>377</w:t>
            </w:r>
          </w:p>
        </w:tc>
        <w:tc>
          <w:tcPr>
            <w:tcW w:w="1914" w:type="dxa"/>
            <w:hideMark/>
          </w:tcPr>
          <w:p w14:paraId="3D66413D" w14:textId="77777777" w:rsidR="008C707F" w:rsidRPr="00016D9A" w:rsidRDefault="008C707F" w:rsidP="00D72BBC">
            <w:pPr>
              <w:jc w:val="right"/>
              <w:rPr>
                <w:rFonts w:cs="Arial"/>
                <w:sz w:val="14"/>
                <w:szCs w:val="14"/>
                <w:lang w:eastAsia="pt-BR"/>
              </w:rPr>
            </w:pPr>
            <w:r w:rsidRPr="00016D9A">
              <w:rPr>
                <w:rFonts w:cs="Arial"/>
                <w:sz w:val="14"/>
                <w:szCs w:val="14"/>
              </w:rPr>
              <w:t>1</w:t>
            </w:r>
            <w:r>
              <w:rPr>
                <w:rFonts w:cs="Arial"/>
                <w:sz w:val="14"/>
                <w:szCs w:val="14"/>
              </w:rPr>
              <w:t>,</w:t>
            </w:r>
            <w:r w:rsidRPr="00016D9A">
              <w:rPr>
                <w:rFonts w:cs="Arial"/>
                <w:sz w:val="14"/>
                <w:szCs w:val="14"/>
              </w:rPr>
              <w:t>116</w:t>
            </w:r>
            <w:r>
              <w:rPr>
                <w:rFonts w:cs="Arial"/>
                <w:sz w:val="14"/>
                <w:szCs w:val="14"/>
              </w:rPr>
              <w:t>,</w:t>
            </w:r>
            <w:r w:rsidRPr="00016D9A">
              <w:rPr>
                <w:rFonts w:cs="Arial"/>
                <w:sz w:val="14"/>
                <w:szCs w:val="14"/>
              </w:rPr>
              <w:t>786</w:t>
            </w:r>
          </w:p>
        </w:tc>
      </w:tr>
      <w:tr w:rsidR="008C707F" w:rsidRPr="00016D9A" w14:paraId="2DCEC77C" w14:textId="77777777" w:rsidTr="003A2596">
        <w:trPr>
          <w:trHeight w:hRule="exact" w:val="238"/>
        </w:trPr>
        <w:tc>
          <w:tcPr>
            <w:tcW w:w="2101" w:type="dxa"/>
            <w:hideMark/>
          </w:tcPr>
          <w:p w14:paraId="684BFD70" w14:textId="77777777" w:rsidR="008C707F" w:rsidRPr="00016D9A" w:rsidRDefault="008C707F" w:rsidP="00D72BBC">
            <w:pPr>
              <w:pStyle w:val="08-Tabelageral"/>
              <w:ind w:left="113"/>
              <w:jc w:val="left"/>
              <w:rPr>
                <w:rFonts w:cs="Arial"/>
                <w:b/>
                <w:snapToGrid w:val="0"/>
                <w:vertAlign w:val="superscript"/>
                <w:lang w:eastAsia="en-US"/>
              </w:rPr>
            </w:pPr>
            <w:r w:rsidRPr="00016D9A">
              <w:rPr>
                <w:rFonts w:cs="Arial"/>
                <w:lang w:eastAsia="en-US"/>
              </w:rPr>
              <w:t>Brasilcap</w:t>
            </w:r>
          </w:p>
        </w:tc>
        <w:tc>
          <w:tcPr>
            <w:tcW w:w="1407" w:type="dxa"/>
            <w:hideMark/>
          </w:tcPr>
          <w:p w14:paraId="46469724" w14:textId="77777777" w:rsidR="008C707F" w:rsidRPr="00016D9A" w:rsidRDefault="008C707F" w:rsidP="00D72BBC">
            <w:pPr>
              <w:pStyle w:val="08-Tabelageral"/>
              <w:jc w:val="center"/>
              <w:rPr>
                <w:rFonts w:cs="Arial"/>
                <w:lang w:eastAsia="en-US"/>
              </w:rPr>
            </w:pPr>
            <w:r>
              <w:rPr>
                <w:rFonts w:cs="Arial"/>
                <w:lang w:eastAsia="en-US"/>
              </w:rPr>
              <w:t>Premium Bonds</w:t>
            </w:r>
          </w:p>
        </w:tc>
        <w:tc>
          <w:tcPr>
            <w:tcW w:w="1408" w:type="dxa"/>
            <w:hideMark/>
          </w:tcPr>
          <w:p w14:paraId="1D2117AC" w14:textId="77777777" w:rsidR="008C707F" w:rsidRPr="00016D9A" w:rsidRDefault="008C707F" w:rsidP="00D72BBC">
            <w:pPr>
              <w:pStyle w:val="08-Tabelageral"/>
              <w:rPr>
                <w:rFonts w:cs="Arial"/>
                <w:lang w:eastAsia="en-US"/>
              </w:rPr>
            </w:pPr>
            <w:r w:rsidRPr="00016D9A">
              <w:rPr>
                <w:rFonts w:cs="Arial"/>
                <w:lang w:eastAsia="en-US"/>
              </w:rPr>
              <w:t>66</w:t>
            </w:r>
            <w:r>
              <w:rPr>
                <w:rFonts w:cs="Arial"/>
                <w:lang w:eastAsia="en-US"/>
              </w:rPr>
              <w:t>.</w:t>
            </w:r>
            <w:r w:rsidRPr="00016D9A">
              <w:rPr>
                <w:rFonts w:cs="Arial"/>
                <w:lang w:eastAsia="en-US"/>
              </w:rPr>
              <w:t>77%</w:t>
            </w:r>
          </w:p>
        </w:tc>
        <w:tc>
          <w:tcPr>
            <w:tcW w:w="1404" w:type="dxa"/>
            <w:hideMark/>
          </w:tcPr>
          <w:p w14:paraId="1995E1ED" w14:textId="77777777" w:rsidR="008C707F" w:rsidRPr="00016D9A" w:rsidRDefault="008C707F" w:rsidP="00D72BBC">
            <w:pPr>
              <w:pStyle w:val="08-Tabelageral"/>
              <w:rPr>
                <w:rFonts w:cs="Arial"/>
                <w:lang w:eastAsia="en-US"/>
              </w:rPr>
            </w:pPr>
            <w:r w:rsidRPr="00016D9A">
              <w:rPr>
                <w:lang w:eastAsia="en-US"/>
              </w:rPr>
              <w:t>544</w:t>
            </w:r>
            <w:r>
              <w:rPr>
                <w:lang w:eastAsia="en-US"/>
              </w:rPr>
              <w:t>,</w:t>
            </w:r>
            <w:r w:rsidRPr="00016D9A">
              <w:rPr>
                <w:lang w:eastAsia="en-US"/>
              </w:rPr>
              <w:t>590</w:t>
            </w:r>
          </w:p>
        </w:tc>
        <w:tc>
          <w:tcPr>
            <w:tcW w:w="1405" w:type="dxa"/>
            <w:hideMark/>
          </w:tcPr>
          <w:p w14:paraId="2608FCAB" w14:textId="77777777" w:rsidR="008C707F" w:rsidRPr="00016D9A" w:rsidRDefault="008C707F" w:rsidP="00D72BBC">
            <w:pPr>
              <w:pStyle w:val="08-Tabelageral"/>
              <w:rPr>
                <w:rFonts w:cs="Arial"/>
                <w:lang w:eastAsia="en-US"/>
              </w:rPr>
            </w:pPr>
            <w:r w:rsidRPr="00016D9A">
              <w:rPr>
                <w:lang w:eastAsia="en-US"/>
              </w:rPr>
              <w:t>427</w:t>
            </w:r>
            <w:r>
              <w:rPr>
                <w:lang w:eastAsia="en-US"/>
              </w:rPr>
              <w:t>,</w:t>
            </w:r>
            <w:r w:rsidRPr="00016D9A">
              <w:rPr>
                <w:lang w:eastAsia="en-US"/>
              </w:rPr>
              <w:t>840</w:t>
            </w:r>
          </w:p>
        </w:tc>
        <w:tc>
          <w:tcPr>
            <w:tcW w:w="1914" w:type="dxa"/>
            <w:hideMark/>
          </w:tcPr>
          <w:p w14:paraId="41D1EF1B" w14:textId="77777777" w:rsidR="008C707F" w:rsidRPr="00016D9A" w:rsidRDefault="008C707F" w:rsidP="00D72BBC">
            <w:pPr>
              <w:jc w:val="right"/>
              <w:rPr>
                <w:rFonts w:cs="Arial"/>
                <w:sz w:val="14"/>
                <w:szCs w:val="14"/>
                <w:lang w:eastAsia="pt-BR"/>
              </w:rPr>
            </w:pPr>
            <w:r w:rsidRPr="00016D9A">
              <w:rPr>
                <w:rFonts w:cs="Arial"/>
                <w:sz w:val="14"/>
                <w:szCs w:val="14"/>
              </w:rPr>
              <w:t>145</w:t>
            </w:r>
            <w:r>
              <w:rPr>
                <w:rFonts w:cs="Arial"/>
                <w:sz w:val="14"/>
                <w:szCs w:val="14"/>
              </w:rPr>
              <w:t>,</w:t>
            </w:r>
            <w:r w:rsidRPr="00016D9A">
              <w:rPr>
                <w:rFonts w:cs="Arial"/>
                <w:sz w:val="14"/>
                <w:szCs w:val="14"/>
              </w:rPr>
              <w:t>199</w:t>
            </w:r>
          </w:p>
        </w:tc>
      </w:tr>
      <w:tr w:rsidR="008C707F" w:rsidRPr="00016D9A" w14:paraId="64A1232A" w14:textId="77777777" w:rsidTr="003A2596">
        <w:trPr>
          <w:trHeight w:hRule="exact" w:val="238"/>
        </w:trPr>
        <w:tc>
          <w:tcPr>
            <w:tcW w:w="2101" w:type="dxa"/>
            <w:hideMark/>
          </w:tcPr>
          <w:p w14:paraId="70C7B05E" w14:textId="77777777" w:rsidR="008C707F" w:rsidRPr="00016D9A" w:rsidRDefault="008C707F" w:rsidP="00D72BBC">
            <w:pPr>
              <w:pStyle w:val="08-Tabelageral"/>
              <w:ind w:left="113"/>
              <w:jc w:val="left"/>
              <w:rPr>
                <w:rFonts w:cs="Arial"/>
                <w:b/>
                <w:lang w:eastAsia="en-US"/>
              </w:rPr>
            </w:pPr>
            <w:r w:rsidRPr="00016D9A">
              <w:rPr>
                <w:rFonts w:cs="Arial"/>
                <w:lang w:eastAsia="en-US"/>
              </w:rPr>
              <w:t>Brasildental</w:t>
            </w:r>
          </w:p>
        </w:tc>
        <w:tc>
          <w:tcPr>
            <w:tcW w:w="1407" w:type="dxa"/>
            <w:hideMark/>
          </w:tcPr>
          <w:p w14:paraId="37C5FB90" w14:textId="77777777" w:rsidR="008C707F" w:rsidRPr="00016D9A" w:rsidRDefault="008C707F" w:rsidP="00D72BBC">
            <w:pPr>
              <w:pStyle w:val="08-Tabelageral"/>
              <w:jc w:val="center"/>
              <w:rPr>
                <w:rFonts w:cs="Arial"/>
                <w:lang w:eastAsia="en-US"/>
              </w:rPr>
            </w:pPr>
            <w:r>
              <w:rPr>
                <w:rFonts w:cs="Arial"/>
                <w:lang w:eastAsia="en-US"/>
              </w:rPr>
              <w:t>Dental Care</w:t>
            </w:r>
          </w:p>
        </w:tc>
        <w:tc>
          <w:tcPr>
            <w:tcW w:w="1408" w:type="dxa"/>
            <w:hideMark/>
          </w:tcPr>
          <w:p w14:paraId="41508F11" w14:textId="77777777" w:rsidR="008C707F" w:rsidRPr="00016D9A" w:rsidRDefault="008C707F" w:rsidP="00D72BBC">
            <w:pPr>
              <w:pStyle w:val="08-Tabelageral"/>
              <w:rPr>
                <w:rFonts w:cs="Arial"/>
                <w:lang w:eastAsia="en-US"/>
              </w:rPr>
            </w:pPr>
            <w:r w:rsidRPr="00016D9A">
              <w:rPr>
                <w:rFonts w:cs="Arial"/>
                <w:lang w:eastAsia="en-US"/>
              </w:rPr>
              <w:t>74</w:t>
            </w:r>
            <w:r>
              <w:rPr>
                <w:rFonts w:cs="Arial"/>
                <w:lang w:eastAsia="en-US"/>
              </w:rPr>
              <w:t>.</w:t>
            </w:r>
            <w:r w:rsidRPr="00016D9A">
              <w:rPr>
                <w:rFonts w:cs="Arial"/>
                <w:lang w:eastAsia="en-US"/>
              </w:rPr>
              <w:t>99%</w:t>
            </w:r>
          </w:p>
        </w:tc>
        <w:tc>
          <w:tcPr>
            <w:tcW w:w="1404" w:type="dxa"/>
            <w:hideMark/>
          </w:tcPr>
          <w:p w14:paraId="4A8D4B27" w14:textId="77777777" w:rsidR="008C707F" w:rsidRPr="00016D9A" w:rsidRDefault="008C707F" w:rsidP="00D72BBC">
            <w:pPr>
              <w:pStyle w:val="08-Tabelageral"/>
              <w:rPr>
                <w:rFonts w:cs="Arial"/>
                <w:lang w:eastAsia="en-US"/>
              </w:rPr>
            </w:pPr>
            <w:r w:rsidRPr="00016D9A">
              <w:rPr>
                <w:lang w:eastAsia="en-US"/>
              </w:rPr>
              <w:t>21</w:t>
            </w:r>
            <w:r>
              <w:rPr>
                <w:lang w:eastAsia="en-US"/>
              </w:rPr>
              <w:t>,</w:t>
            </w:r>
            <w:r w:rsidRPr="00016D9A">
              <w:rPr>
                <w:lang w:eastAsia="en-US"/>
              </w:rPr>
              <w:t>483</w:t>
            </w:r>
          </w:p>
        </w:tc>
        <w:tc>
          <w:tcPr>
            <w:tcW w:w="1405" w:type="dxa"/>
            <w:hideMark/>
          </w:tcPr>
          <w:p w14:paraId="2988F80D" w14:textId="77777777" w:rsidR="008C707F" w:rsidRPr="00016D9A" w:rsidRDefault="008C707F" w:rsidP="00D72BBC">
            <w:pPr>
              <w:pStyle w:val="08-Tabelageral"/>
              <w:rPr>
                <w:rFonts w:cs="Arial"/>
                <w:lang w:eastAsia="en-US"/>
              </w:rPr>
            </w:pPr>
            <w:r w:rsidRPr="00016D9A">
              <w:rPr>
                <w:lang w:eastAsia="en-US"/>
              </w:rPr>
              <w:t>16</w:t>
            </w:r>
            <w:r>
              <w:rPr>
                <w:lang w:eastAsia="en-US"/>
              </w:rPr>
              <w:t>,</w:t>
            </w:r>
            <w:r w:rsidRPr="00016D9A">
              <w:rPr>
                <w:lang w:eastAsia="en-US"/>
              </w:rPr>
              <w:t>088</w:t>
            </w:r>
          </w:p>
        </w:tc>
        <w:tc>
          <w:tcPr>
            <w:tcW w:w="1914" w:type="dxa"/>
            <w:hideMark/>
          </w:tcPr>
          <w:p w14:paraId="06A0DF3F" w14:textId="77777777" w:rsidR="008C707F" w:rsidRPr="00016D9A" w:rsidRDefault="008C707F" w:rsidP="00D72BBC">
            <w:pPr>
              <w:jc w:val="right"/>
              <w:rPr>
                <w:rFonts w:cs="Arial"/>
                <w:sz w:val="14"/>
                <w:szCs w:val="14"/>
                <w:lang w:eastAsia="pt-BR"/>
              </w:rPr>
            </w:pPr>
            <w:r w:rsidRPr="00016D9A">
              <w:rPr>
                <w:rFonts w:cs="Arial"/>
                <w:sz w:val="14"/>
                <w:szCs w:val="14"/>
                <w:lang w:eastAsia="pt-BR"/>
              </w:rPr>
              <w:t>20</w:t>
            </w:r>
            <w:r>
              <w:rPr>
                <w:rFonts w:cs="Arial"/>
                <w:sz w:val="14"/>
                <w:szCs w:val="14"/>
                <w:lang w:eastAsia="pt-BR"/>
              </w:rPr>
              <w:t>,</w:t>
            </w:r>
            <w:r w:rsidRPr="00016D9A">
              <w:rPr>
                <w:rFonts w:cs="Arial"/>
                <w:sz w:val="14"/>
                <w:szCs w:val="14"/>
                <w:lang w:eastAsia="pt-BR"/>
              </w:rPr>
              <w:t>902</w:t>
            </w:r>
          </w:p>
        </w:tc>
      </w:tr>
      <w:tr w:rsidR="008C707F" w:rsidRPr="003A2596" w14:paraId="7E660714" w14:textId="77777777" w:rsidTr="003A2596">
        <w:trPr>
          <w:trHeight w:hRule="exact" w:val="266"/>
        </w:trPr>
        <w:tc>
          <w:tcPr>
            <w:tcW w:w="2101" w:type="dxa"/>
            <w:hideMark/>
          </w:tcPr>
          <w:p w14:paraId="14CEF3B4" w14:textId="77777777" w:rsidR="008C707F" w:rsidRPr="003A2596" w:rsidRDefault="008C707F" w:rsidP="00D72BBC">
            <w:pPr>
              <w:pStyle w:val="08-Tabelageral"/>
              <w:tabs>
                <w:tab w:val="left" w:pos="1141"/>
              </w:tabs>
              <w:jc w:val="left"/>
              <w:rPr>
                <w:rFonts w:cs="Arial"/>
                <w:b/>
                <w:bCs/>
                <w:snapToGrid w:val="0"/>
                <w:lang w:eastAsia="en-US"/>
              </w:rPr>
            </w:pPr>
            <w:r w:rsidRPr="003A2596">
              <w:rPr>
                <w:rFonts w:cs="Arial"/>
                <w:b/>
                <w:bCs/>
                <w:lang w:eastAsia="en-US"/>
              </w:rPr>
              <w:t>BB Corretora</w:t>
            </w:r>
          </w:p>
        </w:tc>
        <w:tc>
          <w:tcPr>
            <w:tcW w:w="1407" w:type="dxa"/>
            <w:hideMark/>
          </w:tcPr>
          <w:p w14:paraId="6267F404" w14:textId="77777777" w:rsidR="008C707F" w:rsidRPr="003A2596" w:rsidRDefault="008C707F" w:rsidP="00D72BBC">
            <w:pPr>
              <w:pStyle w:val="08-Tabelageral"/>
              <w:jc w:val="center"/>
              <w:rPr>
                <w:rFonts w:cs="Arial"/>
                <w:b/>
                <w:bCs/>
                <w:lang w:eastAsia="en-US"/>
              </w:rPr>
            </w:pPr>
            <w:r w:rsidRPr="003A2596">
              <w:rPr>
                <w:rFonts w:cs="Arial"/>
                <w:b/>
                <w:bCs/>
                <w:lang w:eastAsia="en-US"/>
              </w:rPr>
              <w:t>Insurance Broker</w:t>
            </w:r>
          </w:p>
        </w:tc>
        <w:tc>
          <w:tcPr>
            <w:tcW w:w="1408" w:type="dxa"/>
            <w:hideMark/>
          </w:tcPr>
          <w:p w14:paraId="49091D10" w14:textId="77777777" w:rsidR="008C707F" w:rsidRPr="003A2596" w:rsidRDefault="008C707F" w:rsidP="00D72BBC">
            <w:pPr>
              <w:pStyle w:val="08-Tabelageral"/>
              <w:rPr>
                <w:rFonts w:cs="Arial"/>
                <w:b/>
                <w:bCs/>
                <w:lang w:eastAsia="en-US"/>
              </w:rPr>
            </w:pPr>
            <w:r w:rsidRPr="003A2596">
              <w:rPr>
                <w:rFonts w:cs="Arial"/>
                <w:b/>
                <w:bCs/>
                <w:lang w:eastAsia="en-US"/>
              </w:rPr>
              <w:t>100.00%</w:t>
            </w:r>
          </w:p>
        </w:tc>
        <w:tc>
          <w:tcPr>
            <w:tcW w:w="1404" w:type="dxa"/>
            <w:hideMark/>
          </w:tcPr>
          <w:p w14:paraId="7DACBFF5" w14:textId="77777777" w:rsidR="008C707F" w:rsidRPr="003A2596" w:rsidRDefault="008C707F" w:rsidP="00D72BBC">
            <w:pPr>
              <w:pStyle w:val="08-Tabelageral"/>
              <w:rPr>
                <w:rFonts w:cs="Arial"/>
                <w:b/>
                <w:bCs/>
                <w:lang w:eastAsia="en-US"/>
              </w:rPr>
            </w:pPr>
            <w:r w:rsidRPr="003A2596">
              <w:rPr>
                <w:rFonts w:cs="Arial"/>
                <w:b/>
                <w:bCs/>
                <w:lang w:eastAsia="en-US"/>
              </w:rPr>
              <w:t>6,338</w:t>
            </w:r>
          </w:p>
        </w:tc>
        <w:tc>
          <w:tcPr>
            <w:tcW w:w="1405" w:type="dxa"/>
            <w:hideMark/>
          </w:tcPr>
          <w:p w14:paraId="674D0F57" w14:textId="77777777" w:rsidR="008C707F" w:rsidRPr="003A2596" w:rsidRDefault="008C707F" w:rsidP="00D72BBC">
            <w:pPr>
              <w:pStyle w:val="08-Tabelageral"/>
              <w:rPr>
                <w:rFonts w:cs="Arial"/>
                <w:b/>
                <w:bCs/>
                <w:lang w:eastAsia="en-US"/>
              </w:rPr>
            </w:pPr>
            <w:r w:rsidRPr="003A2596">
              <w:rPr>
                <w:rFonts w:cs="Arial"/>
                <w:b/>
                <w:bCs/>
                <w:lang w:eastAsia="en-US"/>
              </w:rPr>
              <w:t>6,009</w:t>
            </w:r>
          </w:p>
        </w:tc>
        <w:tc>
          <w:tcPr>
            <w:tcW w:w="1914" w:type="dxa"/>
            <w:hideMark/>
          </w:tcPr>
          <w:p w14:paraId="125267D5" w14:textId="77777777" w:rsidR="008C707F" w:rsidRPr="003A2596" w:rsidRDefault="008C707F" w:rsidP="00D72BBC">
            <w:pPr>
              <w:jc w:val="right"/>
              <w:rPr>
                <w:rFonts w:cs="Arial"/>
                <w:b/>
                <w:bCs/>
                <w:sz w:val="14"/>
                <w:szCs w:val="14"/>
                <w:lang w:eastAsia="pt-BR"/>
              </w:rPr>
            </w:pPr>
            <w:r w:rsidRPr="003A2596">
              <w:rPr>
                <w:rFonts w:cs="Arial"/>
                <w:b/>
                <w:bCs/>
                <w:sz w:val="14"/>
                <w:szCs w:val="14"/>
              </w:rPr>
              <w:t>2,729,478</w:t>
            </w:r>
          </w:p>
        </w:tc>
      </w:tr>
      <w:tr w:rsidR="008C707F" w:rsidRPr="00016D9A" w14:paraId="13424004" w14:textId="77777777" w:rsidTr="003A2596">
        <w:trPr>
          <w:trHeight w:hRule="exact" w:val="238"/>
        </w:trPr>
        <w:tc>
          <w:tcPr>
            <w:tcW w:w="0" w:type="dxa"/>
            <w:hideMark/>
          </w:tcPr>
          <w:p w14:paraId="2B2A8D04" w14:textId="77777777" w:rsidR="008C707F" w:rsidRPr="00016D9A" w:rsidRDefault="008C707F" w:rsidP="00D72BBC">
            <w:pPr>
              <w:pStyle w:val="08-Tabelageral"/>
              <w:ind w:left="113"/>
              <w:jc w:val="left"/>
              <w:rPr>
                <w:rFonts w:cs="Arial"/>
                <w:b/>
                <w:lang w:eastAsia="en-US"/>
              </w:rPr>
            </w:pPr>
            <w:r w:rsidRPr="00016D9A">
              <w:rPr>
                <w:rFonts w:cs="Arial"/>
                <w:lang w:eastAsia="en-US"/>
              </w:rPr>
              <w:t>Ciclic</w:t>
            </w:r>
          </w:p>
        </w:tc>
        <w:tc>
          <w:tcPr>
            <w:tcW w:w="0" w:type="dxa"/>
            <w:hideMark/>
          </w:tcPr>
          <w:p w14:paraId="1A70AAF2" w14:textId="77777777" w:rsidR="008C707F" w:rsidRPr="00016D9A" w:rsidRDefault="008C707F" w:rsidP="00D72BBC">
            <w:pPr>
              <w:pStyle w:val="08-Tabelageral"/>
              <w:jc w:val="center"/>
              <w:rPr>
                <w:rFonts w:cs="Arial"/>
                <w:lang w:eastAsia="en-US"/>
              </w:rPr>
            </w:pPr>
            <w:r>
              <w:rPr>
                <w:rFonts w:cs="Arial"/>
                <w:lang w:eastAsia="en-US"/>
              </w:rPr>
              <w:t>Digital Broker</w:t>
            </w:r>
          </w:p>
        </w:tc>
        <w:tc>
          <w:tcPr>
            <w:tcW w:w="0" w:type="dxa"/>
            <w:hideMark/>
          </w:tcPr>
          <w:p w14:paraId="6F5ACD3E" w14:textId="77777777" w:rsidR="008C707F" w:rsidRPr="00016D9A" w:rsidRDefault="008C707F" w:rsidP="00D72BBC">
            <w:pPr>
              <w:pStyle w:val="08-Tabelageral"/>
              <w:rPr>
                <w:rFonts w:cs="Arial"/>
                <w:lang w:eastAsia="en-US"/>
              </w:rPr>
            </w:pPr>
            <w:r w:rsidRPr="00016D9A">
              <w:rPr>
                <w:rFonts w:cs="Arial"/>
                <w:lang w:eastAsia="en-US"/>
              </w:rPr>
              <w:t>74</w:t>
            </w:r>
            <w:r>
              <w:rPr>
                <w:rFonts w:cs="Arial"/>
                <w:lang w:eastAsia="en-US"/>
              </w:rPr>
              <w:t>.</w:t>
            </w:r>
            <w:r w:rsidRPr="00016D9A">
              <w:rPr>
                <w:rFonts w:cs="Arial"/>
                <w:lang w:eastAsia="en-US"/>
              </w:rPr>
              <w:t>99%</w:t>
            </w:r>
          </w:p>
        </w:tc>
        <w:tc>
          <w:tcPr>
            <w:tcW w:w="0" w:type="dxa"/>
            <w:hideMark/>
          </w:tcPr>
          <w:p w14:paraId="0980C0BB" w14:textId="77777777" w:rsidR="008C707F" w:rsidRPr="00016D9A" w:rsidRDefault="008C707F" w:rsidP="00D72BBC">
            <w:pPr>
              <w:pStyle w:val="08-Tabelageral"/>
              <w:rPr>
                <w:rFonts w:cs="Arial"/>
                <w:lang w:eastAsia="en-US"/>
              </w:rPr>
            </w:pPr>
            <w:r w:rsidRPr="00016D9A">
              <w:rPr>
                <w:lang w:eastAsia="en-US"/>
              </w:rPr>
              <w:t>1</w:t>
            </w:r>
            <w:r>
              <w:rPr>
                <w:lang w:eastAsia="en-US"/>
              </w:rPr>
              <w:t>,</w:t>
            </w:r>
            <w:r w:rsidRPr="00016D9A">
              <w:rPr>
                <w:lang w:eastAsia="en-US"/>
              </w:rPr>
              <w:t>506</w:t>
            </w:r>
          </w:p>
        </w:tc>
        <w:tc>
          <w:tcPr>
            <w:tcW w:w="0" w:type="dxa"/>
            <w:hideMark/>
          </w:tcPr>
          <w:p w14:paraId="2B6E8D7E" w14:textId="77777777" w:rsidR="008C707F" w:rsidRPr="00016D9A" w:rsidRDefault="008C707F" w:rsidP="00D72BBC">
            <w:pPr>
              <w:pStyle w:val="08-Tabelageral"/>
              <w:rPr>
                <w:rFonts w:cs="Arial"/>
                <w:lang w:eastAsia="en-US"/>
              </w:rPr>
            </w:pPr>
            <w:r w:rsidRPr="00016D9A">
              <w:rPr>
                <w:lang w:eastAsia="en-US"/>
              </w:rPr>
              <w:t>1</w:t>
            </w:r>
            <w:r>
              <w:rPr>
                <w:lang w:eastAsia="en-US"/>
              </w:rPr>
              <w:t>,</w:t>
            </w:r>
            <w:r w:rsidRPr="00016D9A">
              <w:rPr>
                <w:lang w:eastAsia="en-US"/>
              </w:rPr>
              <w:t>850</w:t>
            </w:r>
          </w:p>
        </w:tc>
        <w:tc>
          <w:tcPr>
            <w:tcW w:w="0" w:type="dxa"/>
            <w:hideMark/>
          </w:tcPr>
          <w:p w14:paraId="4B36E028" w14:textId="77777777" w:rsidR="008C707F" w:rsidRPr="00016D9A" w:rsidRDefault="008C707F" w:rsidP="00D72BBC">
            <w:pPr>
              <w:jc w:val="right"/>
              <w:rPr>
                <w:rFonts w:cs="Arial"/>
                <w:sz w:val="14"/>
                <w:szCs w:val="14"/>
                <w:lang w:eastAsia="pt-BR"/>
              </w:rPr>
            </w:pPr>
            <w:r w:rsidRPr="00016D9A">
              <w:rPr>
                <w:rFonts w:cs="Arial"/>
                <w:sz w:val="14"/>
                <w:szCs w:val="14"/>
              </w:rPr>
              <w:t>(673)</w:t>
            </w:r>
          </w:p>
        </w:tc>
      </w:tr>
      <w:tr w:rsidR="008C707F" w:rsidRPr="003A2596" w14:paraId="3323DBBA" w14:textId="77777777" w:rsidTr="003A2596">
        <w:trPr>
          <w:trHeight w:hRule="exact" w:val="238"/>
        </w:trPr>
        <w:tc>
          <w:tcPr>
            <w:tcW w:w="0" w:type="dxa"/>
          </w:tcPr>
          <w:p w14:paraId="6F9E98FD" w14:textId="77777777" w:rsidR="008C707F" w:rsidRPr="003A2596" w:rsidRDefault="008C707F" w:rsidP="00D72BBC">
            <w:pPr>
              <w:pStyle w:val="08-Tabelageral"/>
              <w:jc w:val="left"/>
              <w:rPr>
                <w:rFonts w:cs="Arial"/>
                <w:b/>
                <w:bCs/>
                <w:lang w:eastAsia="en-US"/>
              </w:rPr>
            </w:pPr>
            <w:r w:rsidRPr="003A2596">
              <w:rPr>
                <w:rFonts w:cs="Arial"/>
                <w:b/>
                <w:bCs/>
                <w:lang w:eastAsia="en-US"/>
              </w:rPr>
              <w:t>Total</w:t>
            </w:r>
          </w:p>
        </w:tc>
        <w:tc>
          <w:tcPr>
            <w:tcW w:w="0" w:type="dxa"/>
          </w:tcPr>
          <w:p w14:paraId="32602350" w14:textId="77777777" w:rsidR="008C707F" w:rsidRPr="003A2596" w:rsidRDefault="008C707F" w:rsidP="00D72BBC">
            <w:pPr>
              <w:pStyle w:val="08-Tabelageral"/>
              <w:jc w:val="center"/>
              <w:rPr>
                <w:rFonts w:cs="Arial"/>
                <w:b/>
                <w:bCs/>
                <w:lang w:eastAsia="en-US"/>
              </w:rPr>
            </w:pPr>
          </w:p>
        </w:tc>
        <w:tc>
          <w:tcPr>
            <w:tcW w:w="0" w:type="dxa"/>
          </w:tcPr>
          <w:p w14:paraId="2D378237" w14:textId="77777777" w:rsidR="008C707F" w:rsidRPr="003A2596" w:rsidRDefault="008C707F" w:rsidP="00D72BBC">
            <w:pPr>
              <w:pStyle w:val="08-Tabelageral"/>
              <w:rPr>
                <w:rFonts w:cs="Arial"/>
                <w:b/>
                <w:bCs/>
                <w:lang w:eastAsia="en-US"/>
              </w:rPr>
            </w:pPr>
          </w:p>
        </w:tc>
        <w:tc>
          <w:tcPr>
            <w:tcW w:w="0" w:type="dxa"/>
          </w:tcPr>
          <w:p w14:paraId="458B3CC4" w14:textId="77777777" w:rsidR="008C707F" w:rsidRPr="003A2596" w:rsidRDefault="008C707F" w:rsidP="00D72BBC">
            <w:pPr>
              <w:pStyle w:val="08-Tabelageral"/>
              <w:rPr>
                <w:b/>
                <w:bCs/>
                <w:lang w:eastAsia="en-US"/>
              </w:rPr>
            </w:pPr>
            <w:r w:rsidRPr="003A2596">
              <w:rPr>
                <w:rFonts w:cs="Arial"/>
                <w:b/>
                <w:bCs/>
                <w:lang w:eastAsia="en-US"/>
              </w:rPr>
              <w:t>7,416,770</w:t>
            </w:r>
          </w:p>
        </w:tc>
        <w:tc>
          <w:tcPr>
            <w:tcW w:w="0" w:type="dxa"/>
          </w:tcPr>
          <w:p w14:paraId="09A6FB4E" w14:textId="77777777" w:rsidR="008C707F" w:rsidRPr="003A2596" w:rsidRDefault="008C707F" w:rsidP="00D72BBC">
            <w:pPr>
              <w:pStyle w:val="08-Tabelageral"/>
              <w:rPr>
                <w:b/>
                <w:bCs/>
                <w:lang w:eastAsia="en-US"/>
              </w:rPr>
            </w:pPr>
            <w:r w:rsidRPr="003A2596">
              <w:rPr>
                <w:rFonts w:cs="Arial"/>
                <w:b/>
                <w:bCs/>
                <w:lang w:eastAsia="en-US"/>
              </w:rPr>
              <w:t>7,080,649</w:t>
            </w:r>
          </w:p>
        </w:tc>
        <w:tc>
          <w:tcPr>
            <w:tcW w:w="0" w:type="dxa"/>
          </w:tcPr>
          <w:p w14:paraId="6603997A" w14:textId="77777777" w:rsidR="008C707F" w:rsidRPr="003A2596" w:rsidRDefault="008C707F" w:rsidP="00D72BBC">
            <w:pPr>
              <w:jc w:val="right"/>
              <w:rPr>
                <w:rFonts w:cs="Arial"/>
                <w:b/>
                <w:bCs/>
                <w:sz w:val="14"/>
                <w:szCs w:val="14"/>
              </w:rPr>
            </w:pPr>
            <w:r w:rsidRPr="003A2596">
              <w:rPr>
                <w:rFonts w:cs="Arial"/>
                <w:b/>
                <w:bCs/>
                <w:sz w:val="14"/>
                <w:szCs w:val="14"/>
              </w:rPr>
              <w:t>6,042,788</w:t>
            </w:r>
          </w:p>
        </w:tc>
      </w:tr>
    </w:tbl>
    <w:p w14:paraId="01B13276" w14:textId="77777777" w:rsidR="008C707F" w:rsidRPr="00016D9A" w:rsidRDefault="008C707F" w:rsidP="007D6C7C">
      <w:pPr>
        <w:pStyle w:val="03-SubttulodeNota"/>
        <w:keepNext/>
        <w:spacing w:line="276" w:lineRule="auto"/>
        <w:rPr>
          <w:sz w:val="10"/>
          <w:szCs w:val="10"/>
          <w:highlight w:val="yellow"/>
        </w:rPr>
      </w:pPr>
    </w:p>
    <w:p w14:paraId="05E97BB6" w14:textId="77777777" w:rsidR="008C707F" w:rsidRPr="003351A3" w:rsidRDefault="008C707F" w:rsidP="007D6C7C">
      <w:pPr>
        <w:pStyle w:val="03-SubttulodeNota"/>
        <w:keepNext/>
        <w:spacing w:line="276" w:lineRule="auto"/>
        <w:rPr>
          <w:color w:val="1F4E79" w:themeColor="accent1" w:themeShade="80"/>
          <w:lang w:val="en-US"/>
        </w:rPr>
      </w:pPr>
      <w:r w:rsidRPr="003351A3">
        <w:rPr>
          <w:color w:val="1F4E79" w:themeColor="accent1" w:themeShade="80"/>
          <w:lang w:val="en-US"/>
        </w:rPr>
        <w:t>Changes in the i</w:t>
      </w:r>
      <w:r>
        <w:rPr>
          <w:color w:val="1F4E79" w:themeColor="accent1" w:themeShade="80"/>
          <w:lang w:val="en-US"/>
        </w:rPr>
        <w:t>n</w:t>
      </w:r>
      <w:r w:rsidRPr="003351A3">
        <w:rPr>
          <w:color w:val="1F4E79" w:themeColor="accent1" w:themeShade="80"/>
          <w:lang w:val="en-US"/>
        </w:rPr>
        <w:t>vestment in Brasilcap</w:t>
      </w:r>
    </w:p>
    <w:p w14:paraId="693BBA5A" w14:textId="77777777" w:rsidR="008C707F" w:rsidRPr="003351A3" w:rsidRDefault="008C707F" w:rsidP="007D6C7C">
      <w:pPr>
        <w:jc w:val="both"/>
        <w:rPr>
          <w:lang w:val="en-US"/>
        </w:rPr>
      </w:pPr>
      <w:r w:rsidRPr="003351A3">
        <w:rPr>
          <w:lang w:val="en-US"/>
        </w:rPr>
        <w:t xml:space="preserve">In November 2022, the </w:t>
      </w:r>
      <w:r>
        <w:rPr>
          <w:lang w:val="en-US"/>
        </w:rPr>
        <w:t>equity</w:t>
      </w:r>
      <w:r w:rsidRPr="003351A3">
        <w:rPr>
          <w:lang w:val="en-US"/>
        </w:rPr>
        <w:t xml:space="preserve"> stake of BB Seguros in Brasilcap was increased from 66.67% to 66.77%,</w:t>
      </w:r>
      <w:r>
        <w:rPr>
          <w:lang w:val="en-US"/>
        </w:rPr>
        <w:t xml:space="preserve"> through the exercising of a call option of 430,635 preferred shares owned by the partners Companhia de Seguros Aliança da Bahia (“Aliança da Bahia”)</w:t>
      </w:r>
      <w:r w:rsidRPr="003351A3">
        <w:rPr>
          <w:lang w:val="en-US"/>
        </w:rPr>
        <w:t xml:space="preserve"> </w:t>
      </w:r>
      <w:r>
        <w:rPr>
          <w:lang w:val="en-US"/>
        </w:rPr>
        <w:t>and Icatu Seguros S.A. (“Icatu”), as provided in the Shareholding Subscription Commitment Agreement signed on 12/22/2021.</w:t>
      </w:r>
    </w:p>
    <w:p w14:paraId="3368F93C" w14:textId="77777777" w:rsidR="008C707F" w:rsidRPr="003A2596" w:rsidRDefault="008C707F" w:rsidP="007D6C7C">
      <w:pPr>
        <w:pStyle w:val="01-Textonormal"/>
        <w:rPr>
          <w:lang w:val="en-US"/>
        </w:rPr>
      </w:pPr>
    </w:p>
    <w:p w14:paraId="5D2E4897" w14:textId="77777777" w:rsidR="008C707F" w:rsidRPr="00ED5344" w:rsidRDefault="008C707F" w:rsidP="007D6C7C">
      <w:pPr>
        <w:pStyle w:val="03-SubttulodeNota"/>
        <w:keepNext/>
        <w:spacing w:line="276" w:lineRule="auto"/>
        <w:rPr>
          <w:color w:val="1F4E79" w:themeColor="accent1" w:themeShade="80"/>
          <w:lang w:val="en-US"/>
        </w:rPr>
      </w:pPr>
      <w:r w:rsidRPr="00ED5344">
        <w:rPr>
          <w:color w:val="1F4E79" w:themeColor="accent1" w:themeShade="80"/>
          <w:lang w:val="en-US"/>
        </w:rPr>
        <w:t xml:space="preserve">Equity Income – Financial </w:t>
      </w:r>
      <w:r>
        <w:rPr>
          <w:color w:val="1F4E79" w:themeColor="accent1" w:themeShade="80"/>
          <w:lang w:val="en-US"/>
        </w:rPr>
        <w:t>P</w:t>
      </w:r>
      <w:r w:rsidRPr="00ED5344">
        <w:rPr>
          <w:color w:val="1F4E79" w:themeColor="accent1" w:themeShade="80"/>
          <w:lang w:val="en-US"/>
        </w:rPr>
        <w:t>erformance of</w:t>
      </w:r>
      <w:r>
        <w:rPr>
          <w:color w:val="1F4E79" w:themeColor="accent1" w:themeShade="80"/>
          <w:lang w:val="en-US"/>
        </w:rPr>
        <w:t xml:space="preserve"> the Investees</w:t>
      </w:r>
    </w:p>
    <w:p w14:paraId="53A3A1DF" w14:textId="77777777" w:rsidR="008C707F" w:rsidRDefault="008C707F" w:rsidP="007D6C7C">
      <w:pPr>
        <w:pStyle w:val="03-SubttulodeNota"/>
        <w:keepNext/>
        <w:spacing w:line="276" w:lineRule="auto"/>
        <w:rPr>
          <w:rFonts w:eastAsiaTheme="minorHAnsi" w:cstheme="minorBidi"/>
          <w:b w:val="0"/>
          <w:spacing w:val="0"/>
          <w:sz w:val="18"/>
          <w:szCs w:val="22"/>
          <w:lang w:val="en-US" w:eastAsia="en-US"/>
        </w:rPr>
      </w:pPr>
      <w:r w:rsidRPr="00ED5344">
        <w:rPr>
          <w:rFonts w:eastAsiaTheme="minorHAnsi" w:cstheme="minorBidi"/>
          <w:b w:val="0"/>
          <w:spacing w:val="0"/>
          <w:sz w:val="18"/>
          <w:szCs w:val="22"/>
          <w:lang w:val="en-US" w:eastAsia="en-US"/>
        </w:rPr>
        <w:t>Find bellow a</w:t>
      </w:r>
      <w:r>
        <w:rPr>
          <w:rFonts w:eastAsiaTheme="minorHAnsi" w:cstheme="minorBidi"/>
          <w:b w:val="0"/>
          <w:spacing w:val="0"/>
          <w:sz w:val="18"/>
          <w:szCs w:val="22"/>
          <w:lang w:val="en-US" w:eastAsia="en-US"/>
        </w:rPr>
        <w:t xml:space="preserve"> </w:t>
      </w:r>
      <w:r w:rsidRPr="00ED5344">
        <w:rPr>
          <w:rFonts w:eastAsiaTheme="minorHAnsi" w:cstheme="minorBidi"/>
          <w:b w:val="0"/>
          <w:spacing w:val="0"/>
          <w:sz w:val="18"/>
          <w:szCs w:val="22"/>
          <w:lang w:val="en-US" w:eastAsia="en-US"/>
        </w:rPr>
        <w:t>s</w:t>
      </w:r>
      <w:r>
        <w:rPr>
          <w:rFonts w:eastAsiaTheme="minorHAnsi" w:cstheme="minorBidi"/>
          <w:b w:val="0"/>
          <w:spacing w:val="0"/>
          <w:sz w:val="18"/>
          <w:szCs w:val="22"/>
          <w:lang w:val="en-US" w:eastAsia="en-US"/>
        </w:rPr>
        <w:t xml:space="preserve">ummary of our investee’s financial performance in 2022. More information are available in the management discussion and analysis report, which can be accessed in the website </w:t>
      </w:r>
      <w:r w:rsidRPr="00ED5344">
        <w:rPr>
          <w:rFonts w:eastAsiaTheme="minorHAnsi" w:cstheme="minorBidi"/>
          <w:b w:val="0"/>
          <w:spacing w:val="0"/>
          <w:sz w:val="18"/>
          <w:szCs w:val="22"/>
          <w:lang w:val="en-US" w:eastAsia="en-US"/>
        </w:rPr>
        <w:t>https://www.bbseguridaderi.com.br/en/market-information/results-center/</w:t>
      </w:r>
      <w:r>
        <w:rPr>
          <w:rFonts w:eastAsiaTheme="minorHAnsi" w:cstheme="minorBidi"/>
          <w:b w:val="0"/>
          <w:spacing w:val="0"/>
          <w:sz w:val="18"/>
          <w:szCs w:val="22"/>
          <w:lang w:val="en-US" w:eastAsia="en-US"/>
        </w:rPr>
        <w:t xml:space="preserve"> .</w:t>
      </w:r>
    </w:p>
    <w:p w14:paraId="4785B9C2" w14:textId="77777777" w:rsidR="008C707F" w:rsidRPr="00ED5344" w:rsidRDefault="008C707F" w:rsidP="00ED5344">
      <w:pPr>
        <w:pStyle w:val="01-Textonormal"/>
        <w:rPr>
          <w:rFonts w:eastAsiaTheme="minorHAnsi"/>
          <w:lang w:val="en-US" w:eastAsia="en-US"/>
        </w:rPr>
      </w:pPr>
    </w:p>
    <w:p w14:paraId="703427D5" w14:textId="77777777" w:rsidR="008C707F" w:rsidRPr="00ED5344" w:rsidRDefault="008C707F" w:rsidP="007D6C7C">
      <w:pPr>
        <w:pStyle w:val="03-SubttulodeNota"/>
        <w:spacing w:line="276" w:lineRule="auto"/>
        <w:rPr>
          <w:color w:val="1F4E79" w:themeColor="accent1" w:themeShade="80"/>
          <w:lang w:val="en-US"/>
        </w:rPr>
      </w:pPr>
      <w:r w:rsidRPr="00ED5344">
        <w:rPr>
          <w:color w:val="1F4E79" w:themeColor="accent1" w:themeShade="80"/>
          <w:lang w:val="en-US"/>
        </w:rPr>
        <w:t>BB MAPFRE (Brasilseg)</w:t>
      </w:r>
    </w:p>
    <w:p w14:paraId="1BE906D9" w14:textId="77777777" w:rsidR="008C707F" w:rsidRDefault="008C707F" w:rsidP="007D6C7C">
      <w:pPr>
        <w:jc w:val="both"/>
        <w:rPr>
          <w:rFonts w:eastAsia="Times New Roman" w:cs="Arial"/>
          <w:spacing w:val="-2"/>
          <w:szCs w:val="18"/>
          <w:lang w:val="en-US" w:eastAsia="pt-BR"/>
        </w:rPr>
      </w:pPr>
      <w:r w:rsidRPr="00ED5344">
        <w:rPr>
          <w:rFonts w:eastAsia="Times New Roman" w:cs="Arial"/>
          <w:spacing w:val="-2"/>
          <w:szCs w:val="18"/>
          <w:lang w:val="en-US" w:eastAsia="pt-BR"/>
        </w:rPr>
        <w:t>In 2022, t</w:t>
      </w:r>
      <w:r>
        <w:rPr>
          <w:rFonts w:eastAsia="Times New Roman" w:cs="Arial"/>
          <w:spacing w:val="-2"/>
          <w:szCs w:val="18"/>
          <w:lang w:val="en-US" w:eastAsia="pt-BR"/>
        </w:rPr>
        <w:t xml:space="preserve">he net income of the insurance operation grew 93.7% YoY, propelled by the increase in the retained earned premiums (+20.8%) and by the lower loss ratio (-8.3%), a movement led by the reduction of claims related to Covid-19, which more than offset the all-time high volume of claims reported in the 1Q22 for the crop insurance, explained by the climate events that affected the productivity of the Summer Crop 2021/2022. </w:t>
      </w:r>
      <w:r w:rsidRPr="00334240">
        <w:rPr>
          <w:rFonts w:eastAsia="Times New Roman" w:cs="Arial"/>
          <w:spacing w:val="-2"/>
          <w:szCs w:val="18"/>
          <w:lang w:val="en-US" w:eastAsia="pt-BR"/>
        </w:rPr>
        <w:t xml:space="preserve">The financial result increased 189.5% YoY, </w:t>
      </w:r>
      <w:r>
        <w:rPr>
          <w:rFonts w:eastAsia="Times New Roman" w:cs="Arial"/>
          <w:spacing w:val="-2"/>
          <w:szCs w:val="18"/>
          <w:lang w:val="en-US" w:eastAsia="pt-BR"/>
        </w:rPr>
        <w:t>with</w:t>
      </w:r>
      <w:r w:rsidRPr="00334240">
        <w:rPr>
          <w:rFonts w:eastAsia="Times New Roman" w:cs="Arial"/>
          <w:spacing w:val="-2"/>
          <w:szCs w:val="18"/>
          <w:lang w:val="en-US" w:eastAsia="pt-BR"/>
        </w:rPr>
        <w:t xml:space="preserve"> the higher Selic rate and the ex</w:t>
      </w:r>
      <w:r>
        <w:rPr>
          <w:rFonts w:eastAsia="Times New Roman" w:cs="Arial"/>
          <w:spacing w:val="-2"/>
          <w:szCs w:val="18"/>
          <w:lang w:val="en-US" w:eastAsia="pt-BR"/>
        </w:rPr>
        <w:t>pansion in average balance of financial investments.</w:t>
      </w:r>
    </w:p>
    <w:p w14:paraId="55B87F08" w14:textId="77777777" w:rsidR="008C707F" w:rsidRPr="00334240" w:rsidRDefault="008C707F" w:rsidP="007D6C7C">
      <w:pPr>
        <w:jc w:val="both"/>
        <w:rPr>
          <w:rFonts w:eastAsia="Times New Roman" w:cs="Arial"/>
          <w:spacing w:val="-2"/>
          <w:szCs w:val="18"/>
          <w:lang w:val="en-US" w:eastAsia="pt-BR"/>
        </w:rPr>
      </w:pPr>
      <w:r>
        <w:rPr>
          <w:rFonts w:eastAsia="Times New Roman" w:cs="Arial"/>
          <w:spacing w:val="-2"/>
          <w:szCs w:val="18"/>
          <w:lang w:val="en-US" w:eastAsia="pt-BR"/>
        </w:rPr>
        <w:t>The premiums written were up 30.7% in 2022, with an impressive commercial performance in all the segments: rural (51.8%), credit life (+26.3%), term life (+4.5%), home (+18.3%), business lines (+33.1%) and mortgage life (+3.4%).</w:t>
      </w:r>
    </w:p>
    <w:p w14:paraId="21EE4BB2" w14:textId="77777777" w:rsidR="008C707F" w:rsidRPr="003A2596" w:rsidRDefault="008C707F" w:rsidP="007D6C7C">
      <w:pPr>
        <w:autoSpaceDE w:val="0"/>
        <w:autoSpaceDN w:val="0"/>
        <w:adjustRightInd w:val="0"/>
        <w:spacing w:before="120" w:after="120"/>
        <w:jc w:val="both"/>
        <w:rPr>
          <w:rFonts w:eastAsia="Times New Roman" w:cs="Arial"/>
          <w:spacing w:val="-2"/>
          <w:szCs w:val="18"/>
          <w:lang w:val="en-US" w:eastAsia="pt-BR"/>
        </w:rPr>
      </w:pPr>
    </w:p>
    <w:p w14:paraId="4DDAB3D2" w14:textId="77777777" w:rsidR="008C707F" w:rsidRPr="00334240" w:rsidRDefault="008C707F" w:rsidP="007D6C7C">
      <w:pPr>
        <w:pStyle w:val="03-SubttulodeNota"/>
        <w:spacing w:line="276" w:lineRule="auto"/>
        <w:rPr>
          <w:color w:val="1F4E79" w:themeColor="accent1" w:themeShade="80"/>
          <w:lang w:val="en-US"/>
        </w:rPr>
      </w:pPr>
      <w:r w:rsidRPr="00334240">
        <w:rPr>
          <w:color w:val="1F4E79" w:themeColor="accent1" w:themeShade="80"/>
          <w:lang w:val="en-US"/>
        </w:rPr>
        <w:t>Brasilprev</w:t>
      </w:r>
    </w:p>
    <w:p w14:paraId="5A31560E" w14:textId="77777777" w:rsidR="008C707F" w:rsidRDefault="008C707F" w:rsidP="007D6C7C">
      <w:pPr>
        <w:jc w:val="both"/>
        <w:rPr>
          <w:rFonts w:eastAsia="Times New Roman" w:cs="Arial"/>
          <w:spacing w:val="-2"/>
          <w:szCs w:val="18"/>
          <w:lang w:val="en-US" w:eastAsia="pt-BR"/>
        </w:rPr>
      </w:pPr>
      <w:r w:rsidRPr="00334240">
        <w:rPr>
          <w:rFonts w:eastAsia="Times New Roman" w:cs="Arial"/>
          <w:spacing w:val="-2"/>
          <w:szCs w:val="18"/>
          <w:lang w:val="en-US" w:eastAsia="pt-BR"/>
        </w:rPr>
        <w:t>The net income of</w:t>
      </w:r>
      <w:r>
        <w:rPr>
          <w:rFonts w:eastAsia="Times New Roman" w:cs="Arial"/>
          <w:spacing w:val="-2"/>
          <w:szCs w:val="18"/>
          <w:lang w:val="en-US" w:eastAsia="pt-BR"/>
        </w:rPr>
        <w:t xml:space="preserve"> pension plan segment was up 47.6%, with an improvement of financial result, which shifted from a net loss of R$333.9 million in 2021 to a positive balance of R$329.6 million in 2022. </w:t>
      </w:r>
      <w:r w:rsidRPr="00334240">
        <w:rPr>
          <w:rFonts w:eastAsia="Times New Roman" w:cs="Arial"/>
          <w:spacing w:val="-2"/>
          <w:szCs w:val="18"/>
          <w:lang w:val="en-US" w:eastAsia="pt-BR"/>
        </w:rPr>
        <w:t>The movement was drive</w:t>
      </w:r>
      <w:r>
        <w:rPr>
          <w:rFonts w:eastAsia="Times New Roman" w:cs="Arial"/>
          <w:spacing w:val="-2"/>
          <w:szCs w:val="18"/>
          <w:lang w:val="en-US" w:eastAsia="pt-BR"/>
        </w:rPr>
        <w:t>n</w:t>
      </w:r>
      <w:r w:rsidRPr="00334240">
        <w:rPr>
          <w:rFonts w:eastAsia="Times New Roman" w:cs="Arial"/>
          <w:spacing w:val="-2"/>
          <w:szCs w:val="18"/>
          <w:lang w:val="en-US" w:eastAsia="pt-BR"/>
        </w:rPr>
        <w:t xml:space="preserve"> by the expansion of average b</w:t>
      </w:r>
      <w:r>
        <w:rPr>
          <w:rFonts w:eastAsia="Times New Roman" w:cs="Arial"/>
          <w:spacing w:val="-2"/>
          <w:szCs w:val="18"/>
          <w:lang w:val="en-US" w:eastAsia="pt-BR"/>
        </w:rPr>
        <w:t>alance of earning assets; the lower extent of the upward shifting in forward yield curve, reducing the negative impact of MtM in 2022; and the more favorable dynamics in the inflation rates pegged to the assets (IPCA and IGP-M of the current month) and liabilities (IGP-M with one month lag) of traditional plans, due to a better balance between IPCA and IGP-M.</w:t>
      </w:r>
    </w:p>
    <w:p w14:paraId="31BF3DF7" w14:textId="77777777" w:rsidR="008C707F" w:rsidRPr="00334240" w:rsidRDefault="008C707F" w:rsidP="007D6C7C">
      <w:pPr>
        <w:jc w:val="both"/>
        <w:rPr>
          <w:rFonts w:eastAsia="Times New Roman" w:cs="Arial"/>
          <w:spacing w:val="-2"/>
          <w:szCs w:val="18"/>
          <w:lang w:val="en-US" w:eastAsia="pt-BR"/>
        </w:rPr>
      </w:pPr>
      <w:r>
        <w:rPr>
          <w:rFonts w:eastAsia="Times New Roman" w:cs="Arial"/>
          <w:spacing w:val="-2"/>
          <w:szCs w:val="18"/>
          <w:lang w:val="en-US" w:eastAsia="pt-BR"/>
        </w:rPr>
        <w:t>The net inflow of the year totaled R$1.7 billion, against net outflow of R$783 million in 2021, boosted by the increase of contributions (+15.7%). The revenue with management fee grew 3.1%, explained by the increase of reserves, partially offset by the reduction of 0.03 p.p. in the average management fee. The lower average fee is justified by the smaller participation of multimarket funds in the total AuM, accounting for 27.3% by December 2022 (-4.5 p.p. YoY), considering a risk aversion of the clients, who are directing their investment to more conservative products.</w:t>
      </w:r>
    </w:p>
    <w:p w14:paraId="10B8EF45" w14:textId="77777777" w:rsidR="008C707F" w:rsidRPr="009E3FE0" w:rsidRDefault="008C707F" w:rsidP="007D6C7C">
      <w:pPr>
        <w:pStyle w:val="03-SubttulodeNota"/>
        <w:spacing w:line="276" w:lineRule="auto"/>
        <w:rPr>
          <w:color w:val="1F4E79" w:themeColor="accent1" w:themeShade="80"/>
          <w:lang w:val="en-US"/>
        </w:rPr>
      </w:pPr>
    </w:p>
    <w:p w14:paraId="468FA9A8" w14:textId="77777777" w:rsidR="008C707F" w:rsidRDefault="008C707F" w:rsidP="007D6C7C">
      <w:pPr>
        <w:pStyle w:val="03-SubttulodeNota"/>
        <w:spacing w:line="276" w:lineRule="auto"/>
        <w:rPr>
          <w:color w:val="1F4E79" w:themeColor="accent1" w:themeShade="80"/>
          <w:lang w:val="en-US"/>
        </w:rPr>
      </w:pPr>
    </w:p>
    <w:p w14:paraId="2953A89E" w14:textId="77777777" w:rsidR="008C707F" w:rsidRDefault="008C707F" w:rsidP="007D6C7C">
      <w:pPr>
        <w:pStyle w:val="03-SubttulodeNota"/>
        <w:spacing w:line="276" w:lineRule="auto"/>
        <w:rPr>
          <w:color w:val="1F4E79" w:themeColor="accent1" w:themeShade="80"/>
          <w:lang w:val="en-US"/>
        </w:rPr>
      </w:pPr>
    </w:p>
    <w:p w14:paraId="21BFE8EF" w14:textId="106C6461" w:rsidR="008C707F" w:rsidRPr="003A2596" w:rsidRDefault="008C707F" w:rsidP="007D6C7C">
      <w:pPr>
        <w:pStyle w:val="03-SubttulodeNota"/>
        <w:spacing w:line="276" w:lineRule="auto"/>
        <w:rPr>
          <w:color w:val="1F4E79" w:themeColor="accent1" w:themeShade="80"/>
          <w:lang w:val="en-US"/>
        </w:rPr>
      </w:pPr>
      <w:r w:rsidRPr="003A2596">
        <w:rPr>
          <w:color w:val="1F4E79" w:themeColor="accent1" w:themeShade="80"/>
          <w:lang w:val="en-US"/>
        </w:rPr>
        <w:lastRenderedPageBreak/>
        <w:t>Brasilcap</w:t>
      </w:r>
    </w:p>
    <w:p w14:paraId="5A57DB82" w14:textId="77777777" w:rsidR="008C707F" w:rsidRPr="009E3FE0" w:rsidRDefault="008C707F" w:rsidP="007D6C7C">
      <w:pPr>
        <w:pStyle w:val="05-Textonormal"/>
        <w:rPr>
          <w:rFonts w:cs="Arial"/>
          <w:lang w:val="en-US"/>
        </w:rPr>
      </w:pPr>
      <w:r w:rsidRPr="003A2596">
        <w:rPr>
          <w:rFonts w:cs="Arial"/>
          <w:lang w:val="en-US"/>
        </w:rPr>
        <w:t xml:space="preserve">In 2022, the net income of premium bonds operation totaled R$217.8 million, while in 2021 it reached R$3.5 million. </w:t>
      </w:r>
      <w:r w:rsidRPr="009E3FE0">
        <w:rPr>
          <w:rFonts w:cs="Arial"/>
          <w:lang w:val="en-US"/>
        </w:rPr>
        <w:t>The performance was led by the improvement of financial results, which finished the year amounting R$328.0 million, while in 2021 it was R$37.8 mil</w:t>
      </w:r>
      <w:r>
        <w:rPr>
          <w:rFonts w:cs="Arial"/>
          <w:lang w:val="en-US"/>
        </w:rPr>
        <w:t>lion</w:t>
      </w:r>
      <w:r w:rsidRPr="009E3FE0">
        <w:rPr>
          <w:rFonts w:cs="Arial"/>
          <w:lang w:val="en-US"/>
        </w:rPr>
        <w:t xml:space="preserve"> negative.</w:t>
      </w:r>
      <w:r>
        <w:rPr>
          <w:rFonts w:cs="Arial"/>
          <w:lang w:val="en-US"/>
        </w:rPr>
        <w:t xml:space="preserve"> </w:t>
      </w:r>
      <w:r w:rsidRPr="009E3FE0">
        <w:rPr>
          <w:rFonts w:cs="Arial"/>
          <w:lang w:val="en-US"/>
        </w:rPr>
        <w:t>The movement is explained by the expansion of the average balance of</w:t>
      </w:r>
      <w:r>
        <w:rPr>
          <w:rFonts w:cs="Arial"/>
          <w:lang w:val="en-US"/>
        </w:rPr>
        <w:t xml:space="preserve"> earning assets and the higher Selic rate.</w:t>
      </w:r>
    </w:p>
    <w:p w14:paraId="778CFD63" w14:textId="77777777" w:rsidR="008C707F" w:rsidRPr="009E3FE0" w:rsidRDefault="008C707F" w:rsidP="007D6C7C">
      <w:pPr>
        <w:pStyle w:val="05-Textonormal"/>
        <w:rPr>
          <w:rFonts w:cs="Arial"/>
          <w:lang w:val="en-US"/>
        </w:rPr>
      </w:pPr>
      <w:r w:rsidRPr="009E3FE0">
        <w:rPr>
          <w:rFonts w:cs="Arial"/>
          <w:lang w:val="en-US"/>
        </w:rPr>
        <w:t>The premium bonds collection was up 38.0% YoY, due to the higher average ticket of unique payment bonds and</w:t>
      </w:r>
      <w:r>
        <w:rPr>
          <w:rFonts w:cs="Arial"/>
          <w:lang w:val="en-US"/>
        </w:rPr>
        <w:t xml:space="preserve"> the expansion of 37.5% in sales volume of monthly payment products</w:t>
      </w:r>
      <w:r w:rsidRPr="009E3FE0">
        <w:rPr>
          <w:rFonts w:cs="Arial"/>
          <w:lang w:val="en-US"/>
        </w:rPr>
        <w:t>.</w:t>
      </w:r>
    </w:p>
    <w:p w14:paraId="76E1C622" w14:textId="77777777" w:rsidR="008C707F" w:rsidRPr="009E3FE0" w:rsidRDefault="008C707F" w:rsidP="007D6C7C">
      <w:pPr>
        <w:pStyle w:val="05-Textonormal"/>
        <w:rPr>
          <w:rFonts w:cs="Arial"/>
          <w:lang w:val="en-US"/>
        </w:rPr>
      </w:pPr>
      <w:r w:rsidRPr="009E3FE0">
        <w:rPr>
          <w:rFonts w:cs="Arial"/>
          <w:lang w:val="en-US"/>
        </w:rPr>
        <w:t>Revenue with load fee grew at a slower pace compared to collection variation (</w:t>
      </w:r>
      <w:r>
        <w:rPr>
          <w:rFonts w:cs="Arial"/>
          <w:lang w:val="en-US"/>
        </w:rPr>
        <w:t>+</w:t>
      </w:r>
      <w:r w:rsidRPr="009E3FE0">
        <w:rPr>
          <w:rFonts w:cs="Arial"/>
          <w:lang w:val="en-US"/>
        </w:rPr>
        <w:t>23.4%), justified by the average load fee down 1.2 p.p. The drop is explained by the higher participation of short-term unique payment bonds (12 and 24 months) in the</w:t>
      </w:r>
      <w:r>
        <w:rPr>
          <w:rFonts w:cs="Arial"/>
          <w:lang w:val="en-US"/>
        </w:rPr>
        <w:t xml:space="preserve"> mix, which presents lower load fee compared to 36-month term bonds that accounted for a bigger portion in 2021.</w:t>
      </w:r>
    </w:p>
    <w:p w14:paraId="4E7AFA44" w14:textId="77777777" w:rsidR="008C707F" w:rsidRPr="009E3FE0" w:rsidRDefault="008C707F" w:rsidP="007D6C7C">
      <w:pPr>
        <w:pStyle w:val="05-Textonormal"/>
        <w:rPr>
          <w:rFonts w:cs="Arial"/>
          <w:color w:val="FF0000"/>
          <w:highlight w:val="yellow"/>
          <w:lang w:val="en-US"/>
        </w:rPr>
      </w:pPr>
    </w:p>
    <w:p w14:paraId="5EDFDC8A" w14:textId="77777777" w:rsidR="008C707F" w:rsidRPr="003A2596" w:rsidRDefault="008C707F" w:rsidP="007D6C7C">
      <w:pPr>
        <w:pStyle w:val="03-SubttulodeNota"/>
        <w:spacing w:line="276" w:lineRule="auto"/>
        <w:rPr>
          <w:color w:val="1F4E79" w:themeColor="accent1" w:themeShade="80"/>
          <w:lang w:val="en-US"/>
        </w:rPr>
      </w:pPr>
      <w:r w:rsidRPr="003A2596">
        <w:rPr>
          <w:color w:val="1F4E79" w:themeColor="accent1" w:themeShade="80"/>
          <w:lang w:val="en-US"/>
        </w:rPr>
        <w:t>Brasildental</w:t>
      </w:r>
    </w:p>
    <w:p w14:paraId="4D1C922B" w14:textId="77777777" w:rsidR="008C707F" w:rsidRPr="002360E8" w:rsidRDefault="008C707F" w:rsidP="007D6C7C">
      <w:pPr>
        <w:pStyle w:val="05-Textonormal"/>
        <w:rPr>
          <w:rFonts w:cs="Arial"/>
          <w:lang w:val="en-US"/>
        </w:rPr>
      </w:pPr>
      <w:r w:rsidRPr="002360E8">
        <w:rPr>
          <w:rFonts w:cs="Arial"/>
          <w:lang w:val="en-US"/>
        </w:rPr>
        <w:t>In the dental care segment, operated by Brasildental, the net income grew 22.4% in 2022, improving both the financial and operating results.</w:t>
      </w:r>
      <w:r>
        <w:rPr>
          <w:rFonts w:cs="Arial"/>
          <w:lang w:val="en-US"/>
        </w:rPr>
        <w:t xml:space="preserve"> </w:t>
      </w:r>
      <w:r w:rsidRPr="002360E8">
        <w:rPr>
          <w:rFonts w:cs="Arial"/>
          <w:lang w:val="en-US"/>
        </w:rPr>
        <w:t>The EBITDA margin achieved 32.1% in the year, up 1.2 p. YoY due to the drop in</w:t>
      </w:r>
      <w:r>
        <w:rPr>
          <w:rFonts w:cs="Arial"/>
          <w:lang w:val="en-US"/>
        </w:rPr>
        <w:t xml:space="preserve"> all performance ratios: G&amp;A ratio</w:t>
      </w:r>
      <w:r w:rsidRPr="002360E8">
        <w:rPr>
          <w:rFonts w:cs="Arial"/>
          <w:lang w:val="en-US"/>
        </w:rPr>
        <w:t xml:space="preserve"> (-0</w:t>
      </w:r>
      <w:r>
        <w:rPr>
          <w:rFonts w:cs="Arial"/>
          <w:lang w:val="en-US"/>
        </w:rPr>
        <w:t>.</w:t>
      </w:r>
      <w:r w:rsidRPr="002360E8">
        <w:rPr>
          <w:rFonts w:cs="Arial"/>
          <w:lang w:val="en-US"/>
        </w:rPr>
        <w:t>7 p.p.)</w:t>
      </w:r>
      <w:r>
        <w:rPr>
          <w:rFonts w:cs="Arial"/>
          <w:lang w:val="en-US"/>
        </w:rPr>
        <w:t xml:space="preserve">; commission ratio </w:t>
      </w:r>
      <w:r w:rsidRPr="002360E8">
        <w:rPr>
          <w:rFonts w:cs="Arial"/>
          <w:lang w:val="en-US"/>
        </w:rPr>
        <w:t>(-0</w:t>
      </w:r>
      <w:r>
        <w:rPr>
          <w:rFonts w:cs="Arial"/>
          <w:lang w:val="en-US"/>
        </w:rPr>
        <w:t>.</w:t>
      </w:r>
      <w:r w:rsidRPr="002360E8">
        <w:rPr>
          <w:rFonts w:cs="Arial"/>
          <w:lang w:val="en-US"/>
        </w:rPr>
        <w:t>3 p.p.)</w:t>
      </w:r>
      <w:r>
        <w:rPr>
          <w:rFonts w:cs="Arial"/>
          <w:lang w:val="en-US"/>
        </w:rPr>
        <w:t xml:space="preserve">; and loss ratio </w:t>
      </w:r>
      <w:r w:rsidRPr="002360E8">
        <w:rPr>
          <w:rFonts w:cs="Arial"/>
          <w:lang w:val="en-US"/>
        </w:rPr>
        <w:t>(-0</w:t>
      </w:r>
      <w:r>
        <w:rPr>
          <w:rFonts w:cs="Arial"/>
          <w:lang w:val="en-US"/>
        </w:rPr>
        <w:t>.</w:t>
      </w:r>
      <w:r w:rsidRPr="002360E8">
        <w:rPr>
          <w:rFonts w:cs="Arial"/>
          <w:lang w:val="en-US"/>
        </w:rPr>
        <w:t>2 p.p.). In 2022, the gross operating revenues amounte</w:t>
      </w:r>
      <w:r>
        <w:rPr>
          <w:rFonts w:cs="Arial"/>
          <w:lang w:val="en-US"/>
        </w:rPr>
        <w:t>d to</w:t>
      </w:r>
      <w:r w:rsidRPr="002360E8">
        <w:rPr>
          <w:rFonts w:cs="Arial"/>
          <w:lang w:val="en-US"/>
        </w:rPr>
        <w:t xml:space="preserve"> R$123.0 million, up 2.9% on 2021, despite th</w:t>
      </w:r>
      <w:r>
        <w:rPr>
          <w:rFonts w:cs="Arial"/>
          <w:lang w:val="en-US"/>
        </w:rPr>
        <w:t>e lower number of clients (-</w:t>
      </w:r>
      <w:r w:rsidRPr="002360E8">
        <w:rPr>
          <w:rFonts w:cs="Arial"/>
          <w:lang w:val="en-US"/>
        </w:rPr>
        <w:t>7</w:t>
      </w:r>
      <w:r>
        <w:rPr>
          <w:rFonts w:cs="Arial"/>
          <w:lang w:val="en-US"/>
        </w:rPr>
        <w:t>.</w:t>
      </w:r>
      <w:r w:rsidRPr="002360E8">
        <w:rPr>
          <w:rFonts w:cs="Arial"/>
          <w:lang w:val="en-US"/>
        </w:rPr>
        <w:t>3%</w:t>
      </w:r>
      <w:r>
        <w:rPr>
          <w:rFonts w:cs="Arial"/>
          <w:lang w:val="en-US"/>
        </w:rPr>
        <w:t>)</w:t>
      </w:r>
      <w:r w:rsidRPr="002360E8">
        <w:rPr>
          <w:rFonts w:cs="Arial"/>
          <w:lang w:val="en-US"/>
        </w:rPr>
        <w:t xml:space="preserve">. </w:t>
      </w:r>
    </w:p>
    <w:p w14:paraId="5C205502" w14:textId="77777777" w:rsidR="008C707F" w:rsidRPr="002360E8" w:rsidRDefault="008C707F" w:rsidP="007D6C7C">
      <w:pPr>
        <w:pStyle w:val="05-Textonormal"/>
        <w:rPr>
          <w:rFonts w:cs="Arial"/>
          <w:highlight w:val="yellow"/>
          <w:lang w:val="en-US"/>
        </w:rPr>
      </w:pPr>
    </w:p>
    <w:p w14:paraId="5F6A2250" w14:textId="77777777" w:rsidR="008C707F" w:rsidRPr="003A2596" w:rsidRDefault="008C707F" w:rsidP="007D6C7C">
      <w:pPr>
        <w:pStyle w:val="03-SubttulodeNota"/>
        <w:spacing w:line="276" w:lineRule="auto"/>
        <w:rPr>
          <w:color w:val="1F4E79" w:themeColor="accent1" w:themeShade="80"/>
          <w:lang w:val="en-US"/>
        </w:rPr>
      </w:pPr>
      <w:r w:rsidRPr="003A2596">
        <w:rPr>
          <w:color w:val="1F4E79" w:themeColor="accent1" w:themeShade="80"/>
          <w:lang w:val="en-US"/>
        </w:rPr>
        <w:t>BB Corretora</w:t>
      </w:r>
    </w:p>
    <w:p w14:paraId="05B3492F" w14:textId="77777777" w:rsidR="008C707F" w:rsidRPr="002360E8" w:rsidRDefault="008C707F" w:rsidP="002360E8">
      <w:pPr>
        <w:pStyle w:val="01-Textonormal"/>
        <w:rPr>
          <w:lang w:val="en-US"/>
        </w:rPr>
      </w:pPr>
      <w:r w:rsidRPr="002360E8">
        <w:rPr>
          <w:lang w:val="en-US"/>
        </w:rPr>
        <w:t>In the year, the n</w:t>
      </w:r>
      <w:r>
        <w:rPr>
          <w:lang w:val="en-US"/>
        </w:rPr>
        <w:t>et income grew 26.2%, explained by the increase of net brokerage revenues and the growth of financial result (+222.0%), with the higher Selic rate and expansion of interest earnings assets balance.</w:t>
      </w:r>
    </w:p>
    <w:bookmarkEnd w:id="6"/>
    <w:p w14:paraId="4A0B35B0" w14:textId="77777777" w:rsidR="008C707F" w:rsidRDefault="008C707F" w:rsidP="00A976B5">
      <w:pPr>
        <w:pStyle w:val="05-Textonormal"/>
        <w:rPr>
          <w:lang w:val="en-US"/>
        </w:rPr>
      </w:pPr>
      <w:r w:rsidRPr="00A976B5">
        <w:rPr>
          <w:lang w:val="en-US"/>
        </w:rPr>
        <w:t>The net brokerage revenues were up 18.5% in 2022</w:t>
      </w:r>
      <w:r>
        <w:rPr>
          <w:lang w:val="en-US"/>
        </w:rPr>
        <w:t xml:space="preserve">. </w:t>
      </w:r>
      <w:r w:rsidRPr="00A976B5">
        <w:rPr>
          <w:lang w:val="en-US"/>
        </w:rPr>
        <w:t>The revenues arising from i</w:t>
      </w:r>
      <w:r>
        <w:rPr>
          <w:lang w:val="en-US"/>
        </w:rPr>
        <w:t xml:space="preserve">nsurance sales was the main driver of growth, showing good sales performance in all business lines, mainly rural and credit life. </w:t>
      </w:r>
      <w:r w:rsidRPr="00A976B5">
        <w:rPr>
          <w:lang w:val="en-US"/>
        </w:rPr>
        <w:t>The sales of premium bonds were the second more i</w:t>
      </w:r>
      <w:r>
        <w:rPr>
          <w:lang w:val="en-US"/>
        </w:rPr>
        <w:t xml:space="preserve">mportant growth driver, explained by the increase of collection, despite the lower average commission led by the higher concentration of the bancassurance inflow to short-term unique payment products (12 and 24 months), which presents a lower remuneration to BB Corretora as compared to longer-term products (36 and 48 months). </w:t>
      </w:r>
      <w:r w:rsidRPr="00A976B5">
        <w:rPr>
          <w:lang w:val="en-US"/>
        </w:rPr>
        <w:t>The pension plan segment also contributed to brokerage revenue growth</w:t>
      </w:r>
      <w:r>
        <w:rPr>
          <w:lang w:val="en-US"/>
        </w:rPr>
        <w:t>, but with lower percentage variation as compared to pension gross inflows. This movement is explained by the higher participation of sporadic contributions in the mix, which pays lower commissions when compared to the first contributions of periodic plans.</w:t>
      </w:r>
    </w:p>
    <w:p w14:paraId="2B1781D2" w14:textId="77777777" w:rsidR="008C707F" w:rsidRPr="00A976B5" w:rsidRDefault="008C707F" w:rsidP="00A976B5">
      <w:pPr>
        <w:pStyle w:val="05-Textonormal"/>
        <w:rPr>
          <w:lang w:val="en-US"/>
        </w:rPr>
      </w:pPr>
      <w:r>
        <w:rPr>
          <w:lang w:val="en-US"/>
        </w:rPr>
        <w:t>The other operating income and expenses grew 15.5%, mainly driven by higher tax expenses on financial revenues, expenses with sales promotion and personnel expenses. These variations were partially offset by lower volume of provisions for commission devolution, the improvement of equity income in Ciclic and the reduction of expenses with tax incentivized donations and sponsorships.</w:t>
      </w:r>
    </w:p>
    <w:p w14:paraId="3FDC29CF" w14:textId="77777777" w:rsidR="008C707F" w:rsidRPr="003A2596" w:rsidRDefault="008C707F" w:rsidP="0054268C">
      <w:pPr>
        <w:pStyle w:val="01-TtulodeNota"/>
        <w:rPr>
          <w:color w:val="1F4E79" w:themeColor="accent1" w:themeShade="80"/>
          <w:lang w:val="en-US"/>
        </w:rPr>
      </w:pPr>
    </w:p>
    <w:p w14:paraId="7C3CBFD7" w14:textId="77777777" w:rsidR="008C707F" w:rsidRPr="00776837" w:rsidRDefault="008C707F" w:rsidP="008C707F">
      <w:pPr>
        <w:pStyle w:val="01-TtulodeNota"/>
        <w:numPr>
          <w:ilvl w:val="0"/>
          <w:numId w:val="44"/>
        </w:numPr>
        <w:ind w:left="357" w:hanging="357"/>
        <w:rPr>
          <w:color w:val="1F4E79" w:themeColor="accent1" w:themeShade="80"/>
          <w:lang w:val="en-US"/>
        </w:rPr>
      </w:pPr>
      <w:r w:rsidRPr="00776837">
        <w:rPr>
          <w:color w:val="1F4E79" w:themeColor="accent1" w:themeShade="80"/>
          <w:lang w:val="en-US"/>
        </w:rPr>
        <w:t>SHARES PERFORMANCE AND MARKET RELATIONSHIP</w:t>
      </w:r>
    </w:p>
    <w:p w14:paraId="41988C8C" w14:textId="77777777" w:rsidR="008C707F" w:rsidRPr="00776837" w:rsidRDefault="008C707F" w:rsidP="00C81A16">
      <w:pPr>
        <w:pStyle w:val="05-Textonormal"/>
        <w:rPr>
          <w:rFonts w:cs="Arial"/>
          <w:lang w:val="en-US"/>
        </w:rPr>
      </w:pPr>
      <w:r w:rsidRPr="00776837">
        <w:rPr>
          <w:rFonts w:cs="Arial"/>
          <w:lang w:val="en-US"/>
        </w:rPr>
        <w:t>BB Seguridade's shares, traded on the B3 - Brasil, Bolsa, Balcão (“B3”) under the code BBSE3, ended the year quoted at R$33.71, the highest year closing price since the initial public offer, on a basis adjusted for the distributed dividends. Based on the year-end quotation, the market value of BB Seguridade reached R$67.4 billion, positioning the Company as the 14th largest company listed on the Brazilian stock exchange according to the market value criteri</w:t>
      </w:r>
      <w:r>
        <w:rPr>
          <w:rFonts w:cs="Arial"/>
          <w:lang w:val="en-US"/>
        </w:rPr>
        <w:t>a</w:t>
      </w:r>
      <w:r w:rsidRPr="00776837">
        <w:rPr>
          <w:rFonts w:cs="Arial"/>
          <w:lang w:val="en-US"/>
        </w:rPr>
        <w:t>, with an</w:t>
      </w:r>
      <w:r>
        <w:rPr>
          <w:rFonts w:cs="Arial"/>
          <w:lang w:val="en-US"/>
        </w:rPr>
        <w:t xml:space="preserve"> accumulated</w:t>
      </w:r>
      <w:r w:rsidRPr="00776837">
        <w:rPr>
          <w:rFonts w:cs="Arial"/>
          <w:lang w:val="en-US"/>
        </w:rPr>
        <w:t xml:space="preserve"> appreciation of 74.9% in the year, the 7th largest on the stock exchange and the 2nd largest among companies in the financial sector. In 2022, the average daily financial trading volume of the Company's shares was R$155.5 million.</w:t>
      </w:r>
    </w:p>
    <w:p w14:paraId="1454B100" w14:textId="77777777" w:rsidR="008C707F" w:rsidRPr="00776837" w:rsidRDefault="008C707F" w:rsidP="00C81A16">
      <w:pPr>
        <w:pStyle w:val="05-Textonormal"/>
        <w:rPr>
          <w:rFonts w:cs="Arial"/>
          <w:color w:val="FF0000"/>
          <w:lang w:val="en-US"/>
        </w:rPr>
      </w:pPr>
      <w:r w:rsidRPr="00776837">
        <w:rPr>
          <w:rFonts w:cs="Arial"/>
          <w:lang w:val="en-US"/>
        </w:rPr>
        <w:t>BB Seguridade's shares ended the</w:t>
      </w:r>
      <w:r>
        <w:rPr>
          <w:rFonts w:cs="Arial"/>
          <w:lang w:val="en-US"/>
        </w:rPr>
        <w:t xml:space="preserve"> </w:t>
      </w:r>
      <w:r w:rsidRPr="00776837">
        <w:rPr>
          <w:rFonts w:cs="Arial"/>
          <w:lang w:val="en-US"/>
        </w:rPr>
        <w:t xml:space="preserve">year integrating the theoretical portfolios of Ibovespa, IBrX 50, IBrX 100, IBrA, BM&amp;FBOVESPA Financial Index (IFNC), </w:t>
      </w:r>
      <w:r w:rsidRPr="00776837">
        <w:rPr>
          <w:rStyle w:val="nfase"/>
          <w:rFonts w:eastAsia="Calibri" w:cs="Arial"/>
          <w:bCs/>
          <w:lang w:val="en-US"/>
        </w:rPr>
        <w:t>Differentiated Corporate Governance Stock Index (IGC)</w:t>
      </w:r>
      <w:r w:rsidRPr="00776837">
        <w:rPr>
          <w:rFonts w:cs="Arial"/>
          <w:lang w:val="en-US"/>
        </w:rPr>
        <w:t>, Trade Corporate Governance Index (IGCT), Stock Index with Corporate Governance – Novo Mercado (IGC-NM), Differentiated Tag Along Stock Index (ITAG), BM&amp;FBovespa Dividends Index (IDIV), MidLarge Cap Index (MLCX), BM&amp;FBovespa Value Index (IVBX2), MSCI Brazil Index and FTSE4Good Index.</w:t>
      </w:r>
    </w:p>
    <w:p w14:paraId="1017142F" w14:textId="77777777" w:rsidR="008C707F" w:rsidRPr="00776837" w:rsidRDefault="008C707F" w:rsidP="00C81A16">
      <w:pPr>
        <w:pStyle w:val="05-Textonormal"/>
        <w:rPr>
          <w:rFonts w:cs="Arial"/>
          <w:lang w:val="en-US"/>
        </w:rPr>
      </w:pPr>
      <w:r w:rsidRPr="00776837">
        <w:rPr>
          <w:rFonts w:cs="Arial"/>
          <w:lang w:val="en-US"/>
        </w:rPr>
        <w:t xml:space="preserve">Since March 2014, BB Seguridade has maintained a Level I </w:t>
      </w:r>
      <w:r w:rsidRPr="00776837">
        <w:rPr>
          <w:rFonts w:cs="Arial"/>
          <w:i/>
          <w:lang w:val="en-US"/>
        </w:rPr>
        <w:t>American Depositary Receipts</w:t>
      </w:r>
      <w:r w:rsidRPr="00776837">
        <w:rPr>
          <w:rFonts w:cs="Arial"/>
          <w:lang w:val="en-US"/>
        </w:rPr>
        <w:t xml:space="preserve"> (“ADR”) Program. Currently, ADRs are issued by Citibank, backed by the Company's common shares (ON), at a ratio of 1 ADR: 1 ON, and traded on the North American </w:t>
      </w:r>
      <w:r w:rsidRPr="00776837">
        <w:rPr>
          <w:rFonts w:cs="Arial"/>
          <w:i/>
          <w:lang w:val="en-US"/>
        </w:rPr>
        <w:t xml:space="preserve">Over-The-Counter </w:t>
      </w:r>
      <w:r w:rsidRPr="00776837">
        <w:rPr>
          <w:rFonts w:cs="Arial"/>
          <w:lang w:val="en-US"/>
        </w:rPr>
        <w:t>marke</w:t>
      </w:r>
      <w:r>
        <w:rPr>
          <w:rFonts w:cs="Arial"/>
          <w:lang w:val="en-US"/>
        </w:rPr>
        <w:t xml:space="preserve">t. </w:t>
      </w:r>
      <w:r w:rsidRPr="00776837">
        <w:rPr>
          <w:rFonts w:cs="Arial"/>
          <w:lang w:val="en-US"/>
        </w:rPr>
        <w:t>At the end of the year, the program had more than 18.</w:t>
      </w:r>
      <w:r>
        <w:rPr>
          <w:rFonts w:cs="Arial"/>
          <w:lang w:val="en-US"/>
        </w:rPr>
        <w:t>2</w:t>
      </w:r>
      <w:r w:rsidRPr="00776837">
        <w:rPr>
          <w:rFonts w:cs="Arial"/>
          <w:lang w:val="en-US"/>
        </w:rPr>
        <w:t xml:space="preserve"> million ADRs issued, priced at US$</w:t>
      </w:r>
      <w:r>
        <w:rPr>
          <w:rFonts w:cs="Arial"/>
          <w:lang w:val="en-US"/>
        </w:rPr>
        <w:t>6</w:t>
      </w:r>
      <w:r w:rsidRPr="00776837">
        <w:rPr>
          <w:rFonts w:cs="Arial"/>
          <w:lang w:val="en-US"/>
        </w:rPr>
        <w:t>.</w:t>
      </w:r>
      <w:r>
        <w:rPr>
          <w:rFonts w:cs="Arial"/>
          <w:lang w:val="en-US"/>
        </w:rPr>
        <w:t>39</w:t>
      </w:r>
      <w:r w:rsidRPr="00776837">
        <w:rPr>
          <w:rFonts w:cs="Arial"/>
          <w:lang w:val="en-US"/>
        </w:rPr>
        <w:t xml:space="preserve"> per depositary receipt.</w:t>
      </w:r>
    </w:p>
    <w:p w14:paraId="13B06257" w14:textId="77777777" w:rsidR="0023652C" w:rsidRPr="00F4102C" w:rsidRDefault="0023652C" w:rsidP="00C155D5">
      <w:pPr>
        <w:pStyle w:val="01-TtulodeNota"/>
        <w:rPr>
          <w:rFonts w:cs="Arial"/>
          <w:b w:val="0"/>
          <w:sz w:val="14"/>
          <w:szCs w:val="14"/>
          <w:lang w:val="en-US"/>
        </w:rPr>
      </w:pPr>
    </w:p>
    <w:p w14:paraId="1131D399" w14:textId="77777777" w:rsidR="0023652C" w:rsidRPr="00F4102C" w:rsidRDefault="0023652C" w:rsidP="00C155D5">
      <w:pPr>
        <w:pStyle w:val="01-TtulodeNota"/>
        <w:rPr>
          <w:rFonts w:cs="Arial"/>
          <w:b w:val="0"/>
          <w:sz w:val="14"/>
          <w:szCs w:val="14"/>
          <w:lang w:val="en-US"/>
        </w:rPr>
      </w:pPr>
    </w:p>
    <w:p w14:paraId="772834FB" w14:textId="77777777" w:rsidR="0023652C" w:rsidRPr="00F4102C" w:rsidRDefault="0023652C" w:rsidP="00C155D5">
      <w:pPr>
        <w:pStyle w:val="01-TtulodeNota"/>
        <w:rPr>
          <w:rFonts w:cs="Arial"/>
          <w:b w:val="0"/>
          <w:sz w:val="14"/>
          <w:szCs w:val="14"/>
          <w:lang w:val="en-US"/>
        </w:rPr>
      </w:pPr>
    </w:p>
    <w:p w14:paraId="606E17FA" w14:textId="2EEC0FCD" w:rsidR="008C707F" w:rsidRPr="00860655" w:rsidRDefault="008C707F" w:rsidP="00C155D5">
      <w:pPr>
        <w:pStyle w:val="01-TtulodeNota"/>
        <w:rPr>
          <w:b w:val="0"/>
          <w:sz w:val="14"/>
        </w:rPr>
      </w:pPr>
      <w:r w:rsidRPr="00860655">
        <w:rPr>
          <w:rFonts w:cs="Arial"/>
          <w:b w:val="0"/>
          <w:sz w:val="14"/>
          <w:szCs w:val="14"/>
        </w:rPr>
        <w:lastRenderedPageBreak/>
        <w:t>Tab</w:t>
      </w:r>
      <w:r>
        <w:rPr>
          <w:rFonts w:cs="Arial"/>
          <w:b w:val="0"/>
          <w:sz w:val="14"/>
          <w:szCs w:val="14"/>
        </w:rPr>
        <w:t>le</w:t>
      </w:r>
      <w:r w:rsidRPr="00860655">
        <w:rPr>
          <w:rFonts w:cs="Arial"/>
          <w:b w:val="0"/>
          <w:sz w:val="14"/>
          <w:szCs w:val="14"/>
        </w:rPr>
        <w:t xml:space="preserve"> </w:t>
      </w:r>
      <w:r w:rsidR="00C35EEA">
        <w:rPr>
          <w:rFonts w:cs="Arial"/>
          <w:b w:val="0"/>
          <w:noProof/>
          <w:sz w:val="14"/>
          <w:szCs w:val="14"/>
        </w:rPr>
        <w:t>3</w:t>
      </w:r>
      <w:r w:rsidRPr="00860655">
        <w:rPr>
          <w:b w:val="0"/>
          <w:sz w:val="14"/>
        </w:rPr>
        <w:t xml:space="preserve"> – </w:t>
      </w:r>
      <w:r>
        <w:rPr>
          <w:rFonts w:cs="Arial"/>
          <w:b w:val="0"/>
          <w:sz w:val="14"/>
        </w:rPr>
        <w:t>Stock performance</w:t>
      </w:r>
    </w:p>
    <w:tbl>
      <w:tblPr>
        <w:tblW w:w="9639" w:type="dxa"/>
        <w:tblBorders>
          <w:top w:val="single" w:sz="2" w:space="0" w:color="222A35" w:themeColor="text2" w:themeShade="80"/>
          <w:bottom w:val="single" w:sz="2" w:space="0" w:color="222A35" w:themeColor="text2" w:themeShade="80"/>
        </w:tblBorders>
        <w:tblLook w:val="04A0" w:firstRow="1" w:lastRow="0" w:firstColumn="1" w:lastColumn="0" w:noHBand="0" w:noVBand="1"/>
      </w:tblPr>
      <w:tblGrid>
        <w:gridCol w:w="3828"/>
        <w:gridCol w:w="281"/>
        <w:gridCol w:w="1843"/>
        <w:gridCol w:w="1843"/>
        <w:gridCol w:w="1844"/>
      </w:tblGrid>
      <w:tr w:rsidR="008C707F" w:rsidRPr="003A2596" w14:paraId="2C5FD465" w14:textId="77777777" w:rsidTr="003A2596">
        <w:trPr>
          <w:trHeight w:hRule="exact" w:val="298"/>
        </w:trPr>
        <w:tc>
          <w:tcPr>
            <w:tcW w:w="3828" w:type="dxa"/>
            <w:tcBorders>
              <w:top w:val="single" w:sz="2" w:space="0" w:color="222A35" w:themeColor="text2" w:themeShade="80"/>
              <w:bottom w:val="single" w:sz="2" w:space="0" w:color="222A35" w:themeColor="text2" w:themeShade="80"/>
            </w:tcBorders>
          </w:tcPr>
          <w:p w14:paraId="7A9AC7E7" w14:textId="77777777" w:rsidR="008C707F" w:rsidRPr="003A2596" w:rsidRDefault="008C707F" w:rsidP="00D72BBC">
            <w:pPr>
              <w:pStyle w:val="08-Tabelageral"/>
              <w:jc w:val="left"/>
              <w:rPr>
                <w:rFonts w:cs="Arial"/>
                <w:b/>
                <w:snapToGrid w:val="0"/>
                <w:lang w:eastAsia="en-US"/>
              </w:rPr>
            </w:pPr>
          </w:p>
        </w:tc>
        <w:tc>
          <w:tcPr>
            <w:tcW w:w="281" w:type="dxa"/>
            <w:tcBorders>
              <w:top w:val="single" w:sz="2" w:space="0" w:color="222A35" w:themeColor="text2" w:themeShade="80"/>
              <w:bottom w:val="single" w:sz="2" w:space="0" w:color="222A35" w:themeColor="text2" w:themeShade="80"/>
            </w:tcBorders>
          </w:tcPr>
          <w:p w14:paraId="1EF3F350" w14:textId="77777777" w:rsidR="008C707F" w:rsidRPr="003A2596" w:rsidRDefault="008C707F" w:rsidP="00D72BBC">
            <w:pPr>
              <w:pStyle w:val="08-Tabelageral"/>
              <w:rPr>
                <w:rFonts w:cs="Arial"/>
                <w:b/>
                <w:color w:val="FF0000"/>
                <w:szCs w:val="14"/>
                <w:lang w:eastAsia="en-US"/>
              </w:rPr>
            </w:pPr>
          </w:p>
        </w:tc>
        <w:tc>
          <w:tcPr>
            <w:tcW w:w="1843" w:type="dxa"/>
            <w:tcBorders>
              <w:top w:val="single" w:sz="2" w:space="0" w:color="222A35" w:themeColor="text2" w:themeShade="80"/>
              <w:bottom w:val="single" w:sz="2" w:space="0" w:color="222A35" w:themeColor="text2" w:themeShade="80"/>
            </w:tcBorders>
            <w:hideMark/>
          </w:tcPr>
          <w:p w14:paraId="0FCA0A6C" w14:textId="77777777" w:rsidR="008C707F" w:rsidRPr="003A2596" w:rsidRDefault="008C707F" w:rsidP="00D72BBC">
            <w:pPr>
              <w:pStyle w:val="08-Tabelageral"/>
              <w:rPr>
                <w:rFonts w:cs="Arial"/>
                <w:b/>
                <w:szCs w:val="14"/>
                <w:lang w:eastAsia="en-US"/>
              </w:rPr>
            </w:pPr>
            <w:r w:rsidRPr="003A2596">
              <w:rPr>
                <w:rFonts w:cs="Arial"/>
                <w:b/>
                <w:szCs w:val="14"/>
                <w:lang w:eastAsia="en-US"/>
              </w:rPr>
              <w:t>Unit</w:t>
            </w:r>
          </w:p>
        </w:tc>
        <w:tc>
          <w:tcPr>
            <w:tcW w:w="1843" w:type="dxa"/>
            <w:tcBorders>
              <w:top w:val="single" w:sz="2" w:space="0" w:color="222A35" w:themeColor="text2" w:themeShade="80"/>
              <w:bottom w:val="single" w:sz="2" w:space="0" w:color="222A35" w:themeColor="text2" w:themeShade="80"/>
            </w:tcBorders>
            <w:hideMark/>
          </w:tcPr>
          <w:p w14:paraId="54FE9A37" w14:textId="77777777" w:rsidR="008C707F" w:rsidRPr="003A2596" w:rsidRDefault="008C707F" w:rsidP="00D72BBC">
            <w:pPr>
              <w:pStyle w:val="08-Tabelageral"/>
              <w:rPr>
                <w:rFonts w:cs="Arial"/>
                <w:b/>
                <w:szCs w:val="14"/>
                <w:lang w:eastAsia="en-US"/>
              </w:rPr>
            </w:pPr>
            <w:r w:rsidRPr="003A2596">
              <w:rPr>
                <w:rFonts w:cs="Arial"/>
                <w:b/>
                <w:szCs w:val="14"/>
                <w:lang w:eastAsia="en-US"/>
              </w:rPr>
              <w:t xml:space="preserve"> FY2022</w:t>
            </w:r>
          </w:p>
        </w:tc>
        <w:tc>
          <w:tcPr>
            <w:tcW w:w="1844" w:type="dxa"/>
            <w:tcBorders>
              <w:top w:val="single" w:sz="2" w:space="0" w:color="222A35" w:themeColor="text2" w:themeShade="80"/>
              <w:bottom w:val="single" w:sz="2" w:space="0" w:color="222A35" w:themeColor="text2" w:themeShade="80"/>
            </w:tcBorders>
            <w:hideMark/>
          </w:tcPr>
          <w:p w14:paraId="466F06AC" w14:textId="77777777" w:rsidR="008C707F" w:rsidRPr="003A2596" w:rsidRDefault="008C707F" w:rsidP="00D72BBC">
            <w:pPr>
              <w:pStyle w:val="08-Tabelageral"/>
              <w:rPr>
                <w:rFonts w:cs="Arial"/>
                <w:b/>
                <w:szCs w:val="14"/>
                <w:lang w:eastAsia="en-US"/>
              </w:rPr>
            </w:pPr>
            <w:r w:rsidRPr="003A2596">
              <w:rPr>
                <w:rFonts w:cs="Arial"/>
                <w:b/>
                <w:szCs w:val="14"/>
                <w:lang w:eastAsia="en-US"/>
              </w:rPr>
              <w:t>FY2021</w:t>
            </w:r>
          </w:p>
        </w:tc>
      </w:tr>
      <w:tr w:rsidR="008C707F" w:rsidRPr="00860655" w14:paraId="261A0B45" w14:textId="77777777" w:rsidTr="003A2596">
        <w:trPr>
          <w:trHeight w:hRule="exact" w:val="238"/>
        </w:trPr>
        <w:tc>
          <w:tcPr>
            <w:tcW w:w="3828" w:type="dxa"/>
            <w:tcBorders>
              <w:top w:val="single" w:sz="2" w:space="0" w:color="222A35" w:themeColor="text2" w:themeShade="80"/>
            </w:tcBorders>
            <w:hideMark/>
          </w:tcPr>
          <w:p w14:paraId="7363ED59" w14:textId="77777777" w:rsidR="008C707F" w:rsidRPr="00860655" w:rsidRDefault="008C707F" w:rsidP="00D72BBC">
            <w:pPr>
              <w:pStyle w:val="08-Tabelageral"/>
              <w:jc w:val="left"/>
              <w:rPr>
                <w:rFonts w:cs="Arial"/>
                <w:b/>
                <w:snapToGrid w:val="0"/>
                <w:lang w:eastAsia="en-US"/>
              </w:rPr>
            </w:pPr>
            <w:r>
              <w:rPr>
                <w:rFonts w:cs="Arial"/>
                <w:lang w:eastAsia="en-US"/>
              </w:rPr>
              <w:t>Price earnings</w:t>
            </w:r>
          </w:p>
        </w:tc>
        <w:tc>
          <w:tcPr>
            <w:tcW w:w="281" w:type="dxa"/>
            <w:tcBorders>
              <w:top w:val="single" w:sz="2" w:space="0" w:color="222A35" w:themeColor="text2" w:themeShade="80"/>
            </w:tcBorders>
          </w:tcPr>
          <w:p w14:paraId="5B95542F" w14:textId="77777777" w:rsidR="008C707F" w:rsidRPr="00860655" w:rsidRDefault="008C707F" w:rsidP="00D72BBC">
            <w:pPr>
              <w:pStyle w:val="08-Tabelageral"/>
              <w:rPr>
                <w:rFonts w:cs="Arial"/>
                <w:lang w:eastAsia="en-US"/>
              </w:rPr>
            </w:pPr>
          </w:p>
        </w:tc>
        <w:tc>
          <w:tcPr>
            <w:tcW w:w="1843" w:type="dxa"/>
            <w:tcBorders>
              <w:top w:val="single" w:sz="2" w:space="0" w:color="222A35" w:themeColor="text2" w:themeShade="80"/>
            </w:tcBorders>
            <w:hideMark/>
          </w:tcPr>
          <w:p w14:paraId="0ACB7BCC" w14:textId="77777777" w:rsidR="008C707F" w:rsidRPr="00860655" w:rsidRDefault="008C707F" w:rsidP="00D72BBC">
            <w:pPr>
              <w:pStyle w:val="08-Tabelageral"/>
              <w:rPr>
                <w:rFonts w:cs="Arial"/>
                <w:lang w:eastAsia="en-US"/>
              </w:rPr>
            </w:pPr>
            <w:r w:rsidRPr="00860655">
              <w:rPr>
                <w:rFonts w:cs="Arial"/>
                <w:lang w:eastAsia="en-US"/>
              </w:rPr>
              <w:t>R$</w:t>
            </w:r>
          </w:p>
        </w:tc>
        <w:tc>
          <w:tcPr>
            <w:tcW w:w="1843" w:type="dxa"/>
            <w:tcBorders>
              <w:top w:val="single" w:sz="2" w:space="0" w:color="222A35" w:themeColor="text2" w:themeShade="80"/>
            </w:tcBorders>
            <w:hideMark/>
          </w:tcPr>
          <w:p w14:paraId="3B590A17" w14:textId="77777777" w:rsidR="008C707F" w:rsidRPr="00E46C76" w:rsidRDefault="008C707F" w:rsidP="00D72BBC">
            <w:pPr>
              <w:pStyle w:val="08-Tabelageral"/>
              <w:ind w:left="708"/>
              <w:rPr>
                <w:rFonts w:cs="Arial"/>
                <w:lang w:eastAsia="en-US"/>
              </w:rPr>
            </w:pPr>
            <w:r w:rsidRPr="00E46C76">
              <w:rPr>
                <w:rFonts w:cs="Arial"/>
                <w:lang w:eastAsia="en-US"/>
              </w:rPr>
              <w:t>3</w:t>
            </w:r>
            <w:r>
              <w:rPr>
                <w:rFonts w:cs="Arial"/>
                <w:lang w:eastAsia="en-US"/>
              </w:rPr>
              <w:t>.</w:t>
            </w:r>
            <w:r w:rsidRPr="00E46C76">
              <w:rPr>
                <w:rFonts w:cs="Arial"/>
                <w:lang w:eastAsia="en-US"/>
              </w:rPr>
              <w:t>02</w:t>
            </w:r>
          </w:p>
        </w:tc>
        <w:tc>
          <w:tcPr>
            <w:tcW w:w="1844" w:type="dxa"/>
            <w:tcBorders>
              <w:top w:val="single" w:sz="2" w:space="0" w:color="222A35" w:themeColor="text2" w:themeShade="80"/>
            </w:tcBorders>
            <w:hideMark/>
          </w:tcPr>
          <w:p w14:paraId="61E4EB0C" w14:textId="77777777" w:rsidR="008C707F" w:rsidRPr="00E46C76" w:rsidRDefault="008C707F" w:rsidP="00D72BBC">
            <w:pPr>
              <w:pStyle w:val="08-Tabelageral"/>
              <w:rPr>
                <w:rFonts w:cs="Arial"/>
                <w:lang w:eastAsia="en-US"/>
              </w:rPr>
            </w:pPr>
            <w:r w:rsidRPr="00E46C76">
              <w:rPr>
                <w:rFonts w:cs="Arial"/>
                <w:lang w:eastAsia="en-US"/>
              </w:rPr>
              <w:t>1</w:t>
            </w:r>
            <w:r>
              <w:rPr>
                <w:rFonts w:cs="Arial"/>
                <w:lang w:eastAsia="en-US"/>
              </w:rPr>
              <w:t>.</w:t>
            </w:r>
            <w:r w:rsidRPr="00E46C76">
              <w:rPr>
                <w:rFonts w:cs="Arial"/>
                <w:lang w:eastAsia="en-US"/>
              </w:rPr>
              <w:t>97</w:t>
            </w:r>
          </w:p>
        </w:tc>
      </w:tr>
      <w:tr w:rsidR="008C707F" w:rsidRPr="00FA31E9" w14:paraId="51A6C6BC" w14:textId="77777777" w:rsidTr="003A2596">
        <w:trPr>
          <w:trHeight w:hRule="exact" w:val="238"/>
        </w:trPr>
        <w:tc>
          <w:tcPr>
            <w:tcW w:w="3828" w:type="dxa"/>
            <w:hideMark/>
          </w:tcPr>
          <w:p w14:paraId="502F1CB9" w14:textId="77777777" w:rsidR="008C707F" w:rsidRPr="00860655" w:rsidRDefault="008C707F" w:rsidP="00D72BBC">
            <w:pPr>
              <w:pStyle w:val="08-Tabelageral"/>
              <w:jc w:val="left"/>
              <w:rPr>
                <w:rFonts w:cs="Arial"/>
                <w:b/>
                <w:snapToGrid w:val="0"/>
                <w:lang w:eastAsia="en-US"/>
              </w:rPr>
            </w:pPr>
            <w:r>
              <w:rPr>
                <w:rFonts w:cs="Arial"/>
                <w:lang w:eastAsia="en-US"/>
              </w:rPr>
              <w:t>Book value</w:t>
            </w:r>
          </w:p>
        </w:tc>
        <w:tc>
          <w:tcPr>
            <w:tcW w:w="281" w:type="dxa"/>
          </w:tcPr>
          <w:p w14:paraId="3A6DCA10" w14:textId="77777777" w:rsidR="008C707F" w:rsidRPr="00860655" w:rsidRDefault="008C707F" w:rsidP="00D72BBC">
            <w:pPr>
              <w:pStyle w:val="08-Tabelageral"/>
              <w:rPr>
                <w:rFonts w:cs="Arial"/>
                <w:lang w:eastAsia="en-US"/>
              </w:rPr>
            </w:pPr>
          </w:p>
        </w:tc>
        <w:tc>
          <w:tcPr>
            <w:tcW w:w="1843" w:type="dxa"/>
            <w:hideMark/>
          </w:tcPr>
          <w:p w14:paraId="20ED8E06" w14:textId="77777777" w:rsidR="008C707F" w:rsidRPr="00860655" w:rsidRDefault="008C707F" w:rsidP="00D72BBC">
            <w:pPr>
              <w:pStyle w:val="08-Tabelageral"/>
              <w:rPr>
                <w:rFonts w:cs="Arial"/>
                <w:lang w:eastAsia="en-US"/>
              </w:rPr>
            </w:pPr>
            <w:r w:rsidRPr="00860655">
              <w:rPr>
                <w:rFonts w:cs="Arial"/>
                <w:lang w:eastAsia="en-US"/>
              </w:rPr>
              <w:t>R$</w:t>
            </w:r>
          </w:p>
        </w:tc>
        <w:tc>
          <w:tcPr>
            <w:tcW w:w="1843" w:type="dxa"/>
            <w:hideMark/>
          </w:tcPr>
          <w:p w14:paraId="546E3739" w14:textId="77777777" w:rsidR="008C707F" w:rsidRPr="00E46C76" w:rsidRDefault="008C707F" w:rsidP="00D72BBC">
            <w:pPr>
              <w:pStyle w:val="08-Tabelageral"/>
              <w:rPr>
                <w:rFonts w:cs="Arial"/>
                <w:lang w:eastAsia="en-US"/>
              </w:rPr>
            </w:pPr>
            <w:r w:rsidRPr="00E46C76">
              <w:rPr>
                <w:rFonts w:cs="Arial"/>
                <w:lang w:eastAsia="en-US"/>
              </w:rPr>
              <w:t>3</w:t>
            </w:r>
            <w:r>
              <w:rPr>
                <w:rFonts w:cs="Arial"/>
                <w:lang w:eastAsia="en-US"/>
              </w:rPr>
              <w:t>.</w:t>
            </w:r>
            <w:r w:rsidRPr="00E46C76">
              <w:rPr>
                <w:rFonts w:cs="Arial"/>
                <w:lang w:eastAsia="en-US"/>
              </w:rPr>
              <w:t>80</w:t>
            </w:r>
          </w:p>
        </w:tc>
        <w:tc>
          <w:tcPr>
            <w:tcW w:w="1844" w:type="dxa"/>
            <w:hideMark/>
          </w:tcPr>
          <w:p w14:paraId="234964A5" w14:textId="77777777" w:rsidR="008C707F" w:rsidRPr="00E46C76" w:rsidRDefault="008C707F" w:rsidP="00D72BBC">
            <w:pPr>
              <w:pStyle w:val="08-Tabelageral"/>
              <w:rPr>
                <w:rFonts w:cs="Arial"/>
                <w:lang w:eastAsia="en-US"/>
              </w:rPr>
            </w:pPr>
            <w:r w:rsidRPr="00E46C76">
              <w:rPr>
                <w:rFonts w:cs="Arial"/>
                <w:lang w:eastAsia="en-US"/>
              </w:rPr>
              <w:t>3</w:t>
            </w:r>
            <w:r>
              <w:rPr>
                <w:rFonts w:cs="Arial"/>
                <w:lang w:eastAsia="en-US"/>
              </w:rPr>
              <w:t>.</w:t>
            </w:r>
            <w:r w:rsidRPr="00E46C76">
              <w:rPr>
                <w:rFonts w:cs="Arial"/>
                <w:lang w:eastAsia="en-US"/>
              </w:rPr>
              <w:t>64</w:t>
            </w:r>
          </w:p>
        </w:tc>
      </w:tr>
      <w:tr w:rsidR="008C707F" w:rsidRPr="00DC3779" w14:paraId="059B26AA" w14:textId="77777777" w:rsidTr="003A2596">
        <w:trPr>
          <w:trHeight w:hRule="exact" w:val="238"/>
        </w:trPr>
        <w:tc>
          <w:tcPr>
            <w:tcW w:w="3828" w:type="dxa"/>
            <w:hideMark/>
          </w:tcPr>
          <w:p w14:paraId="06230E5D" w14:textId="77777777" w:rsidR="008C707F" w:rsidRPr="00DC3779" w:rsidRDefault="008C707F" w:rsidP="00D72BBC">
            <w:pPr>
              <w:pStyle w:val="08-Tabelageral"/>
              <w:jc w:val="left"/>
              <w:rPr>
                <w:rFonts w:cs="Arial"/>
                <w:b/>
                <w:snapToGrid w:val="0"/>
                <w:lang w:eastAsia="en-US"/>
              </w:rPr>
            </w:pPr>
            <w:r>
              <w:rPr>
                <w:rFonts w:cs="Arial"/>
                <w:lang w:eastAsia="en-US"/>
              </w:rPr>
              <w:t>Yeard-end price</w:t>
            </w:r>
          </w:p>
        </w:tc>
        <w:tc>
          <w:tcPr>
            <w:tcW w:w="281" w:type="dxa"/>
          </w:tcPr>
          <w:p w14:paraId="09EAC720" w14:textId="77777777" w:rsidR="008C707F" w:rsidRPr="00DC3779" w:rsidRDefault="008C707F" w:rsidP="00D72BBC">
            <w:pPr>
              <w:pStyle w:val="08-Tabelageral"/>
              <w:rPr>
                <w:rFonts w:cs="Arial"/>
                <w:lang w:eastAsia="en-US"/>
              </w:rPr>
            </w:pPr>
          </w:p>
        </w:tc>
        <w:tc>
          <w:tcPr>
            <w:tcW w:w="1843" w:type="dxa"/>
            <w:hideMark/>
          </w:tcPr>
          <w:p w14:paraId="0EE5D917" w14:textId="77777777" w:rsidR="008C707F" w:rsidRPr="00DC3779" w:rsidRDefault="008C707F" w:rsidP="00D72BBC">
            <w:pPr>
              <w:pStyle w:val="08-Tabelageral"/>
              <w:rPr>
                <w:rFonts w:cs="Arial"/>
                <w:lang w:eastAsia="en-US"/>
              </w:rPr>
            </w:pPr>
            <w:r w:rsidRPr="00DC3779">
              <w:rPr>
                <w:rFonts w:cs="Arial"/>
                <w:lang w:eastAsia="en-US"/>
              </w:rPr>
              <w:t>R$</w:t>
            </w:r>
          </w:p>
        </w:tc>
        <w:tc>
          <w:tcPr>
            <w:tcW w:w="1843" w:type="dxa"/>
            <w:hideMark/>
          </w:tcPr>
          <w:p w14:paraId="22C5FF41" w14:textId="77777777" w:rsidR="008C707F" w:rsidRPr="0045600B" w:rsidRDefault="008C707F" w:rsidP="00D72BBC">
            <w:pPr>
              <w:pStyle w:val="08-Tabelageral"/>
              <w:rPr>
                <w:rFonts w:cs="Arial"/>
                <w:color w:val="FF0000"/>
                <w:lang w:eastAsia="en-US"/>
              </w:rPr>
            </w:pPr>
            <w:r w:rsidRPr="00A353D3">
              <w:rPr>
                <w:rFonts w:cs="Arial"/>
                <w:lang w:eastAsia="en-US"/>
              </w:rPr>
              <w:t>33</w:t>
            </w:r>
            <w:r>
              <w:rPr>
                <w:rFonts w:cs="Arial"/>
                <w:lang w:eastAsia="en-US"/>
              </w:rPr>
              <w:t>.</w:t>
            </w:r>
            <w:r w:rsidRPr="00A353D3">
              <w:rPr>
                <w:rFonts w:cs="Arial"/>
                <w:lang w:eastAsia="en-US"/>
              </w:rPr>
              <w:t>71</w:t>
            </w:r>
          </w:p>
        </w:tc>
        <w:tc>
          <w:tcPr>
            <w:tcW w:w="1844" w:type="dxa"/>
            <w:hideMark/>
          </w:tcPr>
          <w:p w14:paraId="20DE276C" w14:textId="77777777" w:rsidR="008C707F" w:rsidRPr="00DC3779" w:rsidRDefault="008C707F" w:rsidP="00D72BBC">
            <w:pPr>
              <w:pStyle w:val="08-Tabelageral"/>
              <w:rPr>
                <w:rFonts w:cs="Arial"/>
                <w:lang w:eastAsia="en-US"/>
              </w:rPr>
            </w:pPr>
            <w:r w:rsidRPr="00DC3779">
              <w:rPr>
                <w:rFonts w:cs="Arial"/>
                <w:lang w:eastAsia="en-US"/>
              </w:rPr>
              <w:t>20</w:t>
            </w:r>
            <w:r>
              <w:rPr>
                <w:rFonts w:cs="Arial"/>
                <w:lang w:eastAsia="en-US"/>
              </w:rPr>
              <w:t>.</w:t>
            </w:r>
            <w:r w:rsidRPr="00DC3779">
              <w:rPr>
                <w:rFonts w:cs="Arial"/>
                <w:lang w:eastAsia="en-US"/>
              </w:rPr>
              <w:t>75</w:t>
            </w:r>
          </w:p>
        </w:tc>
      </w:tr>
      <w:tr w:rsidR="008C707F" w:rsidRPr="00DC3779" w14:paraId="62ED9C58" w14:textId="77777777" w:rsidTr="003A2596">
        <w:trPr>
          <w:trHeight w:hRule="exact" w:val="238"/>
        </w:trPr>
        <w:tc>
          <w:tcPr>
            <w:tcW w:w="3828" w:type="dxa"/>
            <w:hideMark/>
          </w:tcPr>
          <w:p w14:paraId="2C2705BA" w14:textId="77777777" w:rsidR="008C707F" w:rsidRPr="00DC3779" w:rsidRDefault="008C707F" w:rsidP="00D72BBC">
            <w:pPr>
              <w:pStyle w:val="08-Tabelageral"/>
              <w:jc w:val="left"/>
              <w:rPr>
                <w:rFonts w:cs="Arial"/>
                <w:b/>
                <w:snapToGrid w:val="0"/>
                <w:lang w:eastAsia="en-US"/>
              </w:rPr>
            </w:pPr>
            <w:r>
              <w:rPr>
                <w:rFonts w:cs="Arial"/>
                <w:lang w:eastAsia="en-US"/>
              </w:rPr>
              <w:t>Market cap</w:t>
            </w:r>
          </w:p>
        </w:tc>
        <w:tc>
          <w:tcPr>
            <w:tcW w:w="281" w:type="dxa"/>
          </w:tcPr>
          <w:p w14:paraId="70136C5C" w14:textId="77777777" w:rsidR="008C707F" w:rsidRPr="00DC3779" w:rsidRDefault="008C707F" w:rsidP="00D72BBC">
            <w:pPr>
              <w:pStyle w:val="08-Tabelageral"/>
              <w:rPr>
                <w:rFonts w:cs="Arial"/>
                <w:lang w:eastAsia="en-US"/>
              </w:rPr>
            </w:pPr>
          </w:p>
        </w:tc>
        <w:tc>
          <w:tcPr>
            <w:tcW w:w="1843" w:type="dxa"/>
            <w:hideMark/>
          </w:tcPr>
          <w:p w14:paraId="343103AD" w14:textId="77777777" w:rsidR="008C707F" w:rsidRPr="00DC3779" w:rsidRDefault="008C707F" w:rsidP="00D72BBC">
            <w:pPr>
              <w:pStyle w:val="08-Tabelageral"/>
              <w:rPr>
                <w:rFonts w:cs="Arial"/>
                <w:lang w:eastAsia="en-US"/>
              </w:rPr>
            </w:pPr>
            <w:r w:rsidRPr="00DC3779">
              <w:rPr>
                <w:rFonts w:cs="Arial"/>
                <w:lang w:eastAsia="en-US"/>
              </w:rPr>
              <w:t>R$ bilhões</w:t>
            </w:r>
          </w:p>
        </w:tc>
        <w:tc>
          <w:tcPr>
            <w:tcW w:w="1843" w:type="dxa"/>
            <w:hideMark/>
          </w:tcPr>
          <w:p w14:paraId="5766E03C" w14:textId="77777777" w:rsidR="008C707F" w:rsidRPr="0045600B" w:rsidRDefault="008C707F" w:rsidP="00D72BBC">
            <w:pPr>
              <w:pStyle w:val="08-Tabelageral"/>
              <w:rPr>
                <w:rFonts w:cs="Arial"/>
                <w:color w:val="FF0000"/>
                <w:lang w:eastAsia="en-US"/>
              </w:rPr>
            </w:pPr>
            <w:r w:rsidRPr="00A353D3">
              <w:rPr>
                <w:rFonts w:cs="Arial"/>
                <w:lang w:eastAsia="en-US"/>
              </w:rPr>
              <w:t>67</w:t>
            </w:r>
            <w:r>
              <w:rPr>
                <w:rFonts w:cs="Arial"/>
                <w:lang w:eastAsia="en-US"/>
              </w:rPr>
              <w:t>.</w:t>
            </w:r>
            <w:r w:rsidRPr="00A353D3">
              <w:rPr>
                <w:rFonts w:cs="Arial"/>
                <w:lang w:eastAsia="en-US"/>
              </w:rPr>
              <w:t>4</w:t>
            </w:r>
          </w:p>
        </w:tc>
        <w:tc>
          <w:tcPr>
            <w:tcW w:w="1844" w:type="dxa"/>
            <w:hideMark/>
          </w:tcPr>
          <w:p w14:paraId="20B53637" w14:textId="77777777" w:rsidR="008C707F" w:rsidRPr="00DC3779" w:rsidRDefault="008C707F" w:rsidP="00D72BBC">
            <w:pPr>
              <w:pStyle w:val="08-Tabelageral"/>
              <w:rPr>
                <w:rFonts w:cs="Arial"/>
                <w:lang w:eastAsia="en-US"/>
              </w:rPr>
            </w:pPr>
            <w:r w:rsidRPr="00DC3779">
              <w:rPr>
                <w:rFonts w:cs="Arial"/>
                <w:lang w:eastAsia="en-US"/>
              </w:rPr>
              <w:t>41</w:t>
            </w:r>
            <w:r>
              <w:rPr>
                <w:rFonts w:cs="Arial"/>
                <w:lang w:eastAsia="en-US"/>
              </w:rPr>
              <w:t>.</w:t>
            </w:r>
            <w:r w:rsidRPr="00DC3779">
              <w:rPr>
                <w:rFonts w:cs="Arial"/>
                <w:lang w:eastAsia="en-US"/>
              </w:rPr>
              <w:t>50</w:t>
            </w:r>
          </w:p>
        </w:tc>
      </w:tr>
      <w:tr w:rsidR="008C707F" w:rsidRPr="00DC3779" w14:paraId="4F4F353D" w14:textId="77777777" w:rsidTr="003A2596">
        <w:trPr>
          <w:trHeight w:hRule="exact" w:val="238"/>
        </w:trPr>
        <w:tc>
          <w:tcPr>
            <w:tcW w:w="3828" w:type="dxa"/>
            <w:hideMark/>
          </w:tcPr>
          <w:p w14:paraId="5093B6EE" w14:textId="77777777" w:rsidR="008C707F" w:rsidRPr="00DC3779" w:rsidRDefault="008C707F" w:rsidP="00D72BBC">
            <w:pPr>
              <w:pStyle w:val="08-Tabelageral"/>
              <w:jc w:val="left"/>
              <w:rPr>
                <w:rFonts w:cs="Arial"/>
                <w:b/>
                <w:snapToGrid w:val="0"/>
                <w:lang w:eastAsia="en-US"/>
              </w:rPr>
            </w:pPr>
            <w:r>
              <w:rPr>
                <w:rFonts w:cs="Arial"/>
                <w:lang w:eastAsia="en-US"/>
              </w:rPr>
              <w:t>Traded volume (shares)</w:t>
            </w:r>
            <w:r w:rsidRPr="00DC3779">
              <w:rPr>
                <w:rFonts w:cs="Arial"/>
                <w:lang w:eastAsia="en-US"/>
              </w:rPr>
              <w:t>¹</w:t>
            </w:r>
          </w:p>
        </w:tc>
        <w:tc>
          <w:tcPr>
            <w:tcW w:w="281" w:type="dxa"/>
          </w:tcPr>
          <w:p w14:paraId="4DDDB5EE" w14:textId="77777777" w:rsidR="008C707F" w:rsidRPr="00DC3779" w:rsidRDefault="008C707F" w:rsidP="00D72BBC">
            <w:pPr>
              <w:pStyle w:val="08-Tabelageral"/>
              <w:rPr>
                <w:rFonts w:cs="Arial"/>
                <w:lang w:eastAsia="en-US"/>
              </w:rPr>
            </w:pPr>
          </w:p>
        </w:tc>
        <w:tc>
          <w:tcPr>
            <w:tcW w:w="1843" w:type="dxa"/>
            <w:hideMark/>
          </w:tcPr>
          <w:p w14:paraId="4D9953C3" w14:textId="77777777" w:rsidR="008C707F" w:rsidRPr="00DC3779" w:rsidRDefault="008C707F" w:rsidP="00D72BBC">
            <w:pPr>
              <w:pStyle w:val="08-Tabelageral"/>
              <w:rPr>
                <w:rFonts w:cs="Arial"/>
                <w:lang w:eastAsia="en-US"/>
              </w:rPr>
            </w:pPr>
            <w:r w:rsidRPr="00DC3779">
              <w:rPr>
                <w:rFonts w:cs="Arial"/>
                <w:lang w:eastAsia="en-US"/>
              </w:rPr>
              <w:t>-</w:t>
            </w:r>
          </w:p>
        </w:tc>
        <w:tc>
          <w:tcPr>
            <w:tcW w:w="1843" w:type="dxa"/>
            <w:hideMark/>
          </w:tcPr>
          <w:p w14:paraId="0E2F33B0" w14:textId="77777777" w:rsidR="008C707F" w:rsidRPr="00FB2CA7" w:rsidRDefault="008C707F" w:rsidP="00D72BBC">
            <w:pPr>
              <w:pStyle w:val="08-Tabelageral"/>
              <w:rPr>
                <w:rFonts w:cs="Arial"/>
                <w:lang w:eastAsia="en-US"/>
              </w:rPr>
            </w:pPr>
            <w:r w:rsidRPr="00FB2CA7">
              <w:rPr>
                <w:rFonts w:cs="Arial"/>
                <w:lang w:eastAsia="en-US"/>
              </w:rPr>
              <w:t>4</w:t>
            </w:r>
            <w:r>
              <w:rPr>
                <w:rFonts w:cs="Arial"/>
                <w:lang w:eastAsia="en-US"/>
              </w:rPr>
              <w:t>,</w:t>
            </w:r>
            <w:r w:rsidRPr="00FB2CA7">
              <w:rPr>
                <w:rFonts w:cs="Arial"/>
                <w:lang w:eastAsia="en-US"/>
              </w:rPr>
              <w:t>730</w:t>
            </w:r>
            <w:r>
              <w:rPr>
                <w:rFonts w:cs="Arial"/>
                <w:lang w:eastAsia="en-US"/>
              </w:rPr>
              <w:t>,</w:t>
            </w:r>
            <w:r w:rsidRPr="00FB2CA7">
              <w:rPr>
                <w:rFonts w:cs="Arial"/>
                <w:lang w:eastAsia="en-US"/>
              </w:rPr>
              <w:t>980</w:t>
            </w:r>
          </w:p>
        </w:tc>
        <w:tc>
          <w:tcPr>
            <w:tcW w:w="1844" w:type="dxa"/>
            <w:hideMark/>
          </w:tcPr>
          <w:p w14:paraId="43DEA43B" w14:textId="77777777" w:rsidR="008C707F" w:rsidRPr="00DC3779" w:rsidRDefault="008C707F" w:rsidP="00D72BBC">
            <w:pPr>
              <w:pStyle w:val="08-Tabelageral"/>
              <w:rPr>
                <w:rFonts w:cs="Arial"/>
                <w:lang w:eastAsia="en-US"/>
              </w:rPr>
            </w:pPr>
            <w:r w:rsidRPr="00DC3779">
              <w:rPr>
                <w:rFonts w:cs="Arial"/>
                <w:lang w:eastAsia="en-US"/>
              </w:rPr>
              <w:t>5</w:t>
            </w:r>
            <w:r>
              <w:rPr>
                <w:rFonts w:cs="Arial"/>
                <w:lang w:eastAsia="en-US"/>
              </w:rPr>
              <w:t>,</w:t>
            </w:r>
            <w:r w:rsidRPr="00DC3779">
              <w:rPr>
                <w:rFonts w:cs="Arial"/>
                <w:lang w:eastAsia="en-US"/>
              </w:rPr>
              <w:t>061</w:t>
            </w:r>
            <w:r>
              <w:rPr>
                <w:rFonts w:cs="Arial"/>
                <w:lang w:eastAsia="en-US"/>
              </w:rPr>
              <w:t>,</w:t>
            </w:r>
            <w:r w:rsidRPr="00DC3779">
              <w:rPr>
                <w:rFonts w:cs="Arial"/>
                <w:lang w:eastAsia="en-US"/>
              </w:rPr>
              <w:t>575</w:t>
            </w:r>
          </w:p>
        </w:tc>
      </w:tr>
      <w:tr w:rsidR="008C707F" w:rsidRPr="00DC3779" w14:paraId="116EBEAF" w14:textId="77777777" w:rsidTr="003A2596">
        <w:trPr>
          <w:trHeight w:hRule="exact" w:val="238"/>
        </w:trPr>
        <w:tc>
          <w:tcPr>
            <w:tcW w:w="3828" w:type="dxa"/>
            <w:hideMark/>
          </w:tcPr>
          <w:p w14:paraId="2CBA3BC7" w14:textId="77777777" w:rsidR="008C707F" w:rsidRPr="00DC3779" w:rsidRDefault="008C707F" w:rsidP="00D72BBC">
            <w:pPr>
              <w:pStyle w:val="08-Tabelageral"/>
              <w:jc w:val="left"/>
              <w:rPr>
                <w:rFonts w:cs="Arial"/>
                <w:b/>
                <w:snapToGrid w:val="0"/>
                <w:vertAlign w:val="superscript"/>
                <w:lang w:eastAsia="en-US"/>
              </w:rPr>
            </w:pPr>
            <w:r>
              <w:rPr>
                <w:rFonts w:cs="Arial"/>
                <w:lang w:eastAsia="en-US"/>
              </w:rPr>
              <w:t>ADTV</w:t>
            </w:r>
            <w:r w:rsidRPr="00DC3779">
              <w:rPr>
                <w:rFonts w:cs="Arial"/>
                <w:lang w:eastAsia="en-US"/>
              </w:rPr>
              <w:t>¹</w:t>
            </w:r>
          </w:p>
        </w:tc>
        <w:tc>
          <w:tcPr>
            <w:tcW w:w="281" w:type="dxa"/>
          </w:tcPr>
          <w:p w14:paraId="7F941A3B" w14:textId="77777777" w:rsidR="008C707F" w:rsidRPr="00DC3779" w:rsidRDefault="008C707F" w:rsidP="00D72BBC">
            <w:pPr>
              <w:pStyle w:val="08-Tabelageral"/>
              <w:rPr>
                <w:rFonts w:cs="Arial"/>
                <w:lang w:eastAsia="en-US"/>
              </w:rPr>
            </w:pPr>
          </w:p>
        </w:tc>
        <w:tc>
          <w:tcPr>
            <w:tcW w:w="1843" w:type="dxa"/>
            <w:hideMark/>
          </w:tcPr>
          <w:p w14:paraId="6FBF3A93" w14:textId="77777777" w:rsidR="008C707F" w:rsidRPr="00DC3779" w:rsidRDefault="008C707F" w:rsidP="00D72BBC">
            <w:pPr>
              <w:pStyle w:val="08-Tabelageral"/>
              <w:rPr>
                <w:rFonts w:cs="Arial"/>
                <w:lang w:eastAsia="en-US"/>
              </w:rPr>
            </w:pPr>
            <w:r w:rsidRPr="00DC3779">
              <w:rPr>
                <w:rFonts w:cs="Arial"/>
                <w:lang w:eastAsia="en-US"/>
              </w:rPr>
              <w:t>R$ milhões</w:t>
            </w:r>
          </w:p>
        </w:tc>
        <w:tc>
          <w:tcPr>
            <w:tcW w:w="1843" w:type="dxa"/>
            <w:hideMark/>
          </w:tcPr>
          <w:p w14:paraId="1636FE09" w14:textId="77777777" w:rsidR="008C707F" w:rsidRPr="00FB2CA7" w:rsidRDefault="008C707F" w:rsidP="00D72BBC">
            <w:pPr>
              <w:pStyle w:val="08-Tabelageral"/>
              <w:rPr>
                <w:rFonts w:cs="Arial"/>
                <w:lang w:eastAsia="en-US"/>
              </w:rPr>
            </w:pPr>
            <w:r w:rsidRPr="00FB2CA7">
              <w:rPr>
                <w:rFonts w:cs="Arial"/>
                <w:lang w:eastAsia="en-US"/>
              </w:rPr>
              <w:t>155</w:t>
            </w:r>
            <w:r>
              <w:rPr>
                <w:rFonts w:cs="Arial"/>
                <w:lang w:eastAsia="en-US"/>
              </w:rPr>
              <w:t>.</w:t>
            </w:r>
            <w:r w:rsidRPr="00FB2CA7">
              <w:rPr>
                <w:rFonts w:cs="Arial"/>
                <w:lang w:eastAsia="en-US"/>
              </w:rPr>
              <w:t>5</w:t>
            </w:r>
          </w:p>
        </w:tc>
        <w:tc>
          <w:tcPr>
            <w:tcW w:w="1844" w:type="dxa"/>
            <w:hideMark/>
          </w:tcPr>
          <w:p w14:paraId="56BC50A5" w14:textId="77777777" w:rsidR="008C707F" w:rsidRPr="00DC3779" w:rsidRDefault="008C707F" w:rsidP="00D72BBC">
            <w:pPr>
              <w:pStyle w:val="08-Tabelageral"/>
              <w:rPr>
                <w:rFonts w:cs="Arial"/>
                <w:lang w:eastAsia="en-US"/>
              </w:rPr>
            </w:pPr>
            <w:r>
              <w:rPr>
                <w:rFonts w:cs="Arial"/>
                <w:lang w:eastAsia="en-US"/>
              </w:rPr>
              <w:t>137.2</w:t>
            </w:r>
          </w:p>
        </w:tc>
      </w:tr>
      <w:tr w:rsidR="008C707F" w:rsidRPr="00DC3779" w14:paraId="43FB681E" w14:textId="77777777" w:rsidTr="003A2596">
        <w:trPr>
          <w:trHeight w:hRule="exact" w:val="266"/>
        </w:trPr>
        <w:tc>
          <w:tcPr>
            <w:tcW w:w="3828" w:type="dxa"/>
            <w:hideMark/>
          </w:tcPr>
          <w:p w14:paraId="6095F2E6" w14:textId="77777777" w:rsidR="008C707F" w:rsidRPr="00DC3779" w:rsidRDefault="008C707F" w:rsidP="00D72BBC">
            <w:pPr>
              <w:pStyle w:val="08-Tabelageral"/>
              <w:jc w:val="left"/>
              <w:rPr>
                <w:rFonts w:cs="Arial"/>
                <w:b/>
                <w:snapToGrid w:val="0"/>
                <w:lang w:eastAsia="en-US"/>
              </w:rPr>
            </w:pPr>
            <w:r>
              <w:rPr>
                <w:rFonts w:cs="Arial"/>
                <w:lang w:eastAsia="en-US"/>
              </w:rPr>
              <w:t xml:space="preserve">% of </w:t>
            </w:r>
            <w:r w:rsidRPr="00DC3779">
              <w:rPr>
                <w:rFonts w:cs="Arial"/>
                <w:lang w:eastAsia="en-US"/>
              </w:rPr>
              <w:t>B3</w:t>
            </w:r>
            <w:r>
              <w:rPr>
                <w:rFonts w:cs="Arial"/>
                <w:lang w:eastAsia="en-US"/>
              </w:rPr>
              <w:t xml:space="preserve"> ADTV</w:t>
            </w:r>
          </w:p>
        </w:tc>
        <w:tc>
          <w:tcPr>
            <w:tcW w:w="281" w:type="dxa"/>
          </w:tcPr>
          <w:p w14:paraId="73944BA6" w14:textId="77777777" w:rsidR="008C707F" w:rsidRPr="00DC3779" w:rsidRDefault="008C707F" w:rsidP="00D72BBC">
            <w:pPr>
              <w:pStyle w:val="08-Tabelageral"/>
              <w:rPr>
                <w:rFonts w:cs="Arial"/>
                <w:lang w:eastAsia="en-US"/>
              </w:rPr>
            </w:pPr>
          </w:p>
        </w:tc>
        <w:tc>
          <w:tcPr>
            <w:tcW w:w="1843" w:type="dxa"/>
            <w:hideMark/>
          </w:tcPr>
          <w:p w14:paraId="1B27274D" w14:textId="77777777" w:rsidR="008C707F" w:rsidRPr="00DC3779" w:rsidRDefault="008C707F" w:rsidP="00D72BBC">
            <w:pPr>
              <w:pStyle w:val="08-Tabelageral"/>
              <w:rPr>
                <w:rFonts w:cs="Arial"/>
                <w:lang w:eastAsia="en-US"/>
              </w:rPr>
            </w:pPr>
            <w:r w:rsidRPr="00DC3779">
              <w:rPr>
                <w:rFonts w:cs="Arial"/>
                <w:lang w:eastAsia="en-US"/>
              </w:rPr>
              <w:t>%</w:t>
            </w:r>
          </w:p>
        </w:tc>
        <w:tc>
          <w:tcPr>
            <w:tcW w:w="1843" w:type="dxa"/>
            <w:hideMark/>
          </w:tcPr>
          <w:p w14:paraId="481B8286" w14:textId="77777777" w:rsidR="008C707F" w:rsidRPr="00FB2CA7" w:rsidRDefault="008C707F" w:rsidP="00D72BBC">
            <w:pPr>
              <w:pStyle w:val="08-Tabelageral"/>
              <w:rPr>
                <w:rFonts w:cs="Arial"/>
                <w:lang w:eastAsia="en-US"/>
              </w:rPr>
            </w:pPr>
            <w:r w:rsidRPr="00FB2CA7">
              <w:rPr>
                <w:rFonts w:cs="Arial"/>
                <w:lang w:eastAsia="en-US"/>
              </w:rPr>
              <w:t>0</w:t>
            </w:r>
            <w:r>
              <w:rPr>
                <w:rFonts w:cs="Arial"/>
                <w:lang w:eastAsia="en-US"/>
              </w:rPr>
              <w:t>.</w:t>
            </w:r>
            <w:r w:rsidRPr="00FB2CA7">
              <w:rPr>
                <w:rFonts w:cs="Arial"/>
                <w:lang w:eastAsia="en-US"/>
              </w:rPr>
              <w:t>62</w:t>
            </w:r>
          </w:p>
        </w:tc>
        <w:tc>
          <w:tcPr>
            <w:tcW w:w="1844" w:type="dxa"/>
            <w:hideMark/>
          </w:tcPr>
          <w:p w14:paraId="626B2871" w14:textId="77777777" w:rsidR="008C707F" w:rsidRPr="00DC3779" w:rsidRDefault="008C707F" w:rsidP="00D72BBC">
            <w:pPr>
              <w:pStyle w:val="08-Tabelageral"/>
              <w:rPr>
                <w:rFonts w:cs="Arial"/>
                <w:lang w:eastAsia="en-US"/>
              </w:rPr>
            </w:pPr>
            <w:r>
              <w:rPr>
                <w:rFonts w:cs="Arial"/>
                <w:lang w:eastAsia="en-US"/>
              </w:rPr>
              <w:t>0.48</w:t>
            </w:r>
          </w:p>
        </w:tc>
      </w:tr>
    </w:tbl>
    <w:p w14:paraId="1ED62469" w14:textId="77777777" w:rsidR="008C707F" w:rsidRPr="00DC3779" w:rsidRDefault="008C707F" w:rsidP="00C155D5">
      <w:pPr>
        <w:pStyle w:val="07-Legenda"/>
        <w:rPr>
          <w:rFonts w:cs="Arial"/>
        </w:rPr>
      </w:pPr>
      <w:r w:rsidRPr="00DC3779">
        <w:rPr>
          <w:rFonts w:cs="Arial"/>
        </w:rPr>
        <w:t xml:space="preserve">(1) </w:t>
      </w:r>
      <w:r>
        <w:rPr>
          <w:rFonts w:cs="Arial"/>
        </w:rPr>
        <w:t>Standard negotiation</w:t>
      </w:r>
    </w:p>
    <w:p w14:paraId="183F9DFF" w14:textId="77777777" w:rsidR="008C707F" w:rsidRPr="00776837" w:rsidRDefault="008C707F" w:rsidP="00C81A16">
      <w:pPr>
        <w:pStyle w:val="01-Textonormal"/>
        <w:rPr>
          <w:rFonts w:cs="Arial"/>
          <w:color w:val="FF0000"/>
          <w:highlight w:val="yellow"/>
          <w:lang w:val="en-US"/>
        </w:rPr>
      </w:pPr>
    </w:p>
    <w:p w14:paraId="5B9D0EE9" w14:textId="77777777" w:rsidR="008C707F" w:rsidRDefault="008C707F" w:rsidP="00C81A16">
      <w:pPr>
        <w:pStyle w:val="03-SubttulodeNota"/>
        <w:spacing w:line="276" w:lineRule="auto"/>
        <w:rPr>
          <w:color w:val="1F4E79" w:themeColor="accent1" w:themeShade="80"/>
          <w:lang w:val="en-US"/>
        </w:rPr>
      </w:pPr>
      <w:r>
        <w:rPr>
          <w:color w:val="1F4E79" w:themeColor="accent1" w:themeShade="80"/>
          <w:lang w:val="en-US"/>
        </w:rPr>
        <w:t>Shareholders remuneration</w:t>
      </w:r>
    </w:p>
    <w:p w14:paraId="3351E13A" w14:textId="77777777" w:rsidR="008C707F" w:rsidRDefault="008C707F" w:rsidP="00A35C38">
      <w:pPr>
        <w:pStyle w:val="05-Textonormal"/>
        <w:rPr>
          <w:color w:val="000000" w:themeColor="text1"/>
          <w:lang w:val="en-US"/>
        </w:rPr>
      </w:pPr>
      <w:r>
        <w:rPr>
          <w:color w:val="000000" w:themeColor="text1"/>
          <w:lang w:val="en-US"/>
        </w:rPr>
        <w:t xml:space="preserve">In 2022, the payout ratio of </w:t>
      </w:r>
      <w:r w:rsidRPr="00A35C38">
        <w:rPr>
          <w:color w:val="000000" w:themeColor="text1"/>
          <w:lang w:val="en-US"/>
        </w:rPr>
        <w:t xml:space="preserve">BB Seguridade </w:t>
      </w:r>
      <w:r>
        <w:rPr>
          <w:color w:val="000000" w:themeColor="text1"/>
          <w:lang w:val="en-US"/>
        </w:rPr>
        <w:t xml:space="preserve">reached </w:t>
      </w:r>
      <w:r w:rsidRPr="00A35C38">
        <w:rPr>
          <w:color w:val="000000" w:themeColor="text1"/>
          <w:lang w:val="en-US"/>
        </w:rPr>
        <w:t>95.0%</w:t>
      </w:r>
      <w:r>
        <w:rPr>
          <w:color w:val="000000" w:themeColor="text1"/>
          <w:lang w:val="en-US"/>
        </w:rPr>
        <w:t>, totaling R$5.7 billion distributed as dividends, meaning R$2.87 paid per share. In 2021, the dividends amounted to R$1.44 per share.</w:t>
      </w:r>
    </w:p>
    <w:p w14:paraId="673A4D14" w14:textId="77777777" w:rsidR="008C707F" w:rsidRPr="00A35C38" w:rsidRDefault="008C707F" w:rsidP="00A35C38">
      <w:pPr>
        <w:pStyle w:val="05-Textonormal"/>
        <w:rPr>
          <w:color w:val="000000" w:themeColor="text1"/>
          <w:lang w:val="en-US"/>
        </w:rPr>
      </w:pPr>
      <w:r>
        <w:rPr>
          <w:color w:val="000000" w:themeColor="text1"/>
          <w:lang w:val="en-US"/>
        </w:rPr>
        <w:t xml:space="preserve"> </w:t>
      </w:r>
    </w:p>
    <w:p w14:paraId="42ABDE65" w14:textId="77777777" w:rsidR="008C707F" w:rsidRPr="00776837" w:rsidRDefault="008C707F" w:rsidP="00C81A16">
      <w:pPr>
        <w:pStyle w:val="03-SubttulodeNota"/>
        <w:spacing w:line="276" w:lineRule="auto"/>
        <w:rPr>
          <w:color w:val="1F4E79" w:themeColor="accent1" w:themeShade="80"/>
          <w:lang w:val="en-US"/>
        </w:rPr>
      </w:pPr>
      <w:r w:rsidRPr="00776837">
        <w:rPr>
          <w:color w:val="1F4E79" w:themeColor="accent1" w:themeShade="80"/>
          <w:lang w:val="en-US"/>
        </w:rPr>
        <w:t>Shares Buyback</w:t>
      </w:r>
    </w:p>
    <w:p w14:paraId="567F9245" w14:textId="77777777" w:rsidR="008C707F" w:rsidRPr="00776837" w:rsidRDefault="008C707F" w:rsidP="00C81A16">
      <w:pPr>
        <w:pStyle w:val="05-Textonormal"/>
        <w:rPr>
          <w:rFonts w:cs="Arial"/>
          <w:lang w:val="en-US"/>
        </w:rPr>
      </w:pPr>
      <w:r w:rsidRPr="00776837">
        <w:rPr>
          <w:rFonts w:cs="Arial"/>
          <w:lang w:val="en-US"/>
        </w:rPr>
        <w:t>Throughout 2022, there was no open</w:t>
      </w:r>
      <w:r>
        <w:rPr>
          <w:rFonts w:cs="Arial"/>
          <w:lang w:val="en-US"/>
        </w:rPr>
        <w:t>ed</w:t>
      </w:r>
      <w:r w:rsidRPr="00776837">
        <w:rPr>
          <w:rFonts w:cs="Arial"/>
          <w:lang w:val="en-US"/>
        </w:rPr>
        <w:t xml:space="preserve"> shares buyback program. As approved by the Extraordinary </w:t>
      </w:r>
      <w:r>
        <w:rPr>
          <w:rFonts w:cs="Arial"/>
          <w:lang w:val="en-US"/>
        </w:rPr>
        <w:t>Shareholders</w:t>
      </w:r>
      <w:r w:rsidRPr="00776837">
        <w:rPr>
          <w:rFonts w:cs="Arial"/>
          <w:lang w:val="en-US"/>
        </w:rPr>
        <w:t xml:space="preserve"> Meeting (“</w:t>
      </w:r>
      <w:r>
        <w:rPr>
          <w:rFonts w:cs="Arial"/>
          <w:lang w:val="en-US"/>
        </w:rPr>
        <w:t>ESM</w:t>
      </w:r>
      <w:r w:rsidRPr="00776837">
        <w:rPr>
          <w:rFonts w:cs="Arial"/>
          <w:lang w:val="en-US"/>
        </w:rPr>
        <w:t xml:space="preserve">”), held on 10.30.2019, treasury shares </w:t>
      </w:r>
      <w:bookmarkStart w:id="7" w:name="_Hlk62115926"/>
      <w:r w:rsidRPr="00776837">
        <w:rPr>
          <w:rFonts w:cs="Arial"/>
          <w:lang w:val="en-US"/>
        </w:rPr>
        <w:t xml:space="preserve">relating to buybacks carried out in previous years </w:t>
      </w:r>
      <w:bookmarkEnd w:id="7"/>
      <w:r w:rsidRPr="00776837">
        <w:rPr>
          <w:rFonts w:cs="Arial"/>
          <w:lang w:val="en-US"/>
        </w:rPr>
        <w:t>can be used specifically in employee</w:t>
      </w:r>
      <w:r>
        <w:rPr>
          <w:rFonts w:cs="Arial"/>
          <w:lang w:val="en-US"/>
        </w:rPr>
        <w:t xml:space="preserve"> and executive officers’</w:t>
      </w:r>
      <w:r w:rsidRPr="00776837">
        <w:rPr>
          <w:rFonts w:cs="Arial"/>
          <w:lang w:val="en-US"/>
        </w:rPr>
        <w:t xml:space="preserve"> variable compensation programs, up to a limit of 3,359,550 shares, being the Board of Directors responsible for establishing how to best implement the </w:t>
      </w:r>
      <w:r>
        <w:rPr>
          <w:rFonts w:cs="Arial"/>
          <w:lang w:val="en-US"/>
        </w:rPr>
        <w:t>use</w:t>
      </w:r>
      <w:r w:rsidRPr="00776837">
        <w:rPr>
          <w:rFonts w:cs="Arial"/>
          <w:lang w:val="en-US"/>
        </w:rPr>
        <w:t xml:space="preserve"> of these shares. </w:t>
      </w:r>
    </w:p>
    <w:p w14:paraId="771B4924" w14:textId="77777777" w:rsidR="008C707F" w:rsidRPr="00776837" w:rsidRDefault="008C707F" w:rsidP="00C81A16">
      <w:pPr>
        <w:pStyle w:val="05-Textonormal"/>
        <w:rPr>
          <w:rFonts w:cs="Arial"/>
          <w:lang w:val="en-US"/>
        </w:rPr>
      </w:pPr>
    </w:p>
    <w:p w14:paraId="6CD1CF61" w14:textId="77777777" w:rsidR="008C707F" w:rsidRPr="00776837" w:rsidRDefault="008C707F" w:rsidP="008C707F">
      <w:pPr>
        <w:pStyle w:val="01-TtulodeNota"/>
        <w:numPr>
          <w:ilvl w:val="0"/>
          <w:numId w:val="44"/>
        </w:numPr>
        <w:ind w:left="357" w:hanging="357"/>
        <w:rPr>
          <w:color w:val="1F4E79" w:themeColor="accent1" w:themeShade="80"/>
          <w:lang w:val="en-US"/>
        </w:rPr>
      </w:pPr>
      <w:r w:rsidRPr="00776837">
        <w:rPr>
          <w:color w:val="1F4E79" w:themeColor="accent1" w:themeShade="80"/>
          <w:lang w:val="en-US"/>
        </w:rPr>
        <w:t>STRATEGY</w:t>
      </w:r>
    </w:p>
    <w:p w14:paraId="480DAC42" w14:textId="77777777" w:rsidR="008C707F" w:rsidRPr="00776837" w:rsidRDefault="008C707F" w:rsidP="005B58D9">
      <w:pPr>
        <w:pStyle w:val="01-Textonormal"/>
        <w:rPr>
          <w:lang w:val="en-US"/>
        </w:rPr>
      </w:pPr>
      <w:r w:rsidRPr="00776837">
        <w:rPr>
          <w:lang w:val="en-US"/>
        </w:rPr>
        <w:t xml:space="preserve">BB Seguridade's strategy seeks to ensure the company's perpetuity, balancing short, medium and long-term efforts and preparing itself to face different prospective scenarios. </w:t>
      </w:r>
    </w:p>
    <w:p w14:paraId="4F9628BB" w14:textId="77777777" w:rsidR="008C707F" w:rsidRPr="00776837" w:rsidRDefault="008C707F" w:rsidP="005B58D9">
      <w:pPr>
        <w:pStyle w:val="01-Textonormal"/>
        <w:rPr>
          <w:lang w:val="en-US"/>
        </w:rPr>
      </w:pPr>
      <w:r w:rsidRPr="00776837">
        <w:rPr>
          <w:lang w:val="en-US"/>
        </w:rPr>
        <w:t xml:space="preserve">BB Seguridade's long-term strategy model consists of the following elements, which are reviewed on an annual basis or at any time as a result of facts that cause relevant changes in the scenarios, </w:t>
      </w:r>
      <w:r>
        <w:rPr>
          <w:lang w:val="en-US"/>
        </w:rPr>
        <w:t>increasing the company’s capability</w:t>
      </w:r>
      <w:r w:rsidRPr="00776837">
        <w:rPr>
          <w:lang w:val="en-US"/>
        </w:rPr>
        <w:t xml:space="preserve"> to anticipate and strategically respond to the changes:</w:t>
      </w:r>
    </w:p>
    <w:p w14:paraId="4EA57615" w14:textId="77777777" w:rsidR="008C707F" w:rsidRPr="00776837" w:rsidRDefault="008C707F" w:rsidP="008C707F">
      <w:pPr>
        <w:pStyle w:val="01-Textonormal"/>
        <w:numPr>
          <w:ilvl w:val="0"/>
          <w:numId w:val="42"/>
        </w:numPr>
        <w:rPr>
          <w:lang w:val="en-US"/>
        </w:rPr>
      </w:pPr>
      <w:r w:rsidRPr="00776837">
        <w:rPr>
          <w:lang w:val="en-US"/>
        </w:rPr>
        <w:t>the prospective scenarios, which contemplate the archetypes indicating the vectors of greater uncertainty inherent to the market in which BB Seguridade operates and its business model in the long-term perspective;</w:t>
      </w:r>
    </w:p>
    <w:p w14:paraId="3CAFEFE7" w14:textId="77777777" w:rsidR="008C707F" w:rsidRPr="00776837" w:rsidRDefault="008C707F" w:rsidP="008C707F">
      <w:pPr>
        <w:pStyle w:val="01-Textonormal"/>
        <w:numPr>
          <w:ilvl w:val="0"/>
          <w:numId w:val="42"/>
        </w:numPr>
        <w:rPr>
          <w:lang w:val="en-US"/>
        </w:rPr>
      </w:pPr>
      <w:r w:rsidRPr="00776837">
        <w:rPr>
          <w:lang w:val="en-US"/>
        </w:rPr>
        <w:t>the SWOT matrix, which consolidates internal and external factors and describes the competitive environment in which the company operates;</w:t>
      </w:r>
    </w:p>
    <w:p w14:paraId="44933674" w14:textId="77777777" w:rsidR="008C707F" w:rsidRPr="00776837" w:rsidRDefault="008C707F" w:rsidP="008C707F">
      <w:pPr>
        <w:pStyle w:val="01-Textonormal"/>
        <w:numPr>
          <w:ilvl w:val="0"/>
          <w:numId w:val="42"/>
        </w:numPr>
        <w:rPr>
          <w:lang w:val="en-US"/>
        </w:rPr>
      </w:pPr>
      <w:r w:rsidRPr="00776837">
        <w:rPr>
          <w:lang w:val="en-US"/>
        </w:rPr>
        <w:t>the mission, which throughout 2022 was "Protect assets, achievements and projects";</w:t>
      </w:r>
    </w:p>
    <w:p w14:paraId="5E9CC932" w14:textId="77777777" w:rsidR="008C707F" w:rsidRPr="00776837" w:rsidRDefault="008C707F" w:rsidP="008C707F">
      <w:pPr>
        <w:pStyle w:val="01-Textonormal"/>
        <w:numPr>
          <w:ilvl w:val="0"/>
          <w:numId w:val="42"/>
        </w:numPr>
        <w:rPr>
          <w:lang w:val="en-US"/>
        </w:rPr>
      </w:pPr>
      <w:r w:rsidRPr="00776837">
        <w:rPr>
          <w:lang w:val="en-US"/>
        </w:rPr>
        <w:t xml:space="preserve">the vision: “We transform people's lives through the best protection ecosystem. We are a </w:t>
      </w:r>
      <w:r>
        <w:rPr>
          <w:lang w:val="en-US"/>
        </w:rPr>
        <w:t>lean</w:t>
      </w:r>
      <w:r w:rsidRPr="00776837">
        <w:rPr>
          <w:lang w:val="en-US"/>
        </w:rPr>
        <w:t xml:space="preserve"> company that generates sustainable value;”</w:t>
      </w:r>
    </w:p>
    <w:p w14:paraId="3FDF60D3" w14:textId="77777777" w:rsidR="008C707F" w:rsidRPr="00776837" w:rsidRDefault="008C707F" w:rsidP="008C707F">
      <w:pPr>
        <w:pStyle w:val="01-Textonormal"/>
        <w:numPr>
          <w:ilvl w:val="0"/>
          <w:numId w:val="42"/>
        </w:numPr>
        <w:rPr>
          <w:lang w:val="en-US"/>
        </w:rPr>
      </w:pPr>
      <w:r w:rsidRPr="00776837">
        <w:rPr>
          <w:lang w:val="en-US"/>
        </w:rPr>
        <w:t xml:space="preserve">the values, which are a set of behaviors and mental attitudes that guide our actions: reliability, </w:t>
      </w:r>
      <w:r>
        <w:rPr>
          <w:lang w:val="en-US"/>
        </w:rPr>
        <w:t>owner attitude</w:t>
      </w:r>
      <w:r w:rsidRPr="00776837">
        <w:rPr>
          <w:lang w:val="en-US"/>
        </w:rPr>
        <w:t xml:space="preserve">, innovation, respect for the </w:t>
      </w:r>
      <w:r>
        <w:rPr>
          <w:lang w:val="en-US"/>
        </w:rPr>
        <w:t>customer</w:t>
      </w:r>
      <w:r w:rsidRPr="00776837">
        <w:rPr>
          <w:lang w:val="en-US"/>
        </w:rPr>
        <w:t xml:space="preserve"> and simplicity; and</w:t>
      </w:r>
    </w:p>
    <w:p w14:paraId="77925A70" w14:textId="77777777" w:rsidR="008C707F" w:rsidRPr="00776837" w:rsidRDefault="008C707F" w:rsidP="008C707F">
      <w:pPr>
        <w:pStyle w:val="01-Textonormal"/>
        <w:numPr>
          <w:ilvl w:val="0"/>
          <w:numId w:val="42"/>
        </w:numPr>
        <w:rPr>
          <w:lang w:val="en-US"/>
        </w:rPr>
      </w:pPr>
      <w:r w:rsidRPr="00776837">
        <w:rPr>
          <w:lang w:val="en-US"/>
        </w:rPr>
        <w:t xml:space="preserve">the strategic goals, which promote the strategic alignment with Banco do Brasil and invested companies and define how and when the challenges will be overcome; optimize the understanding, focus and </w:t>
      </w:r>
      <w:r>
        <w:rPr>
          <w:lang w:val="en-US"/>
        </w:rPr>
        <w:t>execution of</w:t>
      </w:r>
      <w:r w:rsidRPr="00776837">
        <w:rPr>
          <w:lang w:val="en-US"/>
        </w:rPr>
        <w:t xml:space="preserve"> the strategy at BB Seguridade; and present metrics, indicators and key results, which measure the results achieved and the performance of the company in relation to the objectives.</w:t>
      </w:r>
    </w:p>
    <w:p w14:paraId="44A46815" w14:textId="77777777" w:rsidR="008C707F" w:rsidRPr="00776837" w:rsidRDefault="008C707F" w:rsidP="005B58D9">
      <w:pPr>
        <w:pStyle w:val="01-Textonormal"/>
        <w:rPr>
          <w:lang w:val="en-US"/>
        </w:rPr>
      </w:pPr>
      <w:r w:rsidRPr="00776837">
        <w:rPr>
          <w:lang w:val="en-US"/>
        </w:rPr>
        <w:t>In 202</w:t>
      </w:r>
      <w:r>
        <w:rPr>
          <w:lang w:val="en-US"/>
        </w:rPr>
        <w:t>2</w:t>
      </w:r>
      <w:r w:rsidRPr="00776837">
        <w:rPr>
          <w:lang w:val="en-US"/>
        </w:rPr>
        <w:t>, after the review process carried out at the end of the previous year to cover the cycle 202</w:t>
      </w:r>
      <w:r>
        <w:rPr>
          <w:lang w:val="en-US"/>
        </w:rPr>
        <w:t>2</w:t>
      </w:r>
      <w:r w:rsidRPr="00776837">
        <w:rPr>
          <w:lang w:val="en-US"/>
        </w:rPr>
        <w:t>-202</w:t>
      </w:r>
      <w:r>
        <w:rPr>
          <w:lang w:val="en-US"/>
        </w:rPr>
        <w:t>6</w:t>
      </w:r>
      <w:r w:rsidRPr="00776837">
        <w:rPr>
          <w:lang w:val="en-US"/>
        </w:rPr>
        <w:t>, the strategic goals that guided BB Seguridade's actions are presented below:</w:t>
      </w:r>
    </w:p>
    <w:p w14:paraId="7239CEF5" w14:textId="77777777" w:rsidR="008C707F" w:rsidRPr="00776837" w:rsidRDefault="008C707F" w:rsidP="008C707F">
      <w:pPr>
        <w:pStyle w:val="01-Textonormal"/>
        <w:numPr>
          <w:ilvl w:val="0"/>
          <w:numId w:val="47"/>
        </w:numPr>
        <w:rPr>
          <w:lang w:val="en-US"/>
        </w:rPr>
      </w:pPr>
      <w:r w:rsidRPr="00776837">
        <w:rPr>
          <w:lang w:val="en-US"/>
        </w:rPr>
        <w:t>to be l</w:t>
      </w:r>
      <w:r>
        <w:rPr>
          <w:lang w:val="en-US"/>
        </w:rPr>
        <w:t>ean</w:t>
      </w:r>
      <w:r w:rsidRPr="00776837">
        <w:rPr>
          <w:lang w:val="en-US"/>
        </w:rPr>
        <w:t xml:space="preserve"> and efficient</w:t>
      </w:r>
      <w:r>
        <w:rPr>
          <w:lang w:val="en-US"/>
        </w:rPr>
        <w:t xml:space="preserve">, </w:t>
      </w:r>
      <w:r w:rsidRPr="00776837">
        <w:rPr>
          <w:lang w:val="en-US"/>
        </w:rPr>
        <w:t>rely</w:t>
      </w:r>
      <w:r>
        <w:rPr>
          <w:lang w:val="en-US"/>
        </w:rPr>
        <w:t>ing</w:t>
      </w:r>
      <w:r w:rsidRPr="00776837">
        <w:rPr>
          <w:lang w:val="en-US"/>
        </w:rPr>
        <w:t xml:space="preserve"> on a lean structure and simple processes, with high value creation;</w:t>
      </w:r>
    </w:p>
    <w:p w14:paraId="2EC58B56" w14:textId="77777777" w:rsidR="008C707F" w:rsidRPr="00776837" w:rsidRDefault="008C707F" w:rsidP="008C707F">
      <w:pPr>
        <w:pStyle w:val="01-Textonormal"/>
        <w:numPr>
          <w:ilvl w:val="0"/>
          <w:numId w:val="47"/>
        </w:numPr>
        <w:rPr>
          <w:lang w:val="en-US"/>
        </w:rPr>
      </w:pPr>
      <w:r w:rsidRPr="00776837">
        <w:rPr>
          <w:lang w:val="en-US"/>
        </w:rPr>
        <w:t xml:space="preserve">to turn </w:t>
      </w:r>
      <w:r>
        <w:rPr>
          <w:lang w:val="en-US"/>
        </w:rPr>
        <w:t>customers</w:t>
      </w:r>
      <w:r w:rsidRPr="00776837">
        <w:rPr>
          <w:lang w:val="en-US"/>
        </w:rPr>
        <w:t xml:space="preserve"> into fans</w:t>
      </w:r>
      <w:r>
        <w:rPr>
          <w:lang w:val="en-US"/>
        </w:rPr>
        <w:t xml:space="preserve">, </w:t>
      </w:r>
      <w:r w:rsidRPr="00776837">
        <w:rPr>
          <w:lang w:val="en-US"/>
        </w:rPr>
        <w:t>offer</w:t>
      </w:r>
      <w:r>
        <w:rPr>
          <w:lang w:val="en-US"/>
        </w:rPr>
        <w:t>ing</w:t>
      </w:r>
      <w:r w:rsidRPr="00776837">
        <w:rPr>
          <w:lang w:val="en-US"/>
        </w:rPr>
        <w:t xml:space="preserve"> products, services, journeys, and relationships that generate client </w:t>
      </w:r>
      <w:r>
        <w:rPr>
          <w:lang w:val="en-US"/>
        </w:rPr>
        <w:t>satisfaction</w:t>
      </w:r>
      <w:r w:rsidRPr="00776837">
        <w:rPr>
          <w:lang w:val="en-US"/>
        </w:rPr>
        <w:t>;</w:t>
      </w:r>
    </w:p>
    <w:p w14:paraId="6B7F1F4E" w14:textId="77777777" w:rsidR="008C707F" w:rsidRPr="00776837" w:rsidRDefault="008C707F" w:rsidP="008C707F">
      <w:pPr>
        <w:pStyle w:val="01-Textonormal"/>
        <w:numPr>
          <w:ilvl w:val="0"/>
          <w:numId w:val="47"/>
        </w:numPr>
        <w:rPr>
          <w:lang w:val="en-US"/>
        </w:rPr>
      </w:pPr>
      <w:r w:rsidRPr="00776837">
        <w:rPr>
          <w:lang w:val="en-US"/>
        </w:rPr>
        <w:t xml:space="preserve">to </w:t>
      </w:r>
      <w:r>
        <w:rPr>
          <w:lang w:val="en-US"/>
        </w:rPr>
        <w:t>attract</w:t>
      </w:r>
      <w:r w:rsidRPr="00776837">
        <w:rPr>
          <w:lang w:val="en-US"/>
        </w:rPr>
        <w:t xml:space="preserve"> more c</w:t>
      </w:r>
      <w:r>
        <w:rPr>
          <w:lang w:val="en-US"/>
        </w:rPr>
        <w:t>ustomers</w:t>
      </w:r>
      <w:r w:rsidRPr="00776837">
        <w:rPr>
          <w:lang w:val="en-US"/>
        </w:rPr>
        <w:t xml:space="preserve"> wherever they are</w:t>
      </w:r>
      <w:r>
        <w:rPr>
          <w:lang w:val="en-US"/>
        </w:rPr>
        <w:t>,</w:t>
      </w:r>
      <w:r w:rsidRPr="00776837">
        <w:rPr>
          <w:lang w:val="en-US"/>
        </w:rPr>
        <w:t xml:space="preserve"> transform</w:t>
      </w:r>
      <w:r>
        <w:rPr>
          <w:lang w:val="en-US"/>
        </w:rPr>
        <w:t>ing</w:t>
      </w:r>
      <w:r w:rsidRPr="00776837">
        <w:rPr>
          <w:lang w:val="en-US"/>
        </w:rPr>
        <w:t xml:space="preserve"> BB Corretora into an efficient and independent sales machine;</w:t>
      </w:r>
    </w:p>
    <w:p w14:paraId="06E0F4F7" w14:textId="77777777" w:rsidR="008C707F" w:rsidRPr="00776837" w:rsidRDefault="008C707F" w:rsidP="008C707F">
      <w:pPr>
        <w:pStyle w:val="01-Textonormal"/>
        <w:numPr>
          <w:ilvl w:val="0"/>
          <w:numId w:val="47"/>
        </w:numPr>
        <w:rPr>
          <w:lang w:val="en-US"/>
        </w:rPr>
      </w:pPr>
      <w:r w:rsidRPr="00776837">
        <w:rPr>
          <w:lang w:val="en-US"/>
        </w:rPr>
        <w:t>to connect and accelerate digital</w:t>
      </w:r>
      <w:r>
        <w:rPr>
          <w:lang w:val="en-US"/>
        </w:rPr>
        <w:t>,</w:t>
      </w:r>
      <w:r w:rsidRPr="00776837">
        <w:rPr>
          <w:lang w:val="en-US"/>
        </w:rPr>
        <w:t xml:space="preserve"> </w:t>
      </w:r>
      <w:r>
        <w:rPr>
          <w:lang w:val="en-US"/>
        </w:rPr>
        <w:t xml:space="preserve">turning </w:t>
      </w:r>
      <w:r w:rsidRPr="00776837">
        <w:rPr>
          <w:lang w:val="en-US"/>
        </w:rPr>
        <w:t xml:space="preserve">digital transformation </w:t>
      </w:r>
      <w:r>
        <w:rPr>
          <w:lang w:val="en-US"/>
        </w:rPr>
        <w:t xml:space="preserve">into </w:t>
      </w:r>
      <w:r w:rsidRPr="00776837">
        <w:rPr>
          <w:lang w:val="en-US"/>
        </w:rPr>
        <w:t xml:space="preserve">growth and experience </w:t>
      </w:r>
      <w:r>
        <w:rPr>
          <w:lang w:val="en-US"/>
        </w:rPr>
        <w:t>enabler</w:t>
      </w:r>
      <w:r w:rsidRPr="00776837">
        <w:rPr>
          <w:lang w:val="en-US"/>
        </w:rPr>
        <w:t xml:space="preserve">; and </w:t>
      </w:r>
    </w:p>
    <w:p w14:paraId="7F22647E" w14:textId="77777777" w:rsidR="008C707F" w:rsidRPr="00776837" w:rsidRDefault="008C707F" w:rsidP="008C707F">
      <w:pPr>
        <w:pStyle w:val="01-Textonormal"/>
        <w:numPr>
          <w:ilvl w:val="0"/>
          <w:numId w:val="47"/>
        </w:numPr>
        <w:rPr>
          <w:lang w:val="en-US"/>
        </w:rPr>
      </w:pPr>
      <w:r w:rsidRPr="00776837">
        <w:rPr>
          <w:lang w:val="en-US"/>
        </w:rPr>
        <w:t>to experiment</w:t>
      </w:r>
      <w:r>
        <w:rPr>
          <w:lang w:val="en-US"/>
        </w:rPr>
        <w:t xml:space="preserve"> fearlessly to hit the bull eyes,</w:t>
      </w:r>
      <w:r w:rsidRPr="00776837">
        <w:rPr>
          <w:lang w:val="en-US"/>
        </w:rPr>
        <w:t xml:space="preserve"> maintain</w:t>
      </w:r>
      <w:r>
        <w:rPr>
          <w:lang w:val="en-US"/>
        </w:rPr>
        <w:t>ing</w:t>
      </w:r>
      <w:r w:rsidRPr="00776837">
        <w:rPr>
          <w:lang w:val="en-US"/>
        </w:rPr>
        <w:t xml:space="preserve"> a path of improvement and exploration that ensures a valuable and sustainable portfolio.</w:t>
      </w:r>
    </w:p>
    <w:p w14:paraId="657641E3" w14:textId="77777777" w:rsidR="008C707F" w:rsidRPr="00776837" w:rsidRDefault="008C707F" w:rsidP="005B58D9">
      <w:pPr>
        <w:jc w:val="both"/>
        <w:rPr>
          <w:lang w:val="en-US"/>
        </w:rPr>
      </w:pPr>
      <w:r w:rsidRPr="00776837">
        <w:rPr>
          <w:lang w:val="en-US"/>
        </w:rPr>
        <w:lastRenderedPageBreak/>
        <w:t>These objectives were the drivers of the company's actions regarding the main challenges mapped out for the strategic cycle</w:t>
      </w:r>
      <w:r>
        <w:rPr>
          <w:lang w:val="en-US"/>
        </w:rPr>
        <w:t>. They can be consolidated in</w:t>
      </w:r>
      <w:r w:rsidRPr="00776837">
        <w:rPr>
          <w:lang w:val="en-US"/>
        </w:rPr>
        <w:t xml:space="preserve"> three pillars: i) technological modernization and digital transformation, ii) channel diversification, and iii) improvement of the client experience.</w:t>
      </w:r>
    </w:p>
    <w:p w14:paraId="04CA9515" w14:textId="77777777" w:rsidR="008C707F" w:rsidRPr="00776837" w:rsidRDefault="008C707F" w:rsidP="005B58D9">
      <w:pPr>
        <w:jc w:val="both"/>
        <w:rPr>
          <w:lang w:val="en-US"/>
        </w:rPr>
      </w:pPr>
      <w:r w:rsidRPr="00776837">
        <w:rPr>
          <w:lang w:val="en-US"/>
        </w:rPr>
        <w:t xml:space="preserve">These strategic </w:t>
      </w:r>
      <w:r>
        <w:rPr>
          <w:lang w:val="en-US"/>
        </w:rPr>
        <w:t>objectives</w:t>
      </w:r>
      <w:r w:rsidRPr="00776837">
        <w:rPr>
          <w:lang w:val="en-US"/>
        </w:rPr>
        <w:t xml:space="preserve"> were monitored by an instrument internally called </w:t>
      </w:r>
      <w:r>
        <w:rPr>
          <w:lang w:val="en-US"/>
        </w:rPr>
        <w:t>“</w:t>
      </w:r>
      <w:r w:rsidRPr="00776837">
        <w:rPr>
          <w:lang w:val="en-US"/>
        </w:rPr>
        <w:t>Zênite</w:t>
      </w:r>
      <w:r>
        <w:rPr>
          <w:lang w:val="en-US"/>
        </w:rPr>
        <w:t>”</w:t>
      </w:r>
      <w:r w:rsidRPr="00776837">
        <w:rPr>
          <w:lang w:val="en-US"/>
        </w:rPr>
        <w:t>, which is composed of key results (KRs) within each objective.</w:t>
      </w:r>
      <w:r>
        <w:rPr>
          <w:lang w:val="en-US"/>
        </w:rPr>
        <w:t xml:space="preserve"> This instrument guides the decisions during the year. </w:t>
      </w:r>
      <w:r w:rsidRPr="00776837">
        <w:rPr>
          <w:lang w:val="en-US"/>
        </w:rPr>
        <w:t xml:space="preserve"> </w:t>
      </w:r>
    </w:p>
    <w:p w14:paraId="6AC60484" w14:textId="77777777" w:rsidR="008C707F" w:rsidRPr="00776837" w:rsidRDefault="008C707F" w:rsidP="005B58D9">
      <w:pPr>
        <w:pStyle w:val="01-Textonormal"/>
        <w:rPr>
          <w:lang w:val="en-US"/>
        </w:rPr>
      </w:pPr>
      <w:r w:rsidRPr="00776837">
        <w:rPr>
          <w:lang w:val="en-US"/>
        </w:rPr>
        <w:t xml:space="preserve">For 2023, the </w:t>
      </w:r>
      <w:r>
        <w:rPr>
          <w:lang w:val="en-US"/>
        </w:rPr>
        <w:t xml:space="preserve">strategic </w:t>
      </w:r>
      <w:r w:rsidRPr="00776837">
        <w:rPr>
          <w:lang w:val="en-US"/>
        </w:rPr>
        <w:t>review to contemplate the</w:t>
      </w:r>
      <w:r>
        <w:rPr>
          <w:lang w:val="en-US"/>
        </w:rPr>
        <w:t xml:space="preserve"> cycle</w:t>
      </w:r>
      <w:r w:rsidRPr="00776837">
        <w:rPr>
          <w:lang w:val="en-US"/>
        </w:rPr>
        <w:t xml:space="preserve"> 2023-2027 was carried out in a participative way, with the support of different areas of BB Seguridade and the investe</w:t>
      </w:r>
      <w:r>
        <w:rPr>
          <w:lang w:val="en-US"/>
        </w:rPr>
        <w:t>e</w:t>
      </w:r>
      <w:r w:rsidRPr="00776837">
        <w:rPr>
          <w:lang w:val="en-US"/>
        </w:rPr>
        <w:t xml:space="preserve"> companies. At the end of this work, the strategic elements were revised, excluding the mission and including the purpose: "providing </w:t>
      </w:r>
      <w:r>
        <w:rPr>
          <w:lang w:val="en-US"/>
        </w:rPr>
        <w:t>tranquility</w:t>
      </w:r>
      <w:r w:rsidRPr="00776837">
        <w:rPr>
          <w:lang w:val="en-US"/>
        </w:rPr>
        <w:t xml:space="preserve"> for people</w:t>
      </w:r>
      <w:r>
        <w:rPr>
          <w:lang w:val="en-US"/>
        </w:rPr>
        <w:t>,</w:t>
      </w:r>
      <w:r w:rsidRPr="00776837">
        <w:rPr>
          <w:lang w:val="en-US"/>
        </w:rPr>
        <w:t xml:space="preserve"> today and always</w:t>
      </w:r>
      <w:r>
        <w:rPr>
          <w:lang w:val="en-US"/>
        </w:rPr>
        <w:t>”</w:t>
      </w:r>
      <w:r w:rsidRPr="00776837">
        <w:rPr>
          <w:lang w:val="en-US"/>
        </w:rPr>
        <w:t>.</w:t>
      </w:r>
    </w:p>
    <w:p w14:paraId="49A83D81" w14:textId="77777777" w:rsidR="008C707F" w:rsidRPr="00776837" w:rsidRDefault="008C707F" w:rsidP="005B58D9">
      <w:pPr>
        <w:pStyle w:val="01-Textonormal"/>
        <w:rPr>
          <w:lang w:val="en-US"/>
        </w:rPr>
      </w:pPr>
      <w:r w:rsidRPr="00776837">
        <w:rPr>
          <w:lang w:val="en-US"/>
        </w:rPr>
        <w:t>Additionally, it is worth highlighting the following challenges detected for the next strategic cycle</w:t>
      </w:r>
      <w:r>
        <w:rPr>
          <w:lang w:val="en-US"/>
        </w:rPr>
        <w:t>,</w:t>
      </w:r>
      <w:r w:rsidRPr="00776837">
        <w:rPr>
          <w:lang w:val="en-US"/>
        </w:rPr>
        <w:t xml:space="preserve"> which will be monitored with special attention: client</w:t>
      </w:r>
      <w:r>
        <w:rPr>
          <w:lang w:val="en-US"/>
        </w:rPr>
        <w:t xml:space="preserve"> centricity</w:t>
      </w:r>
      <w:r w:rsidRPr="00776837">
        <w:rPr>
          <w:lang w:val="en-US"/>
        </w:rPr>
        <w:t xml:space="preserve">; intensive use of data and </w:t>
      </w:r>
      <w:r w:rsidRPr="00776837">
        <w:rPr>
          <w:i/>
          <w:iCs/>
          <w:lang w:val="en-US"/>
        </w:rPr>
        <w:t>analytics</w:t>
      </w:r>
      <w:r w:rsidRPr="00776837">
        <w:rPr>
          <w:lang w:val="en-US"/>
        </w:rPr>
        <w:t xml:space="preserve">, with intensification of actions and </w:t>
      </w:r>
      <w:r w:rsidRPr="00776837">
        <w:rPr>
          <w:i/>
          <w:iCs/>
          <w:lang w:val="en-US"/>
        </w:rPr>
        <w:t>data driven</w:t>
      </w:r>
      <w:r w:rsidRPr="00776837">
        <w:rPr>
          <w:lang w:val="en-US"/>
        </w:rPr>
        <w:t xml:space="preserve"> positioning; risk management; employee experience; people development and succession; new partnerships; environmental, social and governance aspects (“</w:t>
      </w:r>
      <w:r>
        <w:rPr>
          <w:lang w:val="en-US"/>
        </w:rPr>
        <w:t>E</w:t>
      </w:r>
      <w:r w:rsidRPr="00776837">
        <w:rPr>
          <w:lang w:val="en-US"/>
        </w:rPr>
        <w:t>SG”), which becomes part of the objective “</w:t>
      </w:r>
      <w:r>
        <w:rPr>
          <w:lang w:val="en-US"/>
        </w:rPr>
        <w:t>To b</w:t>
      </w:r>
      <w:r w:rsidRPr="00776837">
        <w:rPr>
          <w:lang w:val="en-US"/>
        </w:rPr>
        <w:t xml:space="preserve">e </w:t>
      </w:r>
      <w:r>
        <w:rPr>
          <w:lang w:val="en-US"/>
        </w:rPr>
        <w:t>lean</w:t>
      </w:r>
      <w:r w:rsidRPr="00776837">
        <w:rPr>
          <w:lang w:val="en-US"/>
        </w:rPr>
        <w:t xml:space="preserve">, efficient and sustainable”, with a key indicator for expansion of sustainable business through investments, new products and assistance or benefits in existing products; and portfolio management and innovation. For this last challenge, the new strategic </w:t>
      </w:r>
      <w:r>
        <w:rPr>
          <w:lang w:val="en-US"/>
        </w:rPr>
        <w:t>objective</w:t>
      </w:r>
      <w:r w:rsidRPr="00776837">
        <w:rPr>
          <w:lang w:val="en-US"/>
        </w:rPr>
        <w:t xml:space="preserve"> "Driving Innovation" was declared, aiming to strengthen and materialize the company's innovation initiatives, seeking new businesses and the constant improvement of existing processes and businesses, as well as alignment with market trends and changes. To this end, projects that seek to drive the execution of innovation in the company were declared, making the theme permeate all areas and not be an isolated process.</w:t>
      </w:r>
    </w:p>
    <w:p w14:paraId="564C59F3" w14:textId="77777777" w:rsidR="008C707F" w:rsidRPr="00776837" w:rsidRDefault="008C707F" w:rsidP="005B58D9">
      <w:pPr>
        <w:pStyle w:val="01-Textonormal"/>
        <w:rPr>
          <w:lang w:val="en-US"/>
        </w:rPr>
      </w:pPr>
    </w:p>
    <w:p w14:paraId="4A23A22F" w14:textId="77777777" w:rsidR="008C707F" w:rsidRPr="00776837" w:rsidRDefault="008C707F" w:rsidP="00F5692C">
      <w:pPr>
        <w:pStyle w:val="03-SubttulodeNota"/>
        <w:rPr>
          <w:color w:val="1F4E79" w:themeColor="accent1" w:themeShade="80"/>
          <w:lang w:val="en-US"/>
        </w:rPr>
      </w:pPr>
      <w:r w:rsidRPr="00776837">
        <w:rPr>
          <w:color w:val="1F4E79" w:themeColor="accent1" w:themeShade="80"/>
          <w:lang w:val="en-US"/>
        </w:rPr>
        <w:t>Technological Modernization and Digital Transformation</w:t>
      </w:r>
    </w:p>
    <w:p w14:paraId="5411B5EC" w14:textId="77777777" w:rsidR="008C707F" w:rsidRPr="00776837" w:rsidRDefault="008C707F" w:rsidP="00F733B3">
      <w:pPr>
        <w:jc w:val="both"/>
        <w:rPr>
          <w:lang w:val="en-US"/>
        </w:rPr>
      </w:pPr>
      <w:r w:rsidRPr="00776837">
        <w:rPr>
          <w:lang w:val="en-US"/>
        </w:rPr>
        <w:t xml:space="preserve">At BB Seguridade, digital transformation, innovation, and technological modernization are constant and transversal in its processes. The Company believes that technology is the enabler of transformations and a lever for the evolution of its strategy and commercial potential. </w:t>
      </w:r>
    </w:p>
    <w:p w14:paraId="467CF833" w14:textId="77777777" w:rsidR="008C707F" w:rsidRPr="00776837" w:rsidRDefault="008C707F" w:rsidP="00F733B3">
      <w:pPr>
        <w:pStyle w:val="01-Textonormal"/>
        <w:rPr>
          <w:lang w:val="en-US"/>
        </w:rPr>
      </w:pPr>
      <w:r w:rsidRPr="00776837">
        <w:rPr>
          <w:lang w:val="en-US"/>
        </w:rPr>
        <w:t xml:space="preserve">The digital transformation model is based, in a balanced way, on the optimization of existing processes and on the transformation of impact, with focus on value generation, improving client experience and gaining efficiency, as well as expanding the capacity to generate sustainable business. </w:t>
      </w:r>
    </w:p>
    <w:p w14:paraId="434A91B9" w14:textId="77777777" w:rsidR="008C707F" w:rsidRPr="00776837" w:rsidRDefault="008C707F" w:rsidP="00F733B3">
      <w:pPr>
        <w:pStyle w:val="01-Textonormal"/>
        <w:rPr>
          <w:lang w:val="en-US"/>
        </w:rPr>
      </w:pPr>
      <w:r w:rsidRPr="00776837">
        <w:rPr>
          <w:lang w:val="en-US"/>
        </w:rPr>
        <w:t xml:space="preserve">The digital transformation, technology, and innovation themes are </w:t>
      </w:r>
      <w:r>
        <w:rPr>
          <w:lang w:val="en-US"/>
        </w:rPr>
        <w:t xml:space="preserve">declared </w:t>
      </w:r>
      <w:r w:rsidRPr="00776837">
        <w:rPr>
          <w:lang w:val="en-US"/>
        </w:rPr>
        <w:t>in the corporate strategy through the dedicated pillars "</w:t>
      </w:r>
      <w:r>
        <w:rPr>
          <w:lang w:val="en-US"/>
        </w:rPr>
        <w:t>To Connect and Accelerate Digital</w:t>
      </w:r>
      <w:r w:rsidRPr="00776837">
        <w:rPr>
          <w:lang w:val="en-US"/>
        </w:rPr>
        <w:t>" and "</w:t>
      </w:r>
      <w:r>
        <w:rPr>
          <w:lang w:val="en-US"/>
        </w:rPr>
        <w:t>To Experiment Fearlessly to hit the bull eyes</w:t>
      </w:r>
      <w:r w:rsidRPr="00776837">
        <w:rPr>
          <w:lang w:val="en-US"/>
        </w:rPr>
        <w:t>",</w:t>
      </w:r>
      <w:r>
        <w:rPr>
          <w:lang w:val="en-US"/>
        </w:rPr>
        <w:t xml:space="preserve"> </w:t>
      </w:r>
      <w:r w:rsidRPr="00776837">
        <w:rPr>
          <w:lang w:val="en-US"/>
        </w:rPr>
        <w:t>and permeate the other</w:t>
      </w:r>
      <w:r>
        <w:rPr>
          <w:lang w:val="en-US"/>
        </w:rPr>
        <w:t xml:space="preserve"> strategic</w:t>
      </w:r>
      <w:r w:rsidRPr="00776837">
        <w:rPr>
          <w:lang w:val="en-US"/>
        </w:rPr>
        <w:t xml:space="preserve"> pillars as enabling tools for generating solutions and value. </w:t>
      </w:r>
    </w:p>
    <w:p w14:paraId="1EC52DD7" w14:textId="77777777" w:rsidR="008C707F" w:rsidRPr="00776837" w:rsidRDefault="008C707F" w:rsidP="00F733B3">
      <w:pPr>
        <w:pStyle w:val="01-Textonormal"/>
        <w:rPr>
          <w:lang w:val="en-US"/>
        </w:rPr>
      </w:pPr>
      <w:r w:rsidRPr="00776837">
        <w:rPr>
          <w:lang w:val="en-US"/>
        </w:rPr>
        <w:t>In 2022, over R$</w:t>
      </w:r>
      <w:r>
        <w:rPr>
          <w:lang w:val="en-US"/>
        </w:rPr>
        <w:t>565</w:t>
      </w:r>
      <w:r w:rsidRPr="00776837">
        <w:rPr>
          <w:lang w:val="en-US"/>
        </w:rPr>
        <w:t xml:space="preserve"> million were invested in digital transformation and in the development of solutions and platform ecosystems in the BB Seguridade conglomerate, focusing on the evolution and consolidation of the technological structure and integration with new channels from a service-oriented and cloud-based architecture. </w:t>
      </w:r>
      <w:bookmarkStart w:id="8" w:name="_Hlk122700163"/>
      <w:r w:rsidRPr="00776837">
        <w:rPr>
          <w:lang w:val="en-US"/>
        </w:rPr>
        <w:t xml:space="preserve">The new products in the portfolio are launched based on the new architecture, while the existing ones have an assessment routine in course. At the close of 2021, </w:t>
      </w:r>
      <w:r>
        <w:rPr>
          <w:lang w:val="en-US"/>
        </w:rPr>
        <w:t xml:space="preserve">one third </w:t>
      </w:r>
      <w:r w:rsidRPr="00776837">
        <w:rPr>
          <w:lang w:val="en-US"/>
        </w:rPr>
        <w:t>of the product</w:t>
      </w:r>
      <w:r>
        <w:rPr>
          <w:lang w:val="en-US"/>
        </w:rPr>
        <w:t>s</w:t>
      </w:r>
      <w:r w:rsidRPr="00776837">
        <w:rPr>
          <w:lang w:val="en-US"/>
        </w:rPr>
        <w:t xml:space="preserve"> w</w:t>
      </w:r>
      <w:r>
        <w:rPr>
          <w:lang w:val="en-US"/>
        </w:rPr>
        <w:t>ere</w:t>
      </w:r>
      <w:r w:rsidRPr="00776837">
        <w:rPr>
          <w:lang w:val="en-US"/>
        </w:rPr>
        <w:t xml:space="preserve"> on the new architecture, while 2022 closed with the main </w:t>
      </w:r>
      <w:r>
        <w:rPr>
          <w:lang w:val="en-US"/>
        </w:rPr>
        <w:t xml:space="preserve">business </w:t>
      </w:r>
      <w:r w:rsidRPr="00776837">
        <w:rPr>
          <w:lang w:val="en-US"/>
        </w:rPr>
        <w:t>lines in this condition.</w:t>
      </w:r>
      <w:bookmarkEnd w:id="8"/>
      <w:r w:rsidRPr="00776837">
        <w:rPr>
          <w:lang w:val="en-US"/>
        </w:rPr>
        <w:t xml:space="preserve"> The migration for the new architecture, more agile and flexible, allows</w:t>
      </w:r>
      <w:r>
        <w:rPr>
          <w:lang w:val="en-US"/>
        </w:rPr>
        <w:t xml:space="preserve"> </w:t>
      </w:r>
      <w:r w:rsidRPr="00776837">
        <w:rPr>
          <w:lang w:val="en-US"/>
        </w:rPr>
        <w:t>for a more efficient portfolio management, with l</w:t>
      </w:r>
      <w:r>
        <w:rPr>
          <w:lang w:val="en-US"/>
        </w:rPr>
        <w:t>ower time to market</w:t>
      </w:r>
      <w:r w:rsidRPr="00776837">
        <w:rPr>
          <w:lang w:val="en-US"/>
        </w:rPr>
        <w:t>.</w:t>
      </w:r>
    </w:p>
    <w:p w14:paraId="0D7C5D76" w14:textId="77777777" w:rsidR="008C707F" w:rsidRPr="00776837" w:rsidRDefault="008C707F" w:rsidP="00F733B3">
      <w:pPr>
        <w:pStyle w:val="01-Textonormal"/>
        <w:rPr>
          <w:color w:val="FF0000"/>
          <w:lang w:val="en-US"/>
        </w:rPr>
      </w:pPr>
      <w:r w:rsidRPr="00776837">
        <w:rPr>
          <w:lang w:val="en-US"/>
        </w:rPr>
        <w:t xml:space="preserve">During the year, more than </w:t>
      </w:r>
      <w:r>
        <w:rPr>
          <w:lang w:val="en-US"/>
        </w:rPr>
        <w:t>237</w:t>
      </w:r>
      <w:r w:rsidRPr="00776837">
        <w:rPr>
          <w:lang w:val="en-US"/>
        </w:rPr>
        <w:t xml:space="preserve"> thousand hours were dedicated to product development, of which </w:t>
      </w:r>
      <w:r>
        <w:rPr>
          <w:lang w:val="en-US"/>
        </w:rPr>
        <w:t>80</w:t>
      </w:r>
      <w:r w:rsidRPr="00776837">
        <w:rPr>
          <w:lang w:val="en-US"/>
        </w:rPr>
        <w:t xml:space="preserve"> thousand were dedicated to the platform structure, with the support of </w:t>
      </w:r>
      <w:r>
        <w:rPr>
          <w:lang w:val="en-US"/>
        </w:rPr>
        <w:t>17</w:t>
      </w:r>
      <w:r w:rsidRPr="00776837">
        <w:rPr>
          <w:lang w:val="en-US"/>
        </w:rPr>
        <w:t xml:space="preserve"> agile rooms and more than </w:t>
      </w:r>
      <w:r>
        <w:rPr>
          <w:lang w:val="en-US"/>
        </w:rPr>
        <w:t>230</w:t>
      </w:r>
      <w:r w:rsidRPr="00776837">
        <w:rPr>
          <w:lang w:val="en-US"/>
        </w:rPr>
        <w:t xml:space="preserve"> dedicated professionals</w:t>
      </w:r>
      <w:r>
        <w:rPr>
          <w:lang w:val="en-US"/>
        </w:rPr>
        <w:t xml:space="preserve"> in all companies of the group</w:t>
      </w:r>
      <w:r w:rsidRPr="00776837">
        <w:rPr>
          <w:lang w:val="en-US"/>
        </w:rPr>
        <w:t xml:space="preserve">. </w:t>
      </w:r>
      <w:r>
        <w:rPr>
          <w:lang w:val="en-US"/>
        </w:rPr>
        <w:t>Roughly 16</w:t>
      </w:r>
      <w:r w:rsidRPr="00776837">
        <w:rPr>
          <w:lang w:val="en-US"/>
        </w:rPr>
        <w:t xml:space="preserve"> solutions were developed and implemented to apply the best </w:t>
      </w:r>
      <w:r w:rsidRPr="00776837">
        <w:rPr>
          <w:i/>
          <w:iCs/>
          <w:lang w:val="en-US"/>
        </w:rPr>
        <w:t>UX (User Experience</w:t>
      </w:r>
      <w:r w:rsidRPr="00776837">
        <w:rPr>
          <w:lang w:val="en-US"/>
        </w:rPr>
        <w:t>) practices in digital channels, covering all</w:t>
      </w:r>
      <w:r>
        <w:rPr>
          <w:lang w:val="en-US"/>
        </w:rPr>
        <w:t xml:space="preserve"> business</w:t>
      </w:r>
      <w:r w:rsidRPr="00776837">
        <w:rPr>
          <w:lang w:val="en-US"/>
        </w:rPr>
        <w:t xml:space="preserve"> lines, </w:t>
      </w:r>
      <w:r>
        <w:rPr>
          <w:lang w:val="en-US"/>
        </w:rPr>
        <w:t>which contributed</w:t>
      </w:r>
      <w:r w:rsidRPr="00776837">
        <w:rPr>
          <w:lang w:val="en-US"/>
        </w:rPr>
        <w:t xml:space="preserve"> to the </w:t>
      </w:r>
      <w:r>
        <w:rPr>
          <w:lang w:val="en-US"/>
        </w:rPr>
        <w:t>c</w:t>
      </w:r>
      <w:r w:rsidRPr="00776837">
        <w:rPr>
          <w:lang w:val="en-US"/>
        </w:rPr>
        <w:t>lient</w:t>
      </w:r>
      <w:r>
        <w:rPr>
          <w:lang w:val="en-US"/>
        </w:rPr>
        <w:t>s</w:t>
      </w:r>
      <w:r w:rsidRPr="00776837">
        <w:rPr>
          <w:lang w:val="en-US"/>
        </w:rPr>
        <w:t xml:space="preserve"> base</w:t>
      </w:r>
      <w:r>
        <w:rPr>
          <w:lang w:val="en-US"/>
        </w:rPr>
        <w:t xml:space="preserve"> expansion</w:t>
      </w:r>
      <w:r w:rsidRPr="00776837">
        <w:rPr>
          <w:lang w:val="en-US"/>
        </w:rPr>
        <w:t xml:space="preserve">, NPS </w:t>
      </w:r>
      <w:r>
        <w:rPr>
          <w:lang w:val="en-US"/>
        </w:rPr>
        <w:t xml:space="preserve">improvement </w:t>
      </w:r>
      <w:r w:rsidRPr="00776837">
        <w:rPr>
          <w:lang w:val="en-US"/>
        </w:rPr>
        <w:t xml:space="preserve">in the main </w:t>
      </w:r>
      <w:r>
        <w:rPr>
          <w:lang w:val="en-US"/>
        </w:rPr>
        <w:t>segments</w:t>
      </w:r>
      <w:r w:rsidRPr="00776837">
        <w:rPr>
          <w:lang w:val="en-US"/>
        </w:rPr>
        <w:t xml:space="preserve">, reduction of complaints and enabling </w:t>
      </w:r>
      <w:r>
        <w:rPr>
          <w:lang w:val="en-US"/>
        </w:rPr>
        <w:t>33</w:t>
      </w:r>
      <w:r w:rsidRPr="00776837">
        <w:rPr>
          <w:lang w:val="en-US"/>
        </w:rPr>
        <w:t xml:space="preserve"> new innovative solutions in the product portfolio</w:t>
      </w:r>
      <w:r>
        <w:rPr>
          <w:lang w:val="en-US"/>
        </w:rPr>
        <w:t xml:space="preserve">, </w:t>
      </w:r>
      <w:r w:rsidRPr="00776837">
        <w:rPr>
          <w:lang w:val="en-US"/>
        </w:rPr>
        <w:t>always focused on generating value for c</w:t>
      </w:r>
      <w:r>
        <w:rPr>
          <w:lang w:val="en-US"/>
        </w:rPr>
        <w:t>ustomers</w:t>
      </w:r>
      <w:r w:rsidRPr="00776837">
        <w:rPr>
          <w:lang w:val="en-US"/>
        </w:rPr>
        <w:t xml:space="preserve">. The experimentation path was also expanded, with 6 simultaneous proof-of-concept processes underway in 5 different segments, in addition to the evolution of the </w:t>
      </w:r>
      <w:r w:rsidRPr="00776837">
        <w:rPr>
          <w:i/>
          <w:iCs/>
          <w:lang w:val="en-US"/>
        </w:rPr>
        <w:t>Corporate Venture Capital</w:t>
      </w:r>
      <w:r w:rsidRPr="00776837">
        <w:rPr>
          <w:lang w:val="en-US"/>
        </w:rPr>
        <w:t xml:space="preserve"> program, evaluating 40 companies with an investment and/or partnership bias. </w:t>
      </w:r>
    </w:p>
    <w:p w14:paraId="771A2EDD" w14:textId="77777777" w:rsidR="008C707F" w:rsidRPr="00776837" w:rsidRDefault="008C707F" w:rsidP="00F733B3">
      <w:pPr>
        <w:pStyle w:val="01-Textonormal"/>
        <w:rPr>
          <w:lang w:val="en-US"/>
        </w:rPr>
      </w:pPr>
      <w:r w:rsidRPr="00776837">
        <w:rPr>
          <w:lang w:val="en-US"/>
        </w:rPr>
        <w:t xml:space="preserve">In 2022, the digital channels represented </w:t>
      </w:r>
      <w:r>
        <w:rPr>
          <w:lang w:val="en-US"/>
        </w:rPr>
        <w:t>13.7</w:t>
      </w:r>
      <w:r w:rsidRPr="00776837">
        <w:rPr>
          <w:lang w:val="en-US"/>
        </w:rPr>
        <w:t xml:space="preserve">% of </w:t>
      </w:r>
      <w:r>
        <w:rPr>
          <w:lang w:val="en-US"/>
        </w:rPr>
        <w:t>bancassurance</w:t>
      </w:r>
      <w:r w:rsidRPr="00776837">
        <w:rPr>
          <w:lang w:val="en-US"/>
        </w:rPr>
        <w:t xml:space="preserve"> channel</w:t>
      </w:r>
      <w:r>
        <w:rPr>
          <w:lang w:val="en-US"/>
        </w:rPr>
        <w:t xml:space="preserve"> sales (ex-rural)</w:t>
      </w:r>
      <w:r w:rsidRPr="00776837">
        <w:rPr>
          <w:lang w:val="en-US"/>
        </w:rPr>
        <w:t>, totaling more than R$1</w:t>
      </w:r>
      <w:r>
        <w:rPr>
          <w:lang w:val="en-US"/>
        </w:rPr>
        <w:t>.9</w:t>
      </w:r>
      <w:r w:rsidRPr="00776837">
        <w:rPr>
          <w:lang w:val="en-US"/>
        </w:rPr>
        <w:t xml:space="preserve"> billion in revenue</w:t>
      </w:r>
      <w:r>
        <w:rPr>
          <w:lang w:val="en-US"/>
        </w:rPr>
        <w:t>s</w:t>
      </w:r>
      <w:r w:rsidRPr="00776837">
        <w:rPr>
          <w:lang w:val="en-US"/>
        </w:rPr>
        <w:t xml:space="preserve">. </w:t>
      </w:r>
      <w:r>
        <w:rPr>
          <w:lang w:val="en-US"/>
        </w:rPr>
        <w:t>The a</w:t>
      </w:r>
      <w:r w:rsidRPr="00776837">
        <w:rPr>
          <w:lang w:val="en-US"/>
        </w:rPr>
        <w:t xml:space="preserve">ccess to digital journeys was also a highlight in </w:t>
      </w:r>
      <w:r>
        <w:rPr>
          <w:lang w:val="en-US"/>
        </w:rPr>
        <w:t>2022</w:t>
      </w:r>
      <w:r w:rsidRPr="00776837">
        <w:rPr>
          <w:lang w:val="en-US"/>
        </w:rPr>
        <w:t xml:space="preserve">. In the BB App, the Insurance menu on the application's homepage had more than </w:t>
      </w:r>
      <w:r>
        <w:rPr>
          <w:lang w:val="en-US"/>
        </w:rPr>
        <w:t>9</w:t>
      </w:r>
      <w:r w:rsidRPr="00776837">
        <w:rPr>
          <w:lang w:val="en-US"/>
        </w:rPr>
        <w:t xml:space="preserve"> million hits by unique users and the post-sales journeys on WhatsApp surpassed the mark of </w:t>
      </w:r>
      <w:r>
        <w:rPr>
          <w:lang w:val="en-US"/>
        </w:rPr>
        <w:t>2.4</w:t>
      </w:r>
      <w:r w:rsidRPr="00776837">
        <w:rPr>
          <w:lang w:val="en-US"/>
        </w:rPr>
        <w:t xml:space="preserve"> million interactions. </w:t>
      </w:r>
    </w:p>
    <w:p w14:paraId="4284BA90" w14:textId="77777777" w:rsidR="008C707F" w:rsidRPr="00776837" w:rsidRDefault="008C707F" w:rsidP="00F733B3">
      <w:pPr>
        <w:pStyle w:val="01-Textonormal"/>
        <w:rPr>
          <w:color w:val="FF0000"/>
          <w:lang w:val="en-US"/>
        </w:rPr>
      </w:pPr>
      <w:r w:rsidRPr="00776837">
        <w:rPr>
          <w:lang w:val="en-US"/>
        </w:rPr>
        <w:t xml:space="preserve">The use of data and analytical intelligence was intensified throughout the year to generate value for: (i) BB </w:t>
      </w:r>
      <w:r>
        <w:rPr>
          <w:lang w:val="en-US"/>
        </w:rPr>
        <w:t>Corretora</w:t>
      </w:r>
      <w:r w:rsidRPr="00776837">
        <w:rPr>
          <w:i/>
          <w:iCs/>
          <w:lang w:val="en-US"/>
        </w:rPr>
        <w:t xml:space="preserve"> </w:t>
      </w:r>
      <w:r w:rsidRPr="00776837">
        <w:rPr>
          <w:lang w:val="en-US"/>
        </w:rPr>
        <w:t>, in the certification of bases and creation of business dashboards, making data available and reliable for consumption; (ii) BB Segur</w:t>
      </w:r>
      <w:r>
        <w:rPr>
          <w:lang w:val="en-US"/>
        </w:rPr>
        <w:t>o</w:t>
      </w:r>
      <w:r w:rsidRPr="00776837">
        <w:rPr>
          <w:lang w:val="en-US"/>
        </w:rPr>
        <w:t>'s investe</w:t>
      </w:r>
      <w:r>
        <w:rPr>
          <w:lang w:val="en-US"/>
        </w:rPr>
        <w:t>e</w:t>
      </w:r>
      <w:r w:rsidRPr="00776837">
        <w:rPr>
          <w:lang w:val="en-US"/>
        </w:rPr>
        <w:t xml:space="preserve"> companies, with the availability of analytical intelligence of the affiliates in the BB environment, enabling the exchange and creation of more assertive analytical models; and (iii) c</w:t>
      </w:r>
      <w:r>
        <w:rPr>
          <w:lang w:val="en-US"/>
        </w:rPr>
        <w:t>ustomers</w:t>
      </w:r>
      <w:r w:rsidRPr="00776837">
        <w:rPr>
          <w:lang w:val="en-US"/>
        </w:rPr>
        <w:t xml:space="preserve">, with greater personalization of the relationship and availability of analytical solutions for the creation of intelligent journeys. In the year, the volume of sales that used analytical intelligence </w:t>
      </w:r>
      <w:r>
        <w:rPr>
          <w:lang w:val="en-US"/>
        </w:rPr>
        <w:t xml:space="preserve">reached </w:t>
      </w:r>
      <w:r w:rsidRPr="00776837">
        <w:rPr>
          <w:lang w:val="en-US"/>
        </w:rPr>
        <w:t>R$</w:t>
      </w:r>
      <w:r>
        <w:rPr>
          <w:lang w:val="en-US"/>
        </w:rPr>
        <w:t>3.9</w:t>
      </w:r>
      <w:r w:rsidRPr="00776837">
        <w:rPr>
          <w:lang w:val="en-US"/>
        </w:rPr>
        <w:t xml:space="preserve"> billion</w:t>
      </w:r>
      <w:r w:rsidRPr="00776837">
        <w:rPr>
          <w:color w:val="FF0000"/>
          <w:lang w:val="en-US"/>
        </w:rPr>
        <w:t>.</w:t>
      </w:r>
    </w:p>
    <w:p w14:paraId="78F5FDE7" w14:textId="77777777" w:rsidR="008C707F" w:rsidRPr="00776837" w:rsidRDefault="008C707F" w:rsidP="00F733B3">
      <w:pPr>
        <w:pStyle w:val="01-Textonormal"/>
        <w:rPr>
          <w:color w:val="FF0000"/>
          <w:lang w:val="en-US"/>
        </w:rPr>
      </w:pPr>
    </w:p>
    <w:p w14:paraId="101A6DB9" w14:textId="77777777" w:rsidR="008C707F" w:rsidRPr="00776837" w:rsidRDefault="008C707F" w:rsidP="00591873">
      <w:pPr>
        <w:pStyle w:val="03-SubttulodeNota"/>
        <w:rPr>
          <w:color w:val="1F4E79" w:themeColor="accent1" w:themeShade="80"/>
          <w:lang w:val="en-US"/>
        </w:rPr>
      </w:pPr>
      <w:bookmarkStart w:id="9" w:name="_Hlk123044567"/>
      <w:r w:rsidRPr="00776837">
        <w:rPr>
          <w:color w:val="1F4E79" w:themeColor="accent1" w:themeShade="80"/>
          <w:lang w:val="en-US"/>
        </w:rPr>
        <w:lastRenderedPageBreak/>
        <w:t>Channel Diversification</w:t>
      </w:r>
    </w:p>
    <w:p w14:paraId="60F00DC6" w14:textId="77777777" w:rsidR="008C707F" w:rsidRPr="00776837" w:rsidRDefault="008C707F" w:rsidP="00037385">
      <w:pPr>
        <w:pStyle w:val="01-Textonormal"/>
        <w:rPr>
          <w:lang w:val="en-US"/>
        </w:rPr>
      </w:pPr>
      <w:r w:rsidRPr="00776837">
        <w:rPr>
          <w:lang w:val="en-US"/>
        </w:rPr>
        <w:t xml:space="preserve">After a work more focused on prospecting and developing new models and channels for </w:t>
      </w:r>
      <w:r>
        <w:rPr>
          <w:lang w:val="en-US"/>
        </w:rPr>
        <w:t>the distribution of</w:t>
      </w:r>
      <w:r w:rsidRPr="00776837">
        <w:rPr>
          <w:lang w:val="en-US"/>
        </w:rPr>
        <w:t xml:space="preserve"> its products started in 2021, BB Seguridade moved on to the stage of formalizing partnerships, in a process of identifying potential, structuring models and selecting or creating products that fit the partner's journey. Already in 2022, the Company reached relevant numbers originating from these partnerships. </w:t>
      </w:r>
    </w:p>
    <w:p w14:paraId="744D4E47" w14:textId="77777777" w:rsidR="008C707F" w:rsidRPr="00776837" w:rsidRDefault="008C707F" w:rsidP="00037385">
      <w:pPr>
        <w:pStyle w:val="01-Textonormal"/>
        <w:rPr>
          <w:lang w:val="en-US"/>
        </w:rPr>
      </w:pPr>
      <w:r w:rsidRPr="00776837">
        <w:rPr>
          <w:lang w:val="en-US"/>
        </w:rPr>
        <w:t xml:space="preserve">In the strategy of diversifying the distribution of </w:t>
      </w:r>
      <w:r>
        <w:rPr>
          <w:lang w:val="en-US"/>
        </w:rPr>
        <w:t>crop</w:t>
      </w:r>
      <w:r w:rsidRPr="00776837">
        <w:rPr>
          <w:lang w:val="en-US"/>
        </w:rPr>
        <w:t xml:space="preserve"> insurance, the Company ended the year with more than 5</w:t>
      </w:r>
      <w:r>
        <w:rPr>
          <w:lang w:val="en-US"/>
        </w:rPr>
        <w:t>7</w:t>
      </w:r>
      <w:r w:rsidRPr="00776837">
        <w:rPr>
          <w:lang w:val="en-US"/>
        </w:rPr>
        <w:t>0</w:t>
      </w:r>
      <w:r>
        <w:rPr>
          <w:lang w:val="en-US"/>
        </w:rPr>
        <w:t xml:space="preserve"> banking correspondents</w:t>
      </w:r>
      <w:r w:rsidRPr="00776837">
        <w:rPr>
          <w:lang w:val="en-US"/>
        </w:rPr>
        <w:t xml:space="preserve"> accredited for the sale of insurance in financed and non-financed areas, in addition to rural property insurance offers. </w:t>
      </w:r>
      <w:r>
        <w:rPr>
          <w:lang w:val="en-US"/>
        </w:rPr>
        <w:t>It was also formalized p</w:t>
      </w:r>
      <w:r w:rsidRPr="00776837">
        <w:rPr>
          <w:lang w:val="en-US"/>
        </w:rPr>
        <w:t xml:space="preserve">artnerships with 36 companies, including agricultural cooperatives and agribusiness input sellers, to act mainly in insurance for non-financed areas, focusing mainly on </w:t>
      </w:r>
      <w:r w:rsidRPr="00AD7FCB">
        <w:rPr>
          <w:lang w:val="en-US"/>
        </w:rPr>
        <w:t>barter</w:t>
      </w:r>
      <w:r w:rsidRPr="00776837">
        <w:rPr>
          <w:lang w:val="en-US"/>
        </w:rPr>
        <w:t xml:space="preserve"> operations carried out by these sectors, in addition to offering other products from the rural portfolio to cooperative members and </w:t>
      </w:r>
      <w:r>
        <w:rPr>
          <w:lang w:val="en-US"/>
        </w:rPr>
        <w:t>costumers</w:t>
      </w:r>
      <w:r w:rsidRPr="00776837">
        <w:rPr>
          <w:lang w:val="en-US"/>
        </w:rPr>
        <w:t xml:space="preserve"> linked to these partners. In 2022, </w:t>
      </w:r>
      <w:r>
        <w:rPr>
          <w:lang w:val="en-US"/>
        </w:rPr>
        <w:t>the partnerships were responsible for R$</w:t>
      </w:r>
      <w:r w:rsidRPr="00776837">
        <w:rPr>
          <w:lang w:val="en-US"/>
        </w:rPr>
        <w:t xml:space="preserve">934 million in premiums written, a volume that already exceeds the total rural insurance premiums of the </w:t>
      </w:r>
      <w:r>
        <w:rPr>
          <w:lang w:val="en-US"/>
        </w:rPr>
        <w:t>3</w:t>
      </w:r>
      <w:r w:rsidRPr="00776837">
        <w:rPr>
          <w:lang w:val="en-US"/>
        </w:rPr>
        <w:t xml:space="preserve">rd largest insurance company in the segment, according to </w:t>
      </w:r>
      <w:r>
        <w:rPr>
          <w:lang w:val="en-US"/>
        </w:rPr>
        <w:t>Superintendence of Private Insurance (</w:t>
      </w:r>
      <w:r w:rsidRPr="00776837">
        <w:rPr>
          <w:lang w:val="en-US"/>
        </w:rPr>
        <w:t>Susep</w:t>
      </w:r>
      <w:r>
        <w:rPr>
          <w:lang w:val="en-US"/>
        </w:rPr>
        <w:t>) data</w:t>
      </w:r>
      <w:r w:rsidRPr="00776837">
        <w:rPr>
          <w:lang w:val="en-US"/>
        </w:rPr>
        <w:t>.</w:t>
      </w:r>
    </w:p>
    <w:p w14:paraId="54C0E278" w14:textId="77777777" w:rsidR="008C707F" w:rsidRPr="00776837" w:rsidRDefault="008C707F" w:rsidP="00037385">
      <w:pPr>
        <w:pStyle w:val="01-Textonormal"/>
        <w:rPr>
          <w:lang w:val="en-US"/>
        </w:rPr>
      </w:pPr>
      <w:bookmarkStart w:id="10" w:name="_Hlk123130089"/>
      <w:r w:rsidRPr="00776837">
        <w:rPr>
          <w:lang w:val="en-US"/>
        </w:rPr>
        <w:t xml:space="preserve">Also in </w:t>
      </w:r>
      <w:r>
        <w:rPr>
          <w:lang w:val="en-US"/>
        </w:rPr>
        <w:t xml:space="preserve">the </w:t>
      </w:r>
      <w:r w:rsidRPr="00776837">
        <w:rPr>
          <w:lang w:val="en-US"/>
        </w:rPr>
        <w:t>insurance</w:t>
      </w:r>
      <w:r>
        <w:rPr>
          <w:lang w:val="en-US"/>
        </w:rPr>
        <w:t xml:space="preserve"> segment</w:t>
      </w:r>
      <w:r w:rsidRPr="00776837">
        <w:rPr>
          <w:lang w:val="en-US"/>
        </w:rPr>
        <w:t xml:space="preserve">, partnerships were signed with two </w:t>
      </w:r>
      <w:r w:rsidRPr="00F97BDA">
        <w:rPr>
          <w:lang w:val="en-US"/>
        </w:rPr>
        <w:t>loyalty</w:t>
      </w:r>
      <w:r w:rsidRPr="00776837">
        <w:rPr>
          <w:i/>
          <w:iCs/>
          <w:lang w:val="en-US"/>
        </w:rPr>
        <w:t xml:space="preserve"> </w:t>
      </w:r>
      <w:r w:rsidRPr="00776837">
        <w:rPr>
          <w:lang w:val="en-US"/>
        </w:rPr>
        <w:t>companies</w:t>
      </w:r>
      <w:r>
        <w:rPr>
          <w:lang w:val="en-US"/>
        </w:rPr>
        <w:t xml:space="preserve">, a benefit company and </w:t>
      </w:r>
      <w:r w:rsidRPr="00776837">
        <w:rPr>
          <w:lang w:val="en-US"/>
        </w:rPr>
        <w:t xml:space="preserve">a </w:t>
      </w:r>
      <w:r>
        <w:rPr>
          <w:lang w:val="en-US"/>
        </w:rPr>
        <w:t xml:space="preserve">banking correspondent </w:t>
      </w:r>
      <w:r w:rsidRPr="00776837">
        <w:rPr>
          <w:lang w:val="en-US"/>
        </w:rPr>
        <w:t xml:space="preserve">network manager, which has more than 5 thousand agents. </w:t>
      </w:r>
    </w:p>
    <w:p w14:paraId="06BCE5FF" w14:textId="77777777" w:rsidR="008C707F" w:rsidRPr="00776837" w:rsidRDefault="008C707F" w:rsidP="00037385">
      <w:pPr>
        <w:pStyle w:val="01-Textonormal"/>
        <w:rPr>
          <w:lang w:val="en-US"/>
        </w:rPr>
      </w:pPr>
      <w:bookmarkStart w:id="11" w:name="_Hlk123130203"/>
      <w:bookmarkEnd w:id="10"/>
      <w:r w:rsidRPr="00776837">
        <w:rPr>
          <w:lang w:val="en-US"/>
        </w:rPr>
        <w:t xml:space="preserve">In </w:t>
      </w:r>
      <w:r>
        <w:rPr>
          <w:lang w:val="en-US"/>
        </w:rPr>
        <w:t>premium bonds</w:t>
      </w:r>
      <w:r w:rsidRPr="00776837">
        <w:rPr>
          <w:lang w:val="en-US"/>
        </w:rPr>
        <w:t xml:space="preserve">, it was possible to make progress in the signing of partnerships for the distribution of </w:t>
      </w:r>
      <w:r>
        <w:rPr>
          <w:lang w:val="en-US"/>
        </w:rPr>
        <w:t>premium bonds</w:t>
      </w:r>
      <w:r w:rsidRPr="00776837">
        <w:rPr>
          <w:lang w:val="en-US"/>
        </w:rPr>
        <w:t xml:space="preserve"> in the </w:t>
      </w:r>
      <w:r>
        <w:rPr>
          <w:lang w:val="en-US"/>
        </w:rPr>
        <w:t>low-ticket</w:t>
      </w:r>
      <w:r w:rsidRPr="00776837">
        <w:rPr>
          <w:lang w:val="en-US"/>
        </w:rPr>
        <w:t xml:space="preserve"> modality. Businesses were formalized with important distribution channels, such as Correios, recognized for its presence throughout the national territory, with more than 300 points of sale, in addition to Banco do Nordeste.</w:t>
      </w:r>
    </w:p>
    <w:bookmarkEnd w:id="11"/>
    <w:p w14:paraId="17D0174B" w14:textId="77777777" w:rsidR="008C707F" w:rsidRPr="00776837" w:rsidRDefault="008C707F" w:rsidP="00037385">
      <w:pPr>
        <w:pStyle w:val="01-Textonormal"/>
        <w:rPr>
          <w:lang w:val="en-US"/>
        </w:rPr>
      </w:pPr>
      <w:r w:rsidRPr="00776837">
        <w:rPr>
          <w:lang w:val="en-US"/>
        </w:rPr>
        <w:t>In pension plan</w:t>
      </w:r>
      <w:r>
        <w:rPr>
          <w:lang w:val="en-US"/>
        </w:rPr>
        <w:t>s</w:t>
      </w:r>
      <w:r w:rsidRPr="00776837">
        <w:rPr>
          <w:lang w:val="en-US"/>
        </w:rPr>
        <w:t xml:space="preserve">, the Company made progress in the </w:t>
      </w:r>
      <w:r>
        <w:rPr>
          <w:lang w:val="en-US"/>
        </w:rPr>
        <w:t>i</w:t>
      </w:r>
      <w:r w:rsidRPr="00776837">
        <w:rPr>
          <w:lang w:val="en-US"/>
        </w:rPr>
        <w:t>ndependent brokers</w:t>
      </w:r>
      <w:r>
        <w:rPr>
          <w:lang w:val="en-US"/>
        </w:rPr>
        <w:t xml:space="preserve"> registration</w:t>
      </w:r>
      <w:r w:rsidRPr="00776837">
        <w:rPr>
          <w:lang w:val="en-US"/>
        </w:rPr>
        <w:t xml:space="preserve">, closing the year with </w:t>
      </w:r>
      <w:r>
        <w:rPr>
          <w:lang w:val="en-US"/>
        </w:rPr>
        <w:t>478</w:t>
      </w:r>
      <w:r w:rsidRPr="00776837">
        <w:rPr>
          <w:lang w:val="en-US"/>
        </w:rPr>
        <w:t xml:space="preserve"> brokers and R$ </w:t>
      </w:r>
      <w:r>
        <w:rPr>
          <w:lang w:val="en-US"/>
        </w:rPr>
        <w:t>24</w:t>
      </w:r>
      <w:r w:rsidRPr="00776837">
        <w:rPr>
          <w:lang w:val="en-US"/>
        </w:rPr>
        <w:t xml:space="preserve"> million</w:t>
      </w:r>
      <w:r>
        <w:rPr>
          <w:lang w:val="en-US"/>
        </w:rPr>
        <w:t xml:space="preserve"> of contribution</w:t>
      </w:r>
      <w:r w:rsidRPr="00776837">
        <w:rPr>
          <w:lang w:val="en-US"/>
        </w:rPr>
        <w:t xml:space="preserve"> in VGBL and PGBL plans. Besides brokers, operations for the sale of pension plans have started </w:t>
      </w:r>
      <w:r>
        <w:rPr>
          <w:lang w:val="en-US"/>
        </w:rPr>
        <w:t>in digital banks</w:t>
      </w:r>
      <w:r w:rsidRPr="00776837">
        <w:rPr>
          <w:lang w:val="en-US"/>
        </w:rPr>
        <w:t>.</w:t>
      </w:r>
    </w:p>
    <w:p w14:paraId="251A5FCE" w14:textId="77777777" w:rsidR="008C707F" w:rsidRPr="00776837" w:rsidRDefault="008C707F" w:rsidP="00037385">
      <w:pPr>
        <w:pStyle w:val="01-Textonormal"/>
        <w:rPr>
          <w:lang w:val="en-US"/>
        </w:rPr>
      </w:pPr>
      <w:r w:rsidRPr="00776837">
        <w:rPr>
          <w:lang w:val="en-US"/>
        </w:rPr>
        <w:t xml:space="preserve">Another important progress was the agreements signed with </w:t>
      </w:r>
      <w:r>
        <w:rPr>
          <w:lang w:val="en-US"/>
        </w:rPr>
        <w:t>the brokers</w:t>
      </w:r>
      <w:r w:rsidRPr="00776837">
        <w:rPr>
          <w:lang w:val="en-US"/>
        </w:rPr>
        <w:t xml:space="preserve"> Wiz and Pamcary to </w:t>
      </w:r>
      <w:r>
        <w:rPr>
          <w:lang w:val="en-US"/>
        </w:rPr>
        <w:t>act</w:t>
      </w:r>
      <w:r w:rsidRPr="00776837">
        <w:rPr>
          <w:lang w:val="en-US"/>
        </w:rPr>
        <w:t xml:space="preserve"> in co-brokerage in the </w:t>
      </w:r>
      <w:r>
        <w:rPr>
          <w:lang w:val="en-US"/>
        </w:rPr>
        <w:t xml:space="preserve">large </w:t>
      </w:r>
      <w:r w:rsidRPr="00776837">
        <w:rPr>
          <w:lang w:val="en-US"/>
        </w:rPr>
        <w:t>risk and transport segments, respectively. The partnerships aim to aggregate the expertise of both for service and consultancy to c</w:t>
      </w:r>
      <w:r>
        <w:rPr>
          <w:lang w:val="en-US"/>
        </w:rPr>
        <w:t xml:space="preserve">ustomers of Banco do Brasil </w:t>
      </w:r>
      <w:r w:rsidRPr="00776837">
        <w:rPr>
          <w:lang w:val="en-US"/>
        </w:rPr>
        <w:t xml:space="preserve">wholesale </w:t>
      </w:r>
      <w:r>
        <w:rPr>
          <w:lang w:val="en-US"/>
        </w:rPr>
        <w:t>segment</w:t>
      </w:r>
      <w:r w:rsidRPr="00776837">
        <w:rPr>
          <w:lang w:val="en-US"/>
        </w:rPr>
        <w:t xml:space="preserve">, extracting greater value from segments still little explored by the Company. </w:t>
      </w:r>
    </w:p>
    <w:p w14:paraId="7FDA2737" w14:textId="77777777" w:rsidR="008C707F" w:rsidRPr="00776837" w:rsidRDefault="008C707F" w:rsidP="00037385">
      <w:pPr>
        <w:pStyle w:val="01-Textonormal"/>
        <w:rPr>
          <w:lang w:val="en-US"/>
        </w:rPr>
      </w:pPr>
      <w:r w:rsidRPr="00776837">
        <w:rPr>
          <w:lang w:val="en-US"/>
        </w:rPr>
        <w:t>In 2023, the strategy of prospecting and developing new models and channels remains, with the search for high-value partners in all investe</w:t>
      </w:r>
      <w:r>
        <w:rPr>
          <w:lang w:val="en-US"/>
        </w:rPr>
        <w:t>e</w:t>
      </w:r>
      <w:r w:rsidRPr="00776837">
        <w:rPr>
          <w:lang w:val="en-US"/>
        </w:rPr>
        <w:t xml:space="preserve"> companies, and the start of monetizing the operation of the partners already prospected.</w:t>
      </w:r>
    </w:p>
    <w:p w14:paraId="6F1F70D3" w14:textId="77777777" w:rsidR="008C707F" w:rsidRPr="00776837" w:rsidRDefault="008C707F" w:rsidP="00037385">
      <w:pPr>
        <w:pStyle w:val="01-Textonormal"/>
        <w:rPr>
          <w:lang w:val="en-US"/>
        </w:rPr>
      </w:pPr>
    </w:p>
    <w:bookmarkEnd w:id="9"/>
    <w:p w14:paraId="243834A2" w14:textId="77777777" w:rsidR="008C707F" w:rsidRPr="00776837" w:rsidRDefault="008C707F" w:rsidP="00591873">
      <w:pPr>
        <w:pStyle w:val="03-SubttulodeNota"/>
        <w:rPr>
          <w:color w:val="1F4E79" w:themeColor="accent1" w:themeShade="80"/>
          <w:lang w:val="en-US"/>
        </w:rPr>
      </w:pPr>
      <w:r w:rsidRPr="00776837">
        <w:rPr>
          <w:color w:val="1F4E79" w:themeColor="accent1" w:themeShade="80"/>
          <w:lang w:val="en-US"/>
        </w:rPr>
        <w:t>C</w:t>
      </w:r>
      <w:r>
        <w:rPr>
          <w:color w:val="1F4E79" w:themeColor="accent1" w:themeShade="80"/>
          <w:lang w:val="en-US"/>
        </w:rPr>
        <w:t>ustomer</w:t>
      </w:r>
      <w:r w:rsidRPr="00776837">
        <w:rPr>
          <w:color w:val="1F4E79" w:themeColor="accent1" w:themeShade="80"/>
          <w:lang w:val="en-US"/>
        </w:rPr>
        <w:t xml:space="preserve"> Experience </w:t>
      </w:r>
    </w:p>
    <w:p w14:paraId="1B47E692" w14:textId="77777777" w:rsidR="008C707F" w:rsidRPr="00776837" w:rsidRDefault="008C707F" w:rsidP="00EA7621">
      <w:pPr>
        <w:pStyle w:val="01-Textonormal"/>
        <w:rPr>
          <w:lang w:val="en-US"/>
        </w:rPr>
      </w:pPr>
      <w:bookmarkStart w:id="12" w:name="_Hlk123132081"/>
      <w:r w:rsidRPr="00776837">
        <w:rPr>
          <w:lang w:val="en-US"/>
        </w:rPr>
        <w:t>With the commitment to transform people's lives through the best protection ecosystem, BB Seguridade has Respect for the c</w:t>
      </w:r>
      <w:r>
        <w:rPr>
          <w:lang w:val="en-US"/>
        </w:rPr>
        <w:t>ostumer</w:t>
      </w:r>
      <w:r w:rsidRPr="00776837">
        <w:rPr>
          <w:lang w:val="en-US"/>
        </w:rPr>
        <w:t xml:space="preserve"> as one of its main values, materialized in the strategic objective of “</w:t>
      </w:r>
      <w:r>
        <w:rPr>
          <w:lang w:val="en-US"/>
        </w:rPr>
        <w:t>To turn customer</w:t>
      </w:r>
      <w:r w:rsidRPr="00776837">
        <w:rPr>
          <w:lang w:val="en-US"/>
        </w:rPr>
        <w:t xml:space="preserve"> into </w:t>
      </w:r>
      <w:r>
        <w:rPr>
          <w:lang w:val="en-US"/>
        </w:rPr>
        <w:t>f</w:t>
      </w:r>
      <w:r w:rsidRPr="00776837">
        <w:rPr>
          <w:lang w:val="en-US"/>
        </w:rPr>
        <w:t>ans”</w:t>
      </w:r>
      <w:r>
        <w:rPr>
          <w:lang w:val="en-US"/>
        </w:rPr>
        <w:t>.</w:t>
      </w:r>
      <w:r w:rsidRPr="00776837">
        <w:rPr>
          <w:lang w:val="en-US"/>
        </w:rPr>
        <w:t xml:space="preserve"> Thus, the Company seeks to see the world from the </w:t>
      </w:r>
      <w:r>
        <w:rPr>
          <w:lang w:val="en-US"/>
        </w:rPr>
        <w:t>customers</w:t>
      </w:r>
      <w:r w:rsidRPr="00776837">
        <w:rPr>
          <w:lang w:val="en-US"/>
        </w:rPr>
        <w:t>' perspective with the commitment to offer the best solutions to meet their needs.</w:t>
      </w:r>
    </w:p>
    <w:p w14:paraId="30653FF7" w14:textId="77777777" w:rsidR="008C707F" w:rsidRPr="00776837" w:rsidRDefault="008C707F" w:rsidP="00EA7621">
      <w:pPr>
        <w:pStyle w:val="01-Textonormal"/>
        <w:rPr>
          <w:lang w:val="en-US"/>
        </w:rPr>
      </w:pPr>
      <w:r w:rsidRPr="00776837">
        <w:rPr>
          <w:lang w:val="en-US"/>
        </w:rPr>
        <w:t xml:space="preserve">In order to listen to and capture their perceptions, </w:t>
      </w:r>
      <w:r>
        <w:rPr>
          <w:lang w:val="en-US"/>
        </w:rPr>
        <w:t xml:space="preserve">it was held </w:t>
      </w:r>
      <w:r w:rsidRPr="00776837">
        <w:rPr>
          <w:lang w:val="en-US"/>
        </w:rPr>
        <w:t>c</w:t>
      </w:r>
      <w:r>
        <w:rPr>
          <w:lang w:val="en-US"/>
        </w:rPr>
        <w:t>ostumer</w:t>
      </w:r>
      <w:r w:rsidRPr="00776837">
        <w:rPr>
          <w:lang w:val="en-US"/>
        </w:rPr>
        <w:t xml:space="preserve"> councils, NPS surveys at each interaction point, satisfaction surveys with the services provided at call centers, and management of complaints and the main reasons for dissatisfaction were carried out. From what was captured in these interactions, journeys, communication rules and products were improved.</w:t>
      </w:r>
    </w:p>
    <w:p w14:paraId="3753A0CD" w14:textId="77777777" w:rsidR="008C707F" w:rsidRPr="00776837" w:rsidRDefault="008C707F" w:rsidP="00EA7621">
      <w:pPr>
        <w:pStyle w:val="01-Textonormal"/>
        <w:rPr>
          <w:lang w:val="en-US"/>
        </w:rPr>
      </w:pPr>
      <w:r w:rsidRPr="00776837">
        <w:rPr>
          <w:lang w:val="en-US"/>
        </w:rPr>
        <w:t>In 2022, the entire relationship rule was revised to provide more assertive and timely information about products, in addition to relevant content for living longer and better, such as body, mind, family and career care.</w:t>
      </w:r>
    </w:p>
    <w:p w14:paraId="1E4CA98C" w14:textId="77777777" w:rsidR="008C707F" w:rsidRPr="00776837" w:rsidRDefault="008C707F" w:rsidP="00EA7621">
      <w:pPr>
        <w:pStyle w:val="01-Textonormal"/>
        <w:rPr>
          <w:lang w:val="en-US"/>
        </w:rPr>
      </w:pPr>
      <w:r>
        <w:rPr>
          <w:lang w:val="en-US"/>
        </w:rPr>
        <w:t>In the</w:t>
      </w:r>
      <w:r w:rsidRPr="00776837">
        <w:rPr>
          <w:lang w:val="en-US"/>
        </w:rPr>
        <w:t xml:space="preserve"> year, the communication strategy was also intensified, with context actions through the Banco do Brasil app. During the year, 38 new communications contextualized based on c</w:t>
      </w:r>
      <w:r>
        <w:rPr>
          <w:lang w:val="en-US"/>
        </w:rPr>
        <w:t>ostumer</w:t>
      </w:r>
      <w:r w:rsidRPr="00776837">
        <w:rPr>
          <w:lang w:val="en-US"/>
        </w:rPr>
        <w:t xml:space="preserve"> behavior were implemented, both for product offerings and for relationships. As an example, </w:t>
      </w:r>
      <w:r>
        <w:rPr>
          <w:lang w:val="en-US"/>
        </w:rPr>
        <w:t>it</w:t>
      </w:r>
      <w:r w:rsidRPr="00776837">
        <w:rPr>
          <w:lang w:val="en-US"/>
        </w:rPr>
        <w:t xml:space="preserve"> can </w:t>
      </w:r>
      <w:r>
        <w:rPr>
          <w:lang w:val="en-US"/>
        </w:rPr>
        <w:t xml:space="preserve">be </w:t>
      </w:r>
      <w:r w:rsidRPr="00776837">
        <w:rPr>
          <w:lang w:val="en-US"/>
        </w:rPr>
        <w:t>mention</w:t>
      </w:r>
      <w:r>
        <w:rPr>
          <w:lang w:val="en-US"/>
        </w:rPr>
        <w:t>ed</w:t>
      </w:r>
      <w:r w:rsidRPr="00776837">
        <w:rPr>
          <w:lang w:val="en-US"/>
        </w:rPr>
        <w:t xml:space="preserve"> the offer of dental plans for c</w:t>
      </w:r>
      <w:r>
        <w:rPr>
          <w:lang w:val="en-US"/>
        </w:rPr>
        <w:t>ustomers</w:t>
      </w:r>
      <w:r w:rsidRPr="00776837">
        <w:rPr>
          <w:lang w:val="en-US"/>
        </w:rPr>
        <w:t xml:space="preserve"> who paid dentists; travel insurance for clients who have purchased airline tickets; and insurance for personal items for clients who ma</w:t>
      </w:r>
      <w:r>
        <w:rPr>
          <w:lang w:val="en-US"/>
        </w:rPr>
        <w:t>d</w:t>
      </w:r>
      <w:r w:rsidRPr="00776837">
        <w:rPr>
          <w:lang w:val="en-US"/>
        </w:rPr>
        <w:t>e Pix (Instant Payment System) or who have withdrawn from 200 reais onwards.</w:t>
      </w:r>
    </w:p>
    <w:p w14:paraId="7E1127DD" w14:textId="77777777" w:rsidR="008C707F" w:rsidRPr="00776837" w:rsidRDefault="008C707F" w:rsidP="00EA7621">
      <w:pPr>
        <w:pStyle w:val="01-Textonormal"/>
        <w:rPr>
          <w:lang w:val="en-US"/>
        </w:rPr>
      </w:pPr>
      <w:r w:rsidRPr="00776837">
        <w:rPr>
          <w:lang w:val="en-US"/>
        </w:rPr>
        <w:t xml:space="preserve">As a result, despite an adverse scenario, still impacted by the effects of Covid-19 and by </w:t>
      </w:r>
      <w:r>
        <w:rPr>
          <w:lang w:val="en-US"/>
        </w:rPr>
        <w:t>climatic</w:t>
      </w:r>
      <w:r w:rsidRPr="00776837">
        <w:rPr>
          <w:lang w:val="en-US"/>
        </w:rPr>
        <w:t xml:space="preserve"> events - the biggest drought in the last 70 years in the South, a cyclone in Santa Catarina and floods in Petrópolis - the client base grew </w:t>
      </w:r>
      <w:r>
        <w:rPr>
          <w:lang w:val="en-US"/>
        </w:rPr>
        <w:t>5.1</w:t>
      </w:r>
      <w:r w:rsidRPr="00776837">
        <w:rPr>
          <w:lang w:val="en-US"/>
        </w:rPr>
        <w:t>%, while the NPS and satisfaction level improved and the number of complaints reduced.</w:t>
      </w:r>
    </w:p>
    <w:p w14:paraId="7333387A" w14:textId="77777777" w:rsidR="008C707F" w:rsidRDefault="008C707F" w:rsidP="00E21DB9">
      <w:pPr>
        <w:pStyle w:val="01-Textonormal"/>
        <w:rPr>
          <w:lang w:val="en-US"/>
        </w:rPr>
      </w:pPr>
      <w:r w:rsidRPr="00776837">
        <w:rPr>
          <w:lang w:val="en-US"/>
        </w:rPr>
        <w:t>The Company's commitment goes beyond selling products or offering appropriate solutions. BB Seguridade has the role of always being close to its c</w:t>
      </w:r>
      <w:r>
        <w:rPr>
          <w:lang w:val="en-US"/>
        </w:rPr>
        <w:t>ustomers</w:t>
      </w:r>
      <w:r w:rsidRPr="00776837">
        <w:rPr>
          <w:lang w:val="en-US"/>
        </w:rPr>
        <w:t>, not only when everything is going well, but mainly in times of greater difficulty</w:t>
      </w:r>
      <w:r>
        <w:rPr>
          <w:lang w:val="en-US"/>
        </w:rPr>
        <w:t>.</w:t>
      </w:r>
    </w:p>
    <w:p w14:paraId="0F0A8F71" w14:textId="77777777" w:rsidR="008C707F" w:rsidRDefault="008C707F" w:rsidP="00E21DB9">
      <w:pPr>
        <w:pStyle w:val="01-Textonormal"/>
        <w:rPr>
          <w:lang w:val="en-US"/>
        </w:rPr>
      </w:pPr>
      <w:r w:rsidRPr="00776837">
        <w:rPr>
          <w:lang w:val="en-US"/>
        </w:rPr>
        <w:t xml:space="preserve">Systematically, the </w:t>
      </w:r>
      <w:r>
        <w:rPr>
          <w:lang w:val="en-US"/>
        </w:rPr>
        <w:t>C</w:t>
      </w:r>
      <w:r w:rsidRPr="00776837">
        <w:rPr>
          <w:lang w:val="en-US"/>
        </w:rPr>
        <w:t>ompany has a priority structure in case of disasters</w:t>
      </w:r>
      <w:r>
        <w:rPr>
          <w:lang w:val="en-US"/>
        </w:rPr>
        <w:t>, aiming to</w:t>
      </w:r>
      <w:r w:rsidRPr="00776837">
        <w:rPr>
          <w:lang w:val="en-US"/>
        </w:rPr>
        <w:t xml:space="preserve"> quickly serve c</w:t>
      </w:r>
      <w:r>
        <w:rPr>
          <w:lang w:val="en-US"/>
        </w:rPr>
        <w:t>ustomers</w:t>
      </w:r>
      <w:r w:rsidRPr="00776837">
        <w:rPr>
          <w:lang w:val="en-US"/>
        </w:rPr>
        <w:t xml:space="preserve"> who are in a delicate situation. In 2022, these paths were used in the cases of floods that affected the city of Petrópolis, in Rio de Janeiro, and the cyclone in Santa Catarina</w:t>
      </w:r>
      <w:r>
        <w:rPr>
          <w:lang w:val="en-US"/>
        </w:rPr>
        <w:t>.</w:t>
      </w:r>
    </w:p>
    <w:p w14:paraId="232DA3EA" w14:textId="77777777" w:rsidR="008C707F" w:rsidRPr="00776837" w:rsidRDefault="008C707F" w:rsidP="00E21DB9">
      <w:pPr>
        <w:pStyle w:val="01-Textonormal"/>
        <w:rPr>
          <w:lang w:val="en-US"/>
        </w:rPr>
      </w:pPr>
    </w:p>
    <w:p w14:paraId="28F614E3" w14:textId="77777777" w:rsidR="008C707F" w:rsidRPr="00776837" w:rsidRDefault="008C707F" w:rsidP="00EA7621">
      <w:pPr>
        <w:pStyle w:val="01-Textonormal"/>
        <w:rPr>
          <w:u w:val="single"/>
          <w:lang w:val="en-US"/>
        </w:rPr>
      </w:pPr>
      <w:r w:rsidRPr="00776837">
        <w:rPr>
          <w:u w:val="single"/>
          <w:lang w:val="en-US"/>
        </w:rPr>
        <w:lastRenderedPageBreak/>
        <w:t>Relationship Program</w:t>
      </w:r>
    </w:p>
    <w:p w14:paraId="038C09E2" w14:textId="77777777" w:rsidR="008C707F" w:rsidRPr="00776837" w:rsidRDefault="008C707F" w:rsidP="00EA7621">
      <w:pPr>
        <w:pStyle w:val="01-Textonormal"/>
        <w:rPr>
          <w:lang w:val="en-US"/>
        </w:rPr>
      </w:pPr>
      <w:r>
        <w:rPr>
          <w:lang w:val="en-US"/>
        </w:rPr>
        <w:t>To improve</w:t>
      </w:r>
      <w:r w:rsidRPr="00776837">
        <w:rPr>
          <w:lang w:val="en-US"/>
        </w:rPr>
        <w:t xml:space="preserve"> the client experience and focusing on turning them into fans, the Company launched its Relationship Program, which is innovative in the Brazilian insurance market.</w:t>
      </w:r>
    </w:p>
    <w:p w14:paraId="2E63C62B" w14:textId="77777777" w:rsidR="008C707F" w:rsidRPr="00776837" w:rsidRDefault="008C707F" w:rsidP="00B76F0B">
      <w:pPr>
        <w:pStyle w:val="01-Textonormal"/>
        <w:rPr>
          <w:lang w:val="en-US"/>
        </w:rPr>
      </w:pPr>
      <w:r w:rsidRPr="00776837">
        <w:rPr>
          <w:lang w:val="en-US"/>
        </w:rPr>
        <w:t xml:space="preserve">To develop this program, </w:t>
      </w:r>
      <w:r>
        <w:rPr>
          <w:lang w:val="en-US"/>
        </w:rPr>
        <w:t xml:space="preserve">it was created </w:t>
      </w:r>
      <w:r w:rsidRPr="00776837">
        <w:rPr>
          <w:lang w:val="en-US"/>
        </w:rPr>
        <w:t>a segmentation that considers the c</w:t>
      </w:r>
      <w:r>
        <w:rPr>
          <w:lang w:val="en-US"/>
        </w:rPr>
        <w:t>ustomer</w:t>
      </w:r>
      <w:r w:rsidRPr="00776837">
        <w:rPr>
          <w:lang w:val="en-US"/>
        </w:rPr>
        <w:t xml:space="preserve"> protection </w:t>
      </w:r>
      <w:r>
        <w:rPr>
          <w:lang w:val="en-US"/>
        </w:rPr>
        <w:t>ratio</w:t>
      </w:r>
      <w:r w:rsidRPr="00776837">
        <w:rPr>
          <w:lang w:val="en-US"/>
        </w:rPr>
        <w:t xml:space="preserve"> in an integrated view of all companies in the group, </w:t>
      </w:r>
      <w:r>
        <w:rPr>
          <w:lang w:val="en-US"/>
        </w:rPr>
        <w:t xml:space="preserve">classifying them </w:t>
      </w:r>
      <w:r w:rsidRPr="00776837">
        <w:rPr>
          <w:lang w:val="en-US"/>
        </w:rPr>
        <w:t>as "Protected" or "Overprotected"</w:t>
      </w:r>
      <w:r>
        <w:rPr>
          <w:lang w:val="en-US"/>
        </w:rPr>
        <w:t xml:space="preserve">, </w:t>
      </w:r>
      <w:r w:rsidRPr="00776837">
        <w:rPr>
          <w:lang w:val="en-US"/>
        </w:rPr>
        <w:t>as a complement to the one that already exists at Banco do Brasil</w:t>
      </w:r>
      <w:r>
        <w:rPr>
          <w:lang w:val="en-US"/>
        </w:rPr>
        <w:t>.</w:t>
      </w:r>
    </w:p>
    <w:p w14:paraId="44B639C3" w14:textId="77777777" w:rsidR="008C707F" w:rsidRPr="00776837" w:rsidRDefault="008C707F" w:rsidP="00EA7621">
      <w:pPr>
        <w:pStyle w:val="01-Textonormal"/>
        <w:rPr>
          <w:lang w:val="en-US"/>
        </w:rPr>
      </w:pPr>
      <w:r w:rsidRPr="00776837">
        <w:rPr>
          <w:lang w:val="en-US"/>
        </w:rPr>
        <w:t xml:space="preserve">Still in the testing phase, the Company started to offer extra assistance, financial consulting, tickets to sponsored events, benefits at retail partners, discounts and </w:t>
      </w:r>
      <w:r w:rsidRPr="00776837">
        <w:rPr>
          <w:i/>
          <w:iCs/>
          <w:lang w:val="en-US"/>
        </w:rPr>
        <w:t>cashback</w:t>
      </w:r>
      <w:r w:rsidRPr="00776837">
        <w:rPr>
          <w:lang w:val="en-US"/>
        </w:rPr>
        <w:t xml:space="preserve"> on the purchase of products. The </w:t>
      </w:r>
      <w:r>
        <w:rPr>
          <w:lang w:val="en-US"/>
        </w:rPr>
        <w:t>Ove</w:t>
      </w:r>
      <w:r w:rsidRPr="00776837">
        <w:rPr>
          <w:lang w:val="en-US"/>
        </w:rPr>
        <w:t>rprotected c</w:t>
      </w:r>
      <w:r>
        <w:rPr>
          <w:lang w:val="en-US"/>
        </w:rPr>
        <w:t>ostumers</w:t>
      </w:r>
      <w:r w:rsidRPr="00776837">
        <w:rPr>
          <w:lang w:val="en-US"/>
        </w:rPr>
        <w:t xml:space="preserve"> will be target of promotional actions, with assistance tastings and advantages and progressive benefits in the acquisition of new BB Seguridade products</w:t>
      </w:r>
      <w:r>
        <w:rPr>
          <w:lang w:val="en-US"/>
        </w:rPr>
        <w:t>, besides having an uniform and differentiated service experience.</w:t>
      </w:r>
    </w:p>
    <w:p w14:paraId="1DD2B506" w14:textId="77777777" w:rsidR="008C707F" w:rsidRPr="00776837" w:rsidRDefault="008C707F" w:rsidP="00EA7621">
      <w:pPr>
        <w:pStyle w:val="01-Textonormal"/>
        <w:rPr>
          <w:lang w:val="en-US"/>
        </w:rPr>
      </w:pPr>
      <w:r w:rsidRPr="00776837">
        <w:rPr>
          <w:lang w:val="en-US"/>
        </w:rPr>
        <w:t>The idea is to enhance and strengthen the relationship with c</w:t>
      </w:r>
      <w:r>
        <w:rPr>
          <w:lang w:val="en-US"/>
        </w:rPr>
        <w:t>ustomers</w:t>
      </w:r>
      <w:r w:rsidRPr="00776837">
        <w:rPr>
          <w:lang w:val="en-US"/>
        </w:rPr>
        <w:t xml:space="preserve"> in order to increase their engagement and consequently make them walk the path of profitability</w:t>
      </w:r>
      <w:r>
        <w:rPr>
          <w:lang w:val="en-US"/>
        </w:rPr>
        <w:t xml:space="preserve">, </w:t>
      </w:r>
      <w:r w:rsidRPr="00776837">
        <w:rPr>
          <w:lang w:val="en-US"/>
        </w:rPr>
        <w:t>offer</w:t>
      </w:r>
      <w:r>
        <w:rPr>
          <w:lang w:val="en-US"/>
        </w:rPr>
        <w:t>ing</w:t>
      </w:r>
      <w:r w:rsidRPr="00776837">
        <w:rPr>
          <w:lang w:val="en-US"/>
        </w:rPr>
        <w:t xml:space="preserve"> the right product, at the right price, at the right moment in the c</w:t>
      </w:r>
      <w:r>
        <w:rPr>
          <w:lang w:val="en-US"/>
        </w:rPr>
        <w:t>ostumer</w:t>
      </w:r>
      <w:r w:rsidRPr="00776837">
        <w:rPr>
          <w:lang w:val="en-US"/>
        </w:rPr>
        <w:t>'s life.</w:t>
      </w:r>
    </w:p>
    <w:bookmarkEnd w:id="12"/>
    <w:p w14:paraId="37777016" w14:textId="77777777" w:rsidR="008C707F" w:rsidRPr="00776837" w:rsidRDefault="008C707F" w:rsidP="00EA7621">
      <w:pPr>
        <w:pStyle w:val="01-Textonormal"/>
        <w:rPr>
          <w:lang w:val="en-US"/>
        </w:rPr>
      </w:pPr>
    </w:p>
    <w:p w14:paraId="7C13CBB6" w14:textId="77777777" w:rsidR="008C707F" w:rsidRPr="00776837" w:rsidRDefault="008C707F" w:rsidP="008C707F">
      <w:pPr>
        <w:pStyle w:val="01-TtulodeNota"/>
        <w:numPr>
          <w:ilvl w:val="0"/>
          <w:numId w:val="44"/>
        </w:numPr>
        <w:ind w:left="357" w:hanging="357"/>
        <w:rPr>
          <w:color w:val="1F4E79" w:themeColor="accent1" w:themeShade="80"/>
          <w:lang w:val="en-US"/>
        </w:rPr>
      </w:pPr>
      <w:r w:rsidRPr="00776837">
        <w:rPr>
          <w:color w:val="1F4E79" w:themeColor="accent1" w:themeShade="80"/>
          <w:lang w:val="en-US"/>
        </w:rPr>
        <w:t xml:space="preserve">COMMERCIAL, MARKETING AND PRODUCTS </w:t>
      </w:r>
    </w:p>
    <w:p w14:paraId="1E7B0F83" w14:textId="77777777" w:rsidR="008C707F" w:rsidRPr="00776837" w:rsidRDefault="008C707F" w:rsidP="005F64A9">
      <w:pPr>
        <w:jc w:val="both"/>
        <w:rPr>
          <w:rFonts w:eastAsia="Times New Roman" w:cs="Times New Roman"/>
          <w:szCs w:val="18"/>
          <w:lang w:val="en-US" w:eastAsia="pt-BR"/>
        </w:rPr>
      </w:pPr>
      <w:r w:rsidRPr="00776837">
        <w:rPr>
          <w:rFonts w:eastAsia="Times New Roman" w:cs="Times New Roman"/>
          <w:szCs w:val="18"/>
          <w:lang w:val="en-US" w:eastAsia="pt-BR"/>
        </w:rPr>
        <w:t>In 2022, based on the Company's strategic pillars, improvements were made in the product portfolio, including the distribution of the current portfolio in new channels (own and partners), the improvement of sales and post-sales journeys, as well as the launch of new products.</w:t>
      </w:r>
    </w:p>
    <w:p w14:paraId="720EDAF2" w14:textId="77777777" w:rsidR="008C707F" w:rsidRPr="00776837" w:rsidRDefault="008C707F" w:rsidP="005F64A9">
      <w:pPr>
        <w:jc w:val="both"/>
        <w:rPr>
          <w:rFonts w:eastAsia="Times New Roman" w:cs="Times New Roman"/>
          <w:lang w:val="en-US" w:eastAsia="pt-BR"/>
        </w:rPr>
      </w:pPr>
      <w:r w:rsidRPr="00776837">
        <w:rPr>
          <w:rFonts w:eastAsia="Times New Roman" w:cs="Times New Roman"/>
          <w:lang w:val="en-US" w:eastAsia="pt-BR"/>
        </w:rPr>
        <w:t>The portfolio</w:t>
      </w:r>
      <w:r>
        <w:rPr>
          <w:rFonts w:eastAsia="Times New Roman" w:cs="Times New Roman"/>
          <w:lang w:val="en-US" w:eastAsia="pt-BR"/>
        </w:rPr>
        <w:t xml:space="preserve"> </w:t>
      </w:r>
      <w:r w:rsidRPr="00776837">
        <w:rPr>
          <w:rFonts w:eastAsia="Times New Roman" w:cs="Times New Roman"/>
          <w:lang w:val="en-US" w:eastAsia="pt-BR"/>
        </w:rPr>
        <w:t xml:space="preserve">modernization was reinforced with the launch of 10 new products in the last 12 months. Always guided by a client-centered strategy, using the </w:t>
      </w:r>
      <w:r w:rsidRPr="00C4329F">
        <w:rPr>
          <w:rFonts w:eastAsia="Times New Roman" w:cs="Times New Roman"/>
          <w:lang w:val="en-US" w:eastAsia="pt-BR"/>
        </w:rPr>
        <w:t>beta testers</w:t>
      </w:r>
      <w:r w:rsidRPr="00776837">
        <w:rPr>
          <w:rFonts w:eastAsia="Times New Roman" w:cs="Times New Roman"/>
          <w:lang w:val="en-US" w:eastAsia="pt-BR"/>
        </w:rPr>
        <w:t xml:space="preserve"> base (which already exceeds 5 thousand people) and supported by research techniques and design</w:t>
      </w:r>
      <w:r>
        <w:rPr>
          <w:rFonts w:eastAsia="Times New Roman" w:cs="Times New Roman"/>
          <w:lang w:val="en-US" w:eastAsia="pt-BR"/>
        </w:rPr>
        <w:t>. Below are the main highlights:</w:t>
      </w:r>
    </w:p>
    <w:p w14:paraId="3EF26542" w14:textId="77777777" w:rsidR="008C707F" w:rsidRDefault="008C707F" w:rsidP="00C4329F">
      <w:pPr>
        <w:pStyle w:val="10-Lista2"/>
        <w:spacing w:after="120"/>
        <w:ind w:left="1003" w:hanging="357"/>
        <w:rPr>
          <w:lang w:val="en-US"/>
        </w:rPr>
      </w:pPr>
      <w:r w:rsidRPr="00776837">
        <w:rPr>
          <w:lang w:val="en-US"/>
        </w:rPr>
        <w:t xml:space="preserve">“Insurance that won't let your business stop”, </w:t>
      </w:r>
      <w:r>
        <w:rPr>
          <w:lang w:val="en-US"/>
        </w:rPr>
        <w:t>the</w:t>
      </w:r>
      <w:r w:rsidRPr="00776837">
        <w:rPr>
          <w:lang w:val="en-US"/>
        </w:rPr>
        <w:t xml:space="preserve"> value proposition for </w:t>
      </w:r>
      <w:r>
        <w:rPr>
          <w:lang w:val="en-US"/>
        </w:rPr>
        <w:t>the Corporate</w:t>
      </w:r>
      <w:r w:rsidRPr="00776837">
        <w:rPr>
          <w:lang w:val="en-US"/>
        </w:rPr>
        <w:t xml:space="preserve"> </w:t>
      </w:r>
      <w:r>
        <w:rPr>
          <w:lang w:val="en-US"/>
        </w:rPr>
        <w:t>I</w:t>
      </w:r>
      <w:r w:rsidRPr="00776837">
        <w:rPr>
          <w:lang w:val="en-US"/>
        </w:rPr>
        <w:t>nsurance that consists in providing benefits and assistance focused on the business activity of each c</w:t>
      </w:r>
      <w:r>
        <w:rPr>
          <w:lang w:val="en-US"/>
        </w:rPr>
        <w:t>ustomer</w:t>
      </w:r>
      <w:r w:rsidRPr="00776837">
        <w:rPr>
          <w:lang w:val="en-US"/>
        </w:rPr>
        <w:t>, including activities that have gained more relevance in the pandemic, such as</w:t>
      </w:r>
      <w:r w:rsidRPr="00776837">
        <w:rPr>
          <w:i/>
          <w:iCs/>
          <w:lang w:val="en-US"/>
        </w:rPr>
        <w:t xml:space="preserve"> delivery</w:t>
      </w:r>
      <w:r w:rsidRPr="00776837">
        <w:rPr>
          <w:lang w:val="en-US"/>
        </w:rPr>
        <w:t xml:space="preserve"> services. The product is presented in</w:t>
      </w:r>
      <w:r>
        <w:rPr>
          <w:lang w:val="en-US"/>
        </w:rPr>
        <w:t xml:space="preserve"> </w:t>
      </w:r>
      <w:r w:rsidRPr="00776837">
        <w:rPr>
          <w:lang w:val="en-US"/>
        </w:rPr>
        <w:t xml:space="preserve">three offers model, in BB's physical and digital channels, extending and reinforcing the value proposition with </w:t>
      </w:r>
      <w:r w:rsidRPr="00C4329F">
        <w:rPr>
          <w:lang w:val="en-US"/>
        </w:rPr>
        <w:t xml:space="preserve">premium </w:t>
      </w:r>
      <w:r w:rsidRPr="00776837">
        <w:rPr>
          <w:lang w:val="en-US"/>
        </w:rPr>
        <w:t>benefits in the total plan, such as smoke detector ("Internet of Things"), Wi-Fi camera (connectivity) and rewards and marketing platform (sales engine).</w:t>
      </w:r>
    </w:p>
    <w:p w14:paraId="74236BD1" w14:textId="77777777" w:rsidR="008C707F" w:rsidRDefault="008C707F" w:rsidP="00C4329F">
      <w:pPr>
        <w:pStyle w:val="10-Lista2"/>
        <w:spacing w:after="120"/>
        <w:ind w:left="1003" w:hanging="357"/>
        <w:rPr>
          <w:lang w:val="en-US"/>
        </w:rPr>
      </w:pPr>
      <w:r w:rsidRPr="00C4329F">
        <w:rPr>
          <w:lang w:val="en-US"/>
        </w:rPr>
        <w:t xml:space="preserve">"Insurance for your everyday life" was launched, </w:t>
      </w:r>
      <w:r>
        <w:rPr>
          <w:lang w:val="en-US"/>
        </w:rPr>
        <w:t>the</w:t>
      </w:r>
      <w:r w:rsidRPr="00C4329F">
        <w:rPr>
          <w:lang w:val="en-US"/>
        </w:rPr>
        <w:t xml:space="preserve"> value proposition for</w:t>
      </w:r>
      <w:r>
        <w:rPr>
          <w:lang w:val="en-US"/>
        </w:rPr>
        <w:t xml:space="preserve"> the</w:t>
      </w:r>
      <w:r w:rsidRPr="00C4329F">
        <w:rPr>
          <w:lang w:val="en-US"/>
        </w:rPr>
        <w:t xml:space="preserve"> Personal Items Insurance. The product offers coverage and assistance aimed at protecting day-to-day life, such as Pix transactions under coercion, theft in the event of withdrawals and various personal items, such as bags and cell phones, among others</w:t>
      </w:r>
      <w:r>
        <w:rPr>
          <w:lang w:val="en-US"/>
        </w:rPr>
        <w:t xml:space="preserve">, </w:t>
      </w:r>
      <w:r w:rsidRPr="00C4329F">
        <w:rPr>
          <w:lang w:val="en-US"/>
        </w:rPr>
        <w:t>at a cost of only R$9.90 per month.</w:t>
      </w:r>
    </w:p>
    <w:p w14:paraId="0DEC1EC6" w14:textId="77777777" w:rsidR="008C707F" w:rsidRDefault="008C707F" w:rsidP="005F64A9">
      <w:pPr>
        <w:pStyle w:val="10-Lista2"/>
        <w:spacing w:after="120"/>
        <w:ind w:left="1003" w:hanging="357"/>
        <w:rPr>
          <w:lang w:val="en-US"/>
        </w:rPr>
      </w:pPr>
      <w:r w:rsidRPr="006E34A0">
        <w:rPr>
          <w:lang w:val="en-US"/>
        </w:rPr>
        <w:t xml:space="preserve">Flex </w:t>
      </w:r>
      <w:r>
        <w:rPr>
          <w:lang w:val="en-US"/>
        </w:rPr>
        <w:t>Crop</w:t>
      </w:r>
      <w:r w:rsidRPr="006E34A0">
        <w:rPr>
          <w:lang w:val="en-US"/>
        </w:rPr>
        <w:t xml:space="preserve"> Insurance</w:t>
      </w:r>
      <w:r>
        <w:rPr>
          <w:lang w:val="en-US"/>
        </w:rPr>
        <w:t>, launched t</w:t>
      </w:r>
      <w:r w:rsidRPr="006E34A0">
        <w:rPr>
          <w:lang w:val="en-US"/>
        </w:rPr>
        <w:t xml:space="preserve">ogether with the </w:t>
      </w:r>
      <w:r>
        <w:rPr>
          <w:lang w:val="en-US"/>
        </w:rPr>
        <w:t xml:space="preserve">crop cycle </w:t>
      </w:r>
      <w:r w:rsidRPr="006E34A0">
        <w:rPr>
          <w:lang w:val="en-US"/>
        </w:rPr>
        <w:t>2022/2023</w:t>
      </w:r>
      <w:r>
        <w:rPr>
          <w:lang w:val="en-US"/>
        </w:rPr>
        <w:t>,</w:t>
      </w:r>
      <w:r w:rsidRPr="006E34A0">
        <w:rPr>
          <w:lang w:val="en-US"/>
        </w:rPr>
        <w:t xml:space="preserve"> a product that brings more flexibility and protection to the </w:t>
      </w:r>
      <w:r>
        <w:rPr>
          <w:lang w:val="en-US"/>
        </w:rPr>
        <w:t>harvest funding</w:t>
      </w:r>
      <w:r w:rsidRPr="006E34A0">
        <w:rPr>
          <w:lang w:val="en-US"/>
        </w:rPr>
        <w:t xml:space="preserve">, productivity, and </w:t>
      </w:r>
      <w:r>
        <w:rPr>
          <w:lang w:val="en-US"/>
        </w:rPr>
        <w:t>revenues for farmers</w:t>
      </w:r>
      <w:r w:rsidRPr="006E34A0">
        <w:rPr>
          <w:lang w:val="en-US"/>
        </w:rPr>
        <w:t>. In a context of increasing challenges in the</w:t>
      </w:r>
      <w:r>
        <w:rPr>
          <w:lang w:val="en-US"/>
        </w:rPr>
        <w:t xml:space="preserve"> rural</w:t>
      </w:r>
      <w:r w:rsidRPr="006E34A0">
        <w:rPr>
          <w:lang w:val="en-US"/>
        </w:rPr>
        <w:t xml:space="preserve"> field, the portfolio</w:t>
      </w:r>
      <w:r>
        <w:rPr>
          <w:lang w:val="en-US"/>
        </w:rPr>
        <w:t xml:space="preserve"> </w:t>
      </w:r>
      <w:r w:rsidRPr="006E34A0">
        <w:rPr>
          <w:lang w:val="en-US"/>
        </w:rPr>
        <w:t xml:space="preserve">was reinforced </w:t>
      </w:r>
      <w:r>
        <w:rPr>
          <w:lang w:val="en-US"/>
        </w:rPr>
        <w:t>aiming to</w:t>
      </w:r>
      <w:r w:rsidRPr="006E34A0">
        <w:rPr>
          <w:lang w:val="en-US"/>
        </w:rPr>
        <w:t xml:space="preserve"> </w:t>
      </w:r>
      <w:r>
        <w:rPr>
          <w:lang w:val="en-US"/>
        </w:rPr>
        <w:t>provide</w:t>
      </w:r>
      <w:r w:rsidRPr="006E34A0">
        <w:rPr>
          <w:lang w:val="en-US"/>
        </w:rPr>
        <w:t xml:space="preserve"> proximity and </w:t>
      </w:r>
      <w:r>
        <w:rPr>
          <w:lang w:val="en-US"/>
        </w:rPr>
        <w:t>tranquility to customers</w:t>
      </w:r>
      <w:r w:rsidRPr="006E34A0">
        <w:rPr>
          <w:lang w:val="en-US"/>
        </w:rPr>
        <w:t xml:space="preserve">. </w:t>
      </w:r>
    </w:p>
    <w:p w14:paraId="3665507F" w14:textId="77777777" w:rsidR="008C707F" w:rsidRDefault="008C707F" w:rsidP="005F64A9">
      <w:pPr>
        <w:pStyle w:val="10-Lista2"/>
        <w:spacing w:after="120"/>
        <w:ind w:left="1003" w:hanging="357"/>
        <w:rPr>
          <w:lang w:val="en-US"/>
        </w:rPr>
      </w:pPr>
      <w:r>
        <w:rPr>
          <w:lang w:val="en-US"/>
        </w:rPr>
        <w:t>L</w:t>
      </w:r>
      <w:r w:rsidRPr="006E34A0">
        <w:rPr>
          <w:lang w:val="en-US"/>
        </w:rPr>
        <w:t>ivestock and forestry insurance, expanding the portfolio</w:t>
      </w:r>
      <w:r>
        <w:rPr>
          <w:lang w:val="en-US"/>
        </w:rPr>
        <w:t xml:space="preserve"> of product</w:t>
      </w:r>
      <w:r w:rsidRPr="006E34A0">
        <w:rPr>
          <w:lang w:val="en-US"/>
        </w:rPr>
        <w:t xml:space="preserve"> and offering protection in a segment that is still </w:t>
      </w:r>
      <w:r>
        <w:rPr>
          <w:lang w:val="en-US"/>
        </w:rPr>
        <w:t>un</w:t>
      </w:r>
      <w:r w:rsidRPr="006E34A0">
        <w:rPr>
          <w:lang w:val="en-US"/>
        </w:rPr>
        <w:t xml:space="preserve">explored. </w:t>
      </w:r>
    </w:p>
    <w:p w14:paraId="67CDE550" w14:textId="77777777" w:rsidR="008C707F" w:rsidRDefault="008C707F" w:rsidP="005F64A9">
      <w:pPr>
        <w:pStyle w:val="10-Lista2"/>
        <w:spacing w:after="120"/>
        <w:ind w:left="1003" w:hanging="357"/>
        <w:rPr>
          <w:lang w:val="en-US"/>
        </w:rPr>
      </w:pPr>
      <w:r>
        <w:rPr>
          <w:lang w:val="en-US"/>
        </w:rPr>
        <w:t>“</w:t>
      </w:r>
      <w:r w:rsidRPr="006E34A0">
        <w:rPr>
          <w:lang w:val="en-US"/>
        </w:rPr>
        <w:t>Brasilprev Júnior Educação</w:t>
      </w:r>
      <w:r>
        <w:rPr>
          <w:lang w:val="en-US"/>
        </w:rPr>
        <w:t>”</w:t>
      </w:r>
      <w:r w:rsidRPr="006E34A0">
        <w:rPr>
          <w:lang w:val="en-US"/>
        </w:rPr>
        <w:t xml:space="preserve"> product</w:t>
      </w:r>
      <w:r>
        <w:rPr>
          <w:lang w:val="en-US"/>
        </w:rPr>
        <w:t xml:space="preserve"> that</w:t>
      </w:r>
      <w:r w:rsidRPr="006E34A0">
        <w:rPr>
          <w:lang w:val="en-US"/>
        </w:rPr>
        <w:t xml:space="preserve"> combines </w:t>
      </w:r>
      <w:r>
        <w:rPr>
          <w:lang w:val="en-US"/>
        </w:rPr>
        <w:t>savings</w:t>
      </w:r>
      <w:r w:rsidRPr="006E34A0">
        <w:rPr>
          <w:lang w:val="en-US"/>
        </w:rPr>
        <w:t>, through a pension plan, with pension risk benefits, aiming to guarantee the children's education, in case something bad happens. With the use of analytical intelligence, customized plans were offered for each c</w:t>
      </w:r>
      <w:r>
        <w:rPr>
          <w:lang w:val="en-US"/>
        </w:rPr>
        <w:t>ustomer</w:t>
      </w:r>
      <w:r w:rsidRPr="006E34A0">
        <w:rPr>
          <w:lang w:val="en-US"/>
        </w:rPr>
        <w:t xml:space="preserve">'s objectives. The initiative, which had </w:t>
      </w:r>
      <w:r>
        <w:rPr>
          <w:lang w:val="en-US"/>
        </w:rPr>
        <w:t>the o</w:t>
      </w:r>
      <w:r w:rsidRPr="006E34A0">
        <w:rPr>
          <w:lang w:val="en-US"/>
        </w:rPr>
        <w:t>lympic medalist and world skateboarding champion Rayssa Leal (the "skate fairy") as its ambassador, was a success, and sold more than 110,000 plans in the launch</w:t>
      </w:r>
      <w:r>
        <w:rPr>
          <w:lang w:val="en-US"/>
        </w:rPr>
        <w:t>, in October.</w:t>
      </w:r>
    </w:p>
    <w:p w14:paraId="60E30B59" w14:textId="77777777" w:rsidR="008C707F" w:rsidRDefault="008C707F" w:rsidP="005F64A9">
      <w:pPr>
        <w:pStyle w:val="10-Lista2"/>
        <w:spacing w:after="120"/>
        <w:ind w:left="1003" w:hanging="357"/>
        <w:rPr>
          <w:lang w:val="en-US"/>
        </w:rPr>
      </w:pPr>
      <w:r>
        <w:rPr>
          <w:lang w:val="en-US"/>
        </w:rPr>
        <w:t>In</w:t>
      </w:r>
      <w:r w:rsidRPr="006E34A0">
        <w:rPr>
          <w:lang w:val="en-US"/>
        </w:rPr>
        <w:t xml:space="preserve"> </w:t>
      </w:r>
      <w:r>
        <w:rPr>
          <w:lang w:val="en-US"/>
        </w:rPr>
        <w:t>premium bonds</w:t>
      </w:r>
      <w:r w:rsidRPr="006E34A0">
        <w:rPr>
          <w:lang w:val="en-US"/>
        </w:rPr>
        <w:t xml:space="preserve">, Ourocap's value </w:t>
      </w:r>
      <w:r>
        <w:rPr>
          <w:lang w:val="en-US"/>
        </w:rPr>
        <w:t xml:space="preserve">proposition </w:t>
      </w:r>
      <w:r w:rsidRPr="006E34A0">
        <w:rPr>
          <w:lang w:val="en-US"/>
        </w:rPr>
        <w:t xml:space="preserve">has been expanded, allowing the use of </w:t>
      </w:r>
      <w:r>
        <w:rPr>
          <w:lang w:val="en-US"/>
        </w:rPr>
        <w:t>bonds</w:t>
      </w:r>
      <w:r w:rsidRPr="006E34A0">
        <w:rPr>
          <w:lang w:val="en-US"/>
        </w:rPr>
        <w:t xml:space="preserve"> as guarantee for </w:t>
      </w:r>
      <w:r>
        <w:rPr>
          <w:lang w:val="en-US"/>
        </w:rPr>
        <w:t xml:space="preserve">corporate </w:t>
      </w:r>
      <w:r w:rsidRPr="006E34A0">
        <w:rPr>
          <w:lang w:val="en-US"/>
        </w:rPr>
        <w:t xml:space="preserve">credit operations, including those contracted on behalf of individuals. The idea is to be more than a </w:t>
      </w:r>
      <w:r>
        <w:rPr>
          <w:lang w:val="en-US"/>
        </w:rPr>
        <w:t>premium</w:t>
      </w:r>
      <w:r w:rsidRPr="006E34A0">
        <w:rPr>
          <w:lang w:val="en-US"/>
        </w:rPr>
        <w:t xml:space="preserve"> bond, serving as a financial management tool, not limited to the aspects of reserve formation and participation in </w:t>
      </w:r>
      <w:r>
        <w:rPr>
          <w:lang w:val="en-US"/>
        </w:rPr>
        <w:t>prize draw</w:t>
      </w:r>
      <w:r w:rsidRPr="006E34A0">
        <w:rPr>
          <w:lang w:val="en-US"/>
        </w:rPr>
        <w:t>. Also, taking advantage of the context of high interest rates, the Ourocap PU 24 was launched for individuals. During the year, several commercial actions were implemented for the segment,  highlight</w:t>
      </w:r>
      <w:r>
        <w:rPr>
          <w:lang w:val="en-US"/>
        </w:rPr>
        <w:t xml:space="preserve">ing </w:t>
      </w:r>
      <w:r w:rsidRPr="006E34A0">
        <w:rPr>
          <w:lang w:val="en-US"/>
        </w:rPr>
        <w:t xml:space="preserve">the "Black Friday", which contributed for BB Seguridade to reach the leadership in reserves as of October 2022 and to grow in revenue more than </w:t>
      </w:r>
      <w:r>
        <w:rPr>
          <w:lang w:val="en-US"/>
        </w:rPr>
        <w:t xml:space="preserve">two </w:t>
      </w:r>
      <w:r w:rsidRPr="006E34A0">
        <w:rPr>
          <w:lang w:val="en-US"/>
        </w:rPr>
        <w:t xml:space="preserve">times the growth of the market (Susep | </w:t>
      </w:r>
      <w:r>
        <w:rPr>
          <w:lang w:val="en-US"/>
        </w:rPr>
        <w:t>Data as of</w:t>
      </w:r>
      <w:r w:rsidRPr="006E34A0">
        <w:rPr>
          <w:lang w:val="en-US"/>
        </w:rPr>
        <w:t xml:space="preserve"> </w:t>
      </w:r>
      <w:r>
        <w:rPr>
          <w:lang w:val="en-US"/>
        </w:rPr>
        <w:t>December 20</w:t>
      </w:r>
      <w:r w:rsidRPr="006E34A0">
        <w:rPr>
          <w:lang w:val="en-US"/>
        </w:rPr>
        <w:t>22</w:t>
      </w:r>
      <w:r>
        <w:rPr>
          <w:lang w:val="en-US"/>
        </w:rPr>
        <w:t>)</w:t>
      </w:r>
      <w:r w:rsidRPr="006E34A0">
        <w:rPr>
          <w:lang w:val="en-US"/>
        </w:rPr>
        <w:t xml:space="preserve">, </w:t>
      </w:r>
      <w:r>
        <w:rPr>
          <w:lang w:val="en-US"/>
        </w:rPr>
        <w:t xml:space="preserve">getting </w:t>
      </w:r>
      <w:r w:rsidRPr="006E34A0">
        <w:rPr>
          <w:lang w:val="en-US"/>
        </w:rPr>
        <w:t xml:space="preserve">close to </w:t>
      </w:r>
      <w:r>
        <w:rPr>
          <w:lang w:val="en-US"/>
        </w:rPr>
        <w:t xml:space="preserve">recover </w:t>
      </w:r>
      <w:r w:rsidRPr="006E34A0">
        <w:rPr>
          <w:lang w:val="en-US"/>
        </w:rPr>
        <w:t>the leadership of the segment</w:t>
      </w:r>
      <w:r>
        <w:rPr>
          <w:lang w:val="en-US"/>
        </w:rPr>
        <w:t>.</w:t>
      </w:r>
      <w:r w:rsidRPr="006E34A0">
        <w:rPr>
          <w:lang w:val="en-US"/>
        </w:rPr>
        <w:t xml:space="preserve"> </w:t>
      </w:r>
    </w:p>
    <w:p w14:paraId="013734A5" w14:textId="77777777" w:rsidR="008C707F" w:rsidRPr="006E34A0" w:rsidRDefault="008C707F" w:rsidP="005F64A9">
      <w:pPr>
        <w:pStyle w:val="10-Lista2"/>
        <w:spacing w:after="120"/>
        <w:ind w:left="1003" w:hanging="357"/>
        <w:rPr>
          <w:lang w:val="en-US"/>
        </w:rPr>
      </w:pPr>
      <w:r w:rsidRPr="006E34A0">
        <w:rPr>
          <w:lang w:val="en-US"/>
        </w:rPr>
        <w:t>In dental plans, 6 new products were launched, available on digital channels, which complete the portfolio and, using analytical intelligence, it is possible to make customized offers for each c</w:t>
      </w:r>
      <w:r>
        <w:rPr>
          <w:lang w:val="en-US"/>
        </w:rPr>
        <w:t>ustomer</w:t>
      </w:r>
      <w:r w:rsidRPr="006E34A0">
        <w:rPr>
          <w:lang w:val="en-US"/>
        </w:rPr>
        <w:t xml:space="preserve"> segment.</w:t>
      </w:r>
    </w:p>
    <w:p w14:paraId="3DEB5337" w14:textId="77777777" w:rsidR="008C707F" w:rsidRPr="00776837" w:rsidRDefault="008C707F" w:rsidP="007B5513">
      <w:pPr>
        <w:jc w:val="both"/>
        <w:rPr>
          <w:rFonts w:eastAsia="Times New Roman" w:cs="Arial"/>
          <w:szCs w:val="18"/>
          <w:lang w:val="en-US" w:eastAsia="pt-BR"/>
        </w:rPr>
      </w:pPr>
      <w:r w:rsidRPr="00776837">
        <w:rPr>
          <w:rFonts w:eastAsia="Times New Roman" w:cs="Arial"/>
          <w:spacing w:val="-2"/>
          <w:szCs w:val="18"/>
          <w:lang w:val="en-US" w:eastAsia="pt-BR"/>
        </w:rPr>
        <w:t xml:space="preserve">In the commercial </w:t>
      </w:r>
      <w:r>
        <w:rPr>
          <w:rFonts w:eastAsia="Times New Roman" w:cs="Arial"/>
          <w:spacing w:val="-2"/>
          <w:szCs w:val="18"/>
          <w:lang w:val="en-US" w:eastAsia="pt-BR"/>
        </w:rPr>
        <w:t>field</w:t>
      </w:r>
      <w:r w:rsidRPr="00776837">
        <w:rPr>
          <w:rFonts w:eastAsia="Times New Roman" w:cs="Arial"/>
          <w:spacing w:val="-2"/>
          <w:szCs w:val="18"/>
          <w:lang w:val="en-US" w:eastAsia="pt-BR"/>
        </w:rPr>
        <w:t xml:space="preserve">, </w:t>
      </w:r>
      <w:r>
        <w:rPr>
          <w:rFonts w:eastAsia="Times New Roman" w:cs="Arial"/>
          <w:spacing w:val="-2"/>
          <w:szCs w:val="18"/>
          <w:lang w:val="en-US" w:eastAsia="pt-BR"/>
        </w:rPr>
        <w:t xml:space="preserve">it was launched a new commercial campaign </w:t>
      </w:r>
      <w:r w:rsidRPr="00776837">
        <w:rPr>
          <w:rFonts w:eastAsia="Times New Roman" w:cs="Arial"/>
          <w:spacing w:val="-2"/>
          <w:szCs w:val="18"/>
          <w:lang w:val="en-US" w:eastAsia="pt-BR"/>
        </w:rPr>
        <w:t>to BB's sales force</w:t>
      </w:r>
      <w:r>
        <w:rPr>
          <w:rFonts w:eastAsia="Times New Roman" w:cs="Arial"/>
          <w:spacing w:val="-2"/>
          <w:szCs w:val="18"/>
          <w:lang w:val="en-US" w:eastAsia="pt-BR"/>
        </w:rPr>
        <w:t xml:space="preserve"> </w:t>
      </w:r>
      <w:r w:rsidRPr="00776837">
        <w:rPr>
          <w:rFonts w:eastAsia="Times New Roman" w:cs="Arial"/>
          <w:spacing w:val="-2"/>
          <w:szCs w:val="18"/>
          <w:lang w:val="en-US" w:eastAsia="pt-BR"/>
        </w:rPr>
        <w:t>called "Go</w:t>
      </w:r>
      <w:r>
        <w:rPr>
          <w:rFonts w:eastAsia="Times New Roman" w:cs="Arial"/>
          <w:spacing w:val="-2"/>
          <w:szCs w:val="18"/>
          <w:lang w:val="en-US" w:eastAsia="pt-BR"/>
        </w:rPr>
        <w:t>leada</w:t>
      </w:r>
      <w:r w:rsidRPr="00776837">
        <w:rPr>
          <w:rFonts w:eastAsia="Times New Roman" w:cs="Arial"/>
          <w:spacing w:val="-2"/>
          <w:szCs w:val="18"/>
          <w:lang w:val="en-US" w:eastAsia="pt-BR"/>
        </w:rPr>
        <w:t>",</w:t>
      </w:r>
      <w:r>
        <w:rPr>
          <w:rFonts w:eastAsia="Times New Roman" w:cs="Arial"/>
          <w:spacing w:val="-2"/>
          <w:szCs w:val="18"/>
          <w:lang w:val="en-US" w:eastAsia="pt-BR"/>
        </w:rPr>
        <w:t xml:space="preserve"> which</w:t>
      </w:r>
      <w:r w:rsidRPr="00776837">
        <w:rPr>
          <w:rFonts w:eastAsia="Times New Roman" w:cs="Arial"/>
          <w:spacing w:val="-2"/>
          <w:szCs w:val="18"/>
          <w:lang w:val="en-US" w:eastAsia="pt-BR"/>
        </w:rPr>
        <w:t xml:space="preserve"> aimed t</w:t>
      </w:r>
      <w:r>
        <w:rPr>
          <w:rFonts w:eastAsia="Times New Roman" w:cs="Arial"/>
          <w:spacing w:val="-2"/>
          <w:szCs w:val="18"/>
          <w:lang w:val="en-US" w:eastAsia="pt-BR"/>
        </w:rPr>
        <w:t>he</w:t>
      </w:r>
      <w:r w:rsidRPr="00776837">
        <w:rPr>
          <w:rFonts w:eastAsia="Times New Roman" w:cs="Arial"/>
          <w:spacing w:val="-2"/>
          <w:szCs w:val="18"/>
          <w:lang w:val="en-US" w:eastAsia="pt-BR"/>
        </w:rPr>
        <w:t xml:space="preserve"> overcom</w:t>
      </w:r>
      <w:r>
        <w:rPr>
          <w:rFonts w:eastAsia="Times New Roman" w:cs="Arial"/>
          <w:spacing w:val="-2"/>
          <w:szCs w:val="18"/>
          <w:lang w:val="en-US" w:eastAsia="pt-BR"/>
        </w:rPr>
        <w:t xml:space="preserve">ing </w:t>
      </w:r>
      <w:r w:rsidRPr="00776837">
        <w:rPr>
          <w:rFonts w:eastAsia="Times New Roman" w:cs="Arial"/>
          <w:spacing w:val="-2"/>
          <w:szCs w:val="18"/>
          <w:lang w:val="en-US" w:eastAsia="pt-BR"/>
        </w:rPr>
        <w:t xml:space="preserve">of </w:t>
      </w:r>
      <w:r>
        <w:rPr>
          <w:rFonts w:eastAsia="Times New Roman" w:cs="Arial"/>
          <w:spacing w:val="-2"/>
          <w:szCs w:val="18"/>
          <w:lang w:val="en-US" w:eastAsia="pt-BR"/>
        </w:rPr>
        <w:t xml:space="preserve">sales targets </w:t>
      </w:r>
      <w:r w:rsidRPr="00776837">
        <w:rPr>
          <w:rFonts w:eastAsia="Times New Roman" w:cs="Arial"/>
          <w:spacing w:val="-2"/>
          <w:szCs w:val="18"/>
          <w:lang w:val="en-US" w:eastAsia="pt-BR"/>
        </w:rPr>
        <w:t xml:space="preserve">established for the year and covered all hierarchical levels of </w:t>
      </w:r>
      <w:r>
        <w:rPr>
          <w:rFonts w:eastAsia="Times New Roman" w:cs="Arial"/>
          <w:spacing w:val="-2"/>
          <w:szCs w:val="18"/>
          <w:lang w:val="en-US" w:eastAsia="pt-BR"/>
        </w:rPr>
        <w:t>BB’s distribution network</w:t>
      </w:r>
      <w:r w:rsidRPr="00776837">
        <w:rPr>
          <w:rFonts w:eastAsia="Times New Roman" w:cs="Arial"/>
          <w:spacing w:val="-2"/>
          <w:szCs w:val="18"/>
          <w:lang w:val="en-US" w:eastAsia="pt-BR"/>
        </w:rPr>
        <w:t xml:space="preserve">, </w:t>
      </w:r>
      <w:r w:rsidRPr="00776837">
        <w:rPr>
          <w:rFonts w:eastAsia="Times New Roman" w:cs="Arial"/>
          <w:spacing w:val="-2"/>
          <w:szCs w:val="18"/>
          <w:lang w:val="en-US" w:eastAsia="pt-BR"/>
        </w:rPr>
        <w:lastRenderedPageBreak/>
        <w:t xml:space="preserve">encouraging them to </w:t>
      </w:r>
      <w:r>
        <w:rPr>
          <w:rFonts w:eastAsia="Times New Roman" w:cs="Arial"/>
          <w:spacing w:val="-2"/>
          <w:szCs w:val="18"/>
          <w:lang w:val="en-US" w:eastAsia="pt-BR"/>
        </w:rPr>
        <w:t xml:space="preserve">learn more about the products in order to close </w:t>
      </w:r>
      <w:r w:rsidRPr="00776837">
        <w:rPr>
          <w:rFonts w:eastAsia="Times New Roman" w:cs="Arial"/>
          <w:spacing w:val="-2"/>
          <w:szCs w:val="18"/>
          <w:lang w:val="en-US" w:eastAsia="pt-BR"/>
        </w:rPr>
        <w:t xml:space="preserve">more qualified </w:t>
      </w:r>
      <w:r>
        <w:rPr>
          <w:rFonts w:eastAsia="Times New Roman" w:cs="Arial"/>
          <w:spacing w:val="-2"/>
          <w:szCs w:val="18"/>
          <w:lang w:val="en-US" w:eastAsia="pt-BR"/>
        </w:rPr>
        <w:t>deals</w:t>
      </w:r>
      <w:r w:rsidRPr="00776837">
        <w:rPr>
          <w:rFonts w:eastAsia="Times New Roman" w:cs="Arial"/>
          <w:spacing w:val="-2"/>
          <w:szCs w:val="18"/>
          <w:lang w:val="en-US" w:eastAsia="pt-BR"/>
        </w:rPr>
        <w:t xml:space="preserve"> and generating greater engagement and recognition of the work developed. </w:t>
      </w:r>
    </w:p>
    <w:p w14:paraId="07E44472" w14:textId="77777777" w:rsidR="008C707F" w:rsidRPr="00776837" w:rsidRDefault="008C707F" w:rsidP="007B5513">
      <w:pPr>
        <w:jc w:val="both"/>
        <w:rPr>
          <w:rFonts w:eastAsia="Times New Roman" w:cs="Arial"/>
          <w:spacing w:val="-2"/>
          <w:szCs w:val="18"/>
          <w:lang w:val="en-US" w:eastAsia="pt-BR"/>
        </w:rPr>
      </w:pPr>
      <w:r w:rsidRPr="00776837">
        <w:rPr>
          <w:rFonts w:eastAsia="Times New Roman" w:cs="Arial"/>
          <w:spacing w:val="-2"/>
          <w:szCs w:val="18"/>
          <w:lang w:val="en-US" w:eastAsia="pt-BR"/>
        </w:rPr>
        <w:t>With the return of the in-person events and as a strategy to reinforce BB Seguros</w:t>
      </w:r>
      <w:r>
        <w:rPr>
          <w:rFonts w:eastAsia="Times New Roman" w:cs="Arial"/>
          <w:spacing w:val="-2"/>
          <w:szCs w:val="18"/>
          <w:lang w:val="en-US" w:eastAsia="pt-BR"/>
        </w:rPr>
        <w:t>’s</w:t>
      </w:r>
      <w:r w:rsidRPr="00776837">
        <w:rPr>
          <w:rFonts w:eastAsia="Times New Roman" w:cs="Arial"/>
          <w:spacing w:val="-2"/>
          <w:szCs w:val="18"/>
          <w:lang w:val="en-US" w:eastAsia="pt-BR"/>
        </w:rPr>
        <w:t xml:space="preserve"> commercial brand, the Company was present in major agribusiness fairs, such as: Coopavel, Cotrijal, AgriShow, TecnoShow, Agrishow, and Expointer, and also in the Final of the Street Skate World Cup – SLS Super Crown 2022 – a sports event that had an international audience reach. The event's broadcast reached more than 15 million viewers simultaneously, through free and cable TV, and the internet.</w:t>
      </w:r>
    </w:p>
    <w:p w14:paraId="5B2271B9" w14:textId="77777777" w:rsidR="008C707F" w:rsidRPr="00776837" w:rsidRDefault="008C707F" w:rsidP="007B5513">
      <w:pPr>
        <w:jc w:val="both"/>
        <w:rPr>
          <w:rFonts w:eastAsia="Times New Roman" w:cs="Arial"/>
          <w:spacing w:val="-2"/>
          <w:szCs w:val="18"/>
          <w:lang w:val="en-US" w:eastAsia="pt-BR"/>
        </w:rPr>
      </w:pPr>
      <w:r w:rsidRPr="00776837">
        <w:rPr>
          <w:rFonts w:eastAsia="Times New Roman" w:cs="Arial"/>
          <w:spacing w:val="-2"/>
          <w:szCs w:val="18"/>
          <w:lang w:val="en-US" w:eastAsia="pt-BR"/>
        </w:rPr>
        <w:t>"Anotaí BB Seguros" - a content project supported by a medium-duration advertising campaign, running from March to December 2022, aimed to demystify BB Seguros' solutions through content editorials. The contents were produced in a way to connect people's day-to-day lives with the triggers for financial organization: taking care, protecting, planning and saving. The campaign used a cross-media strategy</w:t>
      </w:r>
      <w:r w:rsidRPr="00776837">
        <w:rPr>
          <w:rFonts w:eastAsia="Times New Roman" w:cs="Arial"/>
          <w:i/>
          <w:iCs/>
          <w:spacing w:val="-2"/>
          <w:szCs w:val="18"/>
          <w:lang w:val="en-US" w:eastAsia="pt-BR"/>
        </w:rPr>
        <w:t>,</w:t>
      </w:r>
      <w:r w:rsidRPr="00776837">
        <w:rPr>
          <w:rFonts w:eastAsia="Times New Roman" w:cs="Arial"/>
          <w:spacing w:val="-2"/>
          <w:szCs w:val="18"/>
          <w:lang w:val="en-US" w:eastAsia="pt-BR"/>
        </w:rPr>
        <w:t xml:space="preserve"> with presence in digital and traditional media, such as: TV, radio and </w:t>
      </w:r>
      <w:r>
        <w:rPr>
          <w:rFonts w:eastAsia="Times New Roman" w:cs="Arial"/>
          <w:spacing w:val="-2"/>
          <w:szCs w:val="18"/>
          <w:lang w:val="en-US" w:eastAsia="pt-BR"/>
        </w:rPr>
        <w:t>urban point of contacts</w:t>
      </w:r>
      <w:r w:rsidRPr="00776837">
        <w:rPr>
          <w:rFonts w:eastAsia="Times New Roman" w:cs="Arial"/>
          <w:spacing w:val="-2"/>
          <w:szCs w:val="18"/>
          <w:lang w:val="en-US" w:eastAsia="pt-BR"/>
        </w:rPr>
        <w:t>. In addition, a robust brand content strategy was used reach</w:t>
      </w:r>
      <w:r>
        <w:rPr>
          <w:rFonts w:eastAsia="Times New Roman" w:cs="Arial"/>
          <w:spacing w:val="-2"/>
          <w:szCs w:val="18"/>
          <w:lang w:val="en-US" w:eastAsia="pt-BR"/>
        </w:rPr>
        <w:t>ing</w:t>
      </w:r>
      <w:r w:rsidRPr="00776837">
        <w:rPr>
          <w:rFonts w:eastAsia="Times New Roman" w:cs="Arial"/>
          <w:spacing w:val="-2"/>
          <w:szCs w:val="18"/>
          <w:lang w:val="en-US" w:eastAsia="pt-BR"/>
        </w:rPr>
        <w:t xml:space="preserve"> more than 150 million people, generating more than 950 million views on the anotai.bbseguros.com.br.</w:t>
      </w:r>
    </w:p>
    <w:p w14:paraId="5371BBC5" w14:textId="77777777" w:rsidR="008C707F" w:rsidRPr="00776837" w:rsidRDefault="008C707F" w:rsidP="007B5513">
      <w:pPr>
        <w:jc w:val="both"/>
        <w:rPr>
          <w:rStyle w:val="xcontentpasted0"/>
          <w:rFonts w:cs="Arial"/>
          <w:color w:val="242424"/>
          <w:szCs w:val="18"/>
          <w:bdr w:val="none" w:sz="0" w:space="0" w:color="auto" w:frame="1"/>
          <w:shd w:val="clear" w:color="auto" w:fill="FFFFFF"/>
          <w:lang w:val="en-US"/>
        </w:rPr>
      </w:pPr>
      <w:r w:rsidRPr="00776837">
        <w:rPr>
          <w:rStyle w:val="xcontentpasted0"/>
          <w:rFonts w:cs="Arial"/>
          <w:color w:val="242424"/>
          <w:szCs w:val="18"/>
          <w:bdr w:val="none" w:sz="0" w:space="0" w:color="auto" w:frame="1"/>
          <w:shd w:val="clear" w:color="auto" w:fill="FFFFFF"/>
          <w:lang w:val="en-US"/>
        </w:rPr>
        <w:t xml:space="preserve">The activity in digital marketing was based on two verticals, one of them being the operation of the paid digital media platform – performance desk - which generated </w:t>
      </w:r>
      <w:r>
        <w:rPr>
          <w:rStyle w:val="xcontentpasted0"/>
          <w:rFonts w:cs="Arial"/>
          <w:color w:val="242424"/>
          <w:szCs w:val="18"/>
          <w:bdr w:val="none" w:sz="0" w:space="0" w:color="auto" w:frame="1"/>
          <w:shd w:val="clear" w:color="auto" w:fill="FFFFFF"/>
          <w:lang w:val="en-US"/>
        </w:rPr>
        <w:t>2</w:t>
      </w:r>
      <w:r w:rsidRPr="00776837">
        <w:rPr>
          <w:rStyle w:val="xcontentpasted0"/>
          <w:rFonts w:cs="Arial"/>
          <w:color w:val="242424"/>
          <w:szCs w:val="18"/>
          <w:bdr w:val="none" w:sz="0" w:space="0" w:color="auto" w:frame="1"/>
          <w:shd w:val="clear" w:color="auto" w:fill="FFFFFF"/>
          <w:lang w:val="en-US"/>
        </w:rPr>
        <w:t xml:space="preserve"> billion impacts from advertising, obtaining </w:t>
      </w:r>
      <w:r>
        <w:rPr>
          <w:rStyle w:val="xcontentpasted0"/>
          <w:rFonts w:cs="Arial"/>
          <w:color w:val="242424"/>
          <w:szCs w:val="18"/>
          <w:bdr w:val="none" w:sz="0" w:space="0" w:color="auto" w:frame="1"/>
          <w:shd w:val="clear" w:color="auto" w:fill="FFFFFF"/>
          <w:lang w:val="en-US"/>
        </w:rPr>
        <w:t>8.7</w:t>
      </w:r>
      <w:r w:rsidRPr="00776837">
        <w:rPr>
          <w:rStyle w:val="xcontentpasted0"/>
          <w:rFonts w:cs="Arial"/>
          <w:color w:val="242424"/>
          <w:szCs w:val="18"/>
          <w:bdr w:val="none" w:sz="0" w:space="0" w:color="auto" w:frame="1"/>
          <w:shd w:val="clear" w:color="auto" w:fill="FFFFFF"/>
          <w:lang w:val="en-US"/>
        </w:rPr>
        <w:t xml:space="preserve"> million clicks (+</w:t>
      </w:r>
      <w:r>
        <w:rPr>
          <w:rStyle w:val="xcontentpasted0"/>
          <w:rFonts w:cs="Arial"/>
          <w:color w:val="242424"/>
          <w:szCs w:val="18"/>
          <w:bdr w:val="none" w:sz="0" w:space="0" w:color="auto" w:frame="1"/>
          <w:shd w:val="clear" w:color="auto" w:fill="FFFFFF"/>
          <w:lang w:val="en-US"/>
        </w:rPr>
        <w:t>11</w:t>
      </w:r>
      <w:r w:rsidRPr="00776837">
        <w:rPr>
          <w:rStyle w:val="xcontentpasted0"/>
          <w:rFonts w:cs="Arial"/>
          <w:color w:val="242424"/>
          <w:szCs w:val="18"/>
          <w:bdr w:val="none" w:sz="0" w:space="0" w:color="auto" w:frame="1"/>
          <w:shd w:val="clear" w:color="auto" w:fill="FFFFFF"/>
          <w:lang w:val="en-US"/>
        </w:rPr>
        <w:t>% compared to 2021)</w:t>
      </w:r>
      <w:r>
        <w:rPr>
          <w:rStyle w:val="xcontentpasted0"/>
          <w:rFonts w:cs="Arial"/>
          <w:color w:val="242424"/>
          <w:szCs w:val="18"/>
          <w:bdr w:val="none" w:sz="0" w:space="0" w:color="auto" w:frame="1"/>
          <w:shd w:val="clear" w:color="auto" w:fill="FFFFFF"/>
          <w:lang w:val="en-US"/>
        </w:rPr>
        <w:t xml:space="preserve">, with </w:t>
      </w:r>
      <w:r w:rsidRPr="00776837">
        <w:rPr>
          <w:rStyle w:val="xcontentpasted0"/>
          <w:rFonts w:cs="Arial"/>
          <w:color w:val="242424"/>
          <w:szCs w:val="18"/>
          <w:bdr w:val="none" w:sz="0" w:space="0" w:color="auto" w:frame="1"/>
          <w:shd w:val="clear" w:color="auto" w:fill="FFFFFF"/>
          <w:lang w:val="en-US"/>
        </w:rPr>
        <w:t>drop in cost per click (CPC) by almost</w:t>
      </w:r>
      <w:r>
        <w:rPr>
          <w:rStyle w:val="xcontentpasted0"/>
          <w:rFonts w:cs="Arial"/>
          <w:color w:val="242424"/>
          <w:szCs w:val="18"/>
          <w:bdr w:val="none" w:sz="0" w:space="0" w:color="auto" w:frame="1"/>
          <w:shd w:val="clear" w:color="auto" w:fill="FFFFFF"/>
          <w:lang w:val="en-US"/>
        </w:rPr>
        <w:t xml:space="preserve"> 25</w:t>
      </w:r>
      <w:r w:rsidRPr="00776837">
        <w:rPr>
          <w:rStyle w:val="xcontentpasted0"/>
          <w:rFonts w:cs="Arial"/>
          <w:color w:val="242424"/>
          <w:szCs w:val="18"/>
          <w:bdr w:val="none" w:sz="0" w:space="0" w:color="auto" w:frame="1"/>
          <w:shd w:val="clear" w:color="auto" w:fill="FFFFFF"/>
          <w:lang w:val="en-US"/>
        </w:rPr>
        <w:t>% compared to the previous year. The second front relies</w:t>
      </w:r>
      <w:r>
        <w:rPr>
          <w:rStyle w:val="xcontentpasted0"/>
          <w:rFonts w:cs="Arial"/>
          <w:color w:val="242424"/>
          <w:szCs w:val="18"/>
          <w:bdr w:val="none" w:sz="0" w:space="0" w:color="auto" w:frame="1"/>
          <w:shd w:val="clear" w:color="auto" w:fill="FFFFFF"/>
          <w:lang w:val="en-US"/>
        </w:rPr>
        <w:t xml:space="preserve"> o</w:t>
      </w:r>
      <w:r w:rsidRPr="00776837">
        <w:rPr>
          <w:rStyle w:val="xcontentpasted0"/>
          <w:rFonts w:cs="Arial"/>
          <w:color w:val="242424"/>
          <w:szCs w:val="18"/>
          <w:bdr w:val="none" w:sz="0" w:space="0" w:color="auto" w:frame="1"/>
          <w:shd w:val="clear" w:color="auto" w:fill="FFFFFF"/>
          <w:lang w:val="en-US"/>
        </w:rPr>
        <w:t xml:space="preserve">n the use of analytical intelligence in the use of BB's proprietary digital channels. In 2022 more than 200 campaigns were implemented, with almost </w:t>
      </w:r>
      <w:r>
        <w:rPr>
          <w:rStyle w:val="xcontentpasted0"/>
          <w:rFonts w:cs="Arial"/>
          <w:color w:val="242424"/>
          <w:szCs w:val="18"/>
          <w:bdr w:val="none" w:sz="0" w:space="0" w:color="auto" w:frame="1"/>
          <w:shd w:val="clear" w:color="auto" w:fill="FFFFFF"/>
          <w:lang w:val="en-US"/>
        </w:rPr>
        <w:t>75</w:t>
      </w:r>
      <w:r w:rsidRPr="00776837">
        <w:rPr>
          <w:rStyle w:val="xcontentpasted0"/>
          <w:rFonts w:cs="Arial"/>
          <w:color w:val="242424"/>
          <w:szCs w:val="18"/>
          <w:bdr w:val="none" w:sz="0" w:space="0" w:color="auto" w:frame="1"/>
          <w:shd w:val="clear" w:color="auto" w:fill="FFFFFF"/>
          <w:lang w:val="en-US"/>
        </w:rPr>
        <w:t xml:space="preserve"> million client approaches (+</w:t>
      </w:r>
      <w:r>
        <w:rPr>
          <w:rStyle w:val="xcontentpasted0"/>
          <w:rFonts w:cs="Arial"/>
          <w:color w:val="242424"/>
          <w:szCs w:val="18"/>
          <w:bdr w:val="none" w:sz="0" w:space="0" w:color="auto" w:frame="1"/>
          <w:shd w:val="clear" w:color="auto" w:fill="FFFFFF"/>
          <w:lang w:val="en-US"/>
        </w:rPr>
        <w:t>33</w:t>
      </w:r>
      <w:r w:rsidRPr="00776837">
        <w:rPr>
          <w:rStyle w:val="xcontentpasted0"/>
          <w:rFonts w:cs="Arial"/>
          <w:color w:val="242424"/>
          <w:szCs w:val="18"/>
          <w:bdr w:val="none" w:sz="0" w:space="0" w:color="auto" w:frame="1"/>
          <w:shd w:val="clear" w:color="auto" w:fill="FFFFFF"/>
          <w:lang w:val="en-US"/>
        </w:rPr>
        <w:t>% compared to 2021).</w:t>
      </w:r>
    </w:p>
    <w:p w14:paraId="4D3D4E2E" w14:textId="77777777" w:rsidR="008C707F" w:rsidRPr="00776837" w:rsidRDefault="008C707F" w:rsidP="00AC2BB9">
      <w:pPr>
        <w:pStyle w:val="01-TtulodeNota"/>
        <w:rPr>
          <w:color w:val="1F4E79" w:themeColor="accent1" w:themeShade="80"/>
          <w:lang w:val="en-US"/>
        </w:rPr>
      </w:pPr>
    </w:p>
    <w:p w14:paraId="43ED1DD7" w14:textId="77777777" w:rsidR="008C707F" w:rsidRPr="00776837" w:rsidRDefault="008C707F" w:rsidP="008C707F">
      <w:pPr>
        <w:pStyle w:val="01-TtulodeNota"/>
        <w:numPr>
          <w:ilvl w:val="0"/>
          <w:numId w:val="44"/>
        </w:numPr>
        <w:ind w:left="357" w:hanging="357"/>
        <w:rPr>
          <w:color w:val="1F4E79" w:themeColor="accent1" w:themeShade="80"/>
          <w:lang w:val="en-US"/>
        </w:rPr>
      </w:pPr>
      <w:r w:rsidRPr="00776837">
        <w:rPr>
          <w:color w:val="1F4E79" w:themeColor="accent1" w:themeShade="80"/>
          <w:lang w:val="en-US"/>
        </w:rPr>
        <w:t>ENVIRONMENTAL, SOCIAL AND GOVERNANCE</w:t>
      </w:r>
    </w:p>
    <w:p w14:paraId="7A9EA6DB" w14:textId="77777777" w:rsidR="008C707F" w:rsidRPr="00776837" w:rsidRDefault="008C707F" w:rsidP="005F127B">
      <w:pPr>
        <w:spacing w:before="120" w:after="120"/>
        <w:jc w:val="both"/>
        <w:rPr>
          <w:lang w:val="en-US" w:eastAsia="pt-BR"/>
        </w:rPr>
      </w:pPr>
      <w:r w:rsidRPr="00776837">
        <w:rPr>
          <w:lang w:val="en-US" w:eastAsia="pt-BR"/>
        </w:rPr>
        <w:t>In 2022, seeking a transversal view of sustainability under the environmental, social and governance aspects ("</w:t>
      </w:r>
      <w:r>
        <w:rPr>
          <w:lang w:val="en-US" w:eastAsia="pt-BR"/>
        </w:rPr>
        <w:t>E</w:t>
      </w:r>
      <w:r w:rsidRPr="00776837">
        <w:rPr>
          <w:lang w:val="en-US" w:eastAsia="pt-BR"/>
        </w:rPr>
        <w:t>SG"), the topic was highlighted in the review of the long-term strategy, being expressly declared as a challenge for the 2023-2027 cycle, included in the strategic objective "To be l</w:t>
      </w:r>
      <w:r>
        <w:rPr>
          <w:lang w:val="en-US" w:eastAsia="pt-BR"/>
        </w:rPr>
        <w:t>ean</w:t>
      </w:r>
      <w:r w:rsidRPr="00776837">
        <w:rPr>
          <w:lang w:val="en-US" w:eastAsia="pt-BR"/>
        </w:rPr>
        <w:t>, efficient and sustainable" and receiving indicators that will be monitored by BB Seguridade</w:t>
      </w:r>
      <w:r>
        <w:rPr>
          <w:lang w:val="en-US" w:eastAsia="pt-BR"/>
        </w:rPr>
        <w:t xml:space="preserve">’s </w:t>
      </w:r>
      <w:r w:rsidRPr="00776837">
        <w:rPr>
          <w:lang w:val="en-US" w:eastAsia="pt-BR"/>
        </w:rPr>
        <w:t>Board of Directors</w:t>
      </w:r>
      <w:r>
        <w:rPr>
          <w:lang w:val="en-US" w:eastAsia="pt-BR"/>
        </w:rPr>
        <w:t>.</w:t>
      </w:r>
    </w:p>
    <w:p w14:paraId="33741306" w14:textId="77777777" w:rsidR="008C707F" w:rsidRPr="00776837" w:rsidRDefault="008C707F" w:rsidP="005F127B">
      <w:pPr>
        <w:spacing w:before="120" w:after="120"/>
        <w:jc w:val="both"/>
        <w:rPr>
          <w:lang w:val="en-US" w:eastAsia="pt-BR"/>
        </w:rPr>
      </w:pPr>
      <w:r w:rsidRPr="00776837">
        <w:rPr>
          <w:lang w:val="en-US" w:eastAsia="pt-BR"/>
        </w:rPr>
        <w:t xml:space="preserve">Another initiative was the </w:t>
      </w:r>
      <w:r>
        <w:rPr>
          <w:lang w:val="en-US" w:eastAsia="pt-BR"/>
        </w:rPr>
        <w:t>establishment</w:t>
      </w:r>
      <w:r w:rsidRPr="00776837">
        <w:rPr>
          <w:lang w:val="en-US" w:eastAsia="pt-BR"/>
        </w:rPr>
        <w:t xml:space="preserve"> of the </w:t>
      </w:r>
      <w:r>
        <w:rPr>
          <w:lang w:val="en-US" w:eastAsia="pt-BR"/>
        </w:rPr>
        <w:t>E</w:t>
      </w:r>
      <w:r w:rsidRPr="00776837">
        <w:rPr>
          <w:lang w:val="en-US" w:eastAsia="pt-BR"/>
        </w:rPr>
        <w:t xml:space="preserve">SG Committee (CASG), composed of four permanent members of BB Seguridade from distinct and strategic areas for the dissemination of the topic in </w:t>
      </w:r>
      <w:r>
        <w:rPr>
          <w:lang w:val="en-US" w:eastAsia="pt-BR"/>
        </w:rPr>
        <w:t>the Company</w:t>
      </w:r>
      <w:r w:rsidRPr="00776837">
        <w:rPr>
          <w:lang w:val="en-US" w:eastAsia="pt-BR"/>
        </w:rPr>
        <w:t>, in addition to executive level representatives of the investe</w:t>
      </w:r>
      <w:r>
        <w:rPr>
          <w:lang w:val="en-US" w:eastAsia="pt-BR"/>
        </w:rPr>
        <w:t>e</w:t>
      </w:r>
      <w:r w:rsidRPr="00776837">
        <w:rPr>
          <w:lang w:val="en-US" w:eastAsia="pt-BR"/>
        </w:rPr>
        <w:t xml:space="preserve"> companies. Reporting directly to the Executive Board, one of CASG's objectives is to </w:t>
      </w:r>
      <w:r>
        <w:rPr>
          <w:lang w:val="en-US" w:eastAsia="pt-BR"/>
        </w:rPr>
        <w:t xml:space="preserve">integrate </w:t>
      </w:r>
      <w:r w:rsidRPr="00776837">
        <w:rPr>
          <w:lang w:val="en-US" w:eastAsia="pt-BR"/>
        </w:rPr>
        <w:t xml:space="preserve">all the </w:t>
      </w:r>
      <w:r>
        <w:rPr>
          <w:lang w:val="en-US" w:eastAsia="pt-BR"/>
        </w:rPr>
        <w:t xml:space="preserve">group’s </w:t>
      </w:r>
      <w:r w:rsidRPr="00776837">
        <w:rPr>
          <w:lang w:val="en-US" w:eastAsia="pt-BR"/>
        </w:rPr>
        <w:t>companies in order to advance the agenda</w:t>
      </w:r>
      <w:r>
        <w:rPr>
          <w:lang w:val="en-US" w:eastAsia="pt-BR"/>
        </w:rPr>
        <w:t>.</w:t>
      </w:r>
      <w:r w:rsidRPr="00776837">
        <w:rPr>
          <w:lang w:val="en-US" w:eastAsia="pt-BR"/>
        </w:rPr>
        <w:t xml:space="preserve"> </w:t>
      </w:r>
    </w:p>
    <w:p w14:paraId="070AA393" w14:textId="77777777" w:rsidR="008C707F" w:rsidRDefault="008C707F" w:rsidP="005F127B">
      <w:pPr>
        <w:spacing w:before="120" w:after="120"/>
        <w:jc w:val="both"/>
        <w:rPr>
          <w:rFonts w:eastAsia="Times New Roman" w:cs="Times New Roman"/>
          <w:spacing w:val="-2"/>
          <w:szCs w:val="18"/>
          <w:lang w:val="en-US" w:eastAsia="pt-BR"/>
        </w:rPr>
      </w:pPr>
      <w:r w:rsidRPr="00776837">
        <w:rPr>
          <w:rFonts w:eastAsia="Times New Roman" w:cs="Times New Roman"/>
          <w:spacing w:val="-2"/>
          <w:szCs w:val="18"/>
          <w:lang w:val="en-US" w:eastAsia="pt-BR"/>
        </w:rPr>
        <w:t xml:space="preserve">One of CASG's deliveries in 2022 was the creation of the </w:t>
      </w:r>
      <w:r>
        <w:rPr>
          <w:rFonts w:eastAsia="Times New Roman" w:cs="Times New Roman"/>
          <w:spacing w:val="-2"/>
          <w:szCs w:val="18"/>
          <w:lang w:val="en-US" w:eastAsia="pt-BR"/>
        </w:rPr>
        <w:t>E</w:t>
      </w:r>
      <w:r w:rsidRPr="00776837">
        <w:rPr>
          <w:rFonts w:eastAsia="Times New Roman" w:cs="Times New Roman"/>
          <w:spacing w:val="-2"/>
          <w:szCs w:val="18"/>
          <w:lang w:val="en-US" w:eastAsia="pt-BR"/>
        </w:rPr>
        <w:t>SG Panel, with sustainability risk indicators (environmental, social, and climatic), as defined in</w:t>
      </w:r>
      <w:r>
        <w:rPr>
          <w:rFonts w:eastAsia="Times New Roman" w:cs="Times New Roman"/>
          <w:spacing w:val="-2"/>
          <w:szCs w:val="18"/>
          <w:lang w:val="en-US" w:eastAsia="pt-BR"/>
        </w:rPr>
        <w:t xml:space="preserve"> the</w:t>
      </w:r>
      <w:r w:rsidRPr="00776837">
        <w:rPr>
          <w:rFonts w:eastAsia="Times New Roman" w:cs="Times New Roman"/>
          <w:spacing w:val="-2"/>
          <w:szCs w:val="18"/>
          <w:lang w:val="en-US" w:eastAsia="pt-BR"/>
        </w:rPr>
        <w:t xml:space="preserve"> Susep Circular 666/2022, in a </w:t>
      </w:r>
      <w:r>
        <w:rPr>
          <w:rFonts w:eastAsia="Times New Roman" w:cs="Times New Roman"/>
          <w:spacing w:val="-2"/>
          <w:szCs w:val="18"/>
          <w:lang w:val="en-US" w:eastAsia="pt-BR"/>
        </w:rPr>
        <w:t>consolidated view</w:t>
      </w:r>
      <w:r w:rsidRPr="00776837">
        <w:rPr>
          <w:rFonts w:eastAsia="Times New Roman" w:cs="Times New Roman"/>
          <w:spacing w:val="-2"/>
          <w:szCs w:val="18"/>
          <w:lang w:val="en-US" w:eastAsia="pt-BR"/>
        </w:rPr>
        <w:t>.</w:t>
      </w:r>
    </w:p>
    <w:p w14:paraId="3E320270" w14:textId="77777777" w:rsidR="008C707F" w:rsidRPr="00776837" w:rsidRDefault="008C707F" w:rsidP="00E92850">
      <w:pPr>
        <w:spacing w:before="120" w:after="120"/>
        <w:jc w:val="both"/>
        <w:rPr>
          <w:rFonts w:eastAsia="Times New Roman" w:cs="Times New Roman"/>
          <w:spacing w:val="-2"/>
          <w:szCs w:val="18"/>
          <w:lang w:val="en-US" w:eastAsia="pt-BR"/>
        </w:rPr>
      </w:pPr>
      <w:r w:rsidRPr="00776837">
        <w:rPr>
          <w:lang w:val="en-US" w:eastAsia="pt-BR"/>
        </w:rPr>
        <w:t xml:space="preserve">Educating the staff on the subject is another concern of the Company to ensure that </w:t>
      </w:r>
      <w:r>
        <w:rPr>
          <w:lang w:val="en-US" w:eastAsia="pt-BR"/>
        </w:rPr>
        <w:t>E</w:t>
      </w:r>
      <w:r w:rsidRPr="00776837">
        <w:rPr>
          <w:lang w:val="en-US" w:eastAsia="pt-BR"/>
        </w:rPr>
        <w:t xml:space="preserve">SG aspects are incorporated into the culture and different processes of the </w:t>
      </w:r>
      <w:r>
        <w:rPr>
          <w:lang w:val="en-US" w:eastAsia="pt-BR"/>
        </w:rPr>
        <w:t>C</w:t>
      </w:r>
      <w:r w:rsidRPr="00776837">
        <w:rPr>
          <w:lang w:val="en-US" w:eastAsia="pt-BR"/>
        </w:rPr>
        <w:t xml:space="preserve">ompany. Therefore, in 2022 the 1st </w:t>
      </w:r>
      <w:r>
        <w:rPr>
          <w:lang w:val="en-US" w:eastAsia="pt-BR"/>
        </w:rPr>
        <w:t xml:space="preserve">Company’s </w:t>
      </w:r>
      <w:r w:rsidRPr="00776837">
        <w:rPr>
          <w:lang w:val="en-US" w:eastAsia="pt-BR"/>
        </w:rPr>
        <w:t>Sustainability Journey was held, with national reach and broadcast via YouTube, with the participation of BB Seguridade</w:t>
      </w:r>
      <w:r>
        <w:rPr>
          <w:lang w:val="en-US" w:eastAsia="pt-BR"/>
        </w:rPr>
        <w:t>’S CEO</w:t>
      </w:r>
      <w:r w:rsidRPr="00776837">
        <w:rPr>
          <w:lang w:val="en-US" w:eastAsia="pt-BR"/>
        </w:rPr>
        <w:t>, the</w:t>
      </w:r>
      <w:r>
        <w:rPr>
          <w:lang w:val="en-US" w:eastAsia="pt-BR"/>
        </w:rPr>
        <w:t xml:space="preserve"> CEOs</w:t>
      </w:r>
      <w:r w:rsidRPr="00776837">
        <w:rPr>
          <w:lang w:val="en-US" w:eastAsia="pt-BR"/>
        </w:rPr>
        <w:t xml:space="preserve"> of Brasilprev and Fundação Banco do Brasil ("FBB"), as well as</w:t>
      </w:r>
      <w:r>
        <w:rPr>
          <w:lang w:val="en-US" w:eastAsia="pt-BR"/>
        </w:rPr>
        <w:t xml:space="preserve"> </w:t>
      </w:r>
      <w:r w:rsidRPr="00776837">
        <w:rPr>
          <w:lang w:val="en-US" w:eastAsia="pt-BR"/>
        </w:rPr>
        <w:t xml:space="preserve">executives </w:t>
      </w:r>
      <w:r>
        <w:rPr>
          <w:lang w:val="en-US" w:eastAsia="pt-BR"/>
        </w:rPr>
        <w:t>from</w:t>
      </w:r>
      <w:r w:rsidRPr="00776837">
        <w:rPr>
          <w:lang w:val="en-US" w:eastAsia="pt-BR"/>
        </w:rPr>
        <w:t xml:space="preserve"> Banco do Brasil and the market.</w:t>
      </w:r>
    </w:p>
    <w:p w14:paraId="1F9459D5" w14:textId="77777777" w:rsidR="008C707F" w:rsidRPr="00776837" w:rsidRDefault="008C707F" w:rsidP="005F127B">
      <w:pPr>
        <w:spacing w:before="120" w:after="120"/>
        <w:jc w:val="both"/>
        <w:rPr>
          <w:lang w:val="en-US" w:eastAsia="pt-BR"/>
        </w:rPr>
      </w:pPr>
      <w:r w:rsidRPr="00776837">
        <w:rPr>
          <w:lang w:val="en-US" w:eastAsia="pt-BR"/>
        </w:rPr>
        <w:t>For 2023, CASG is work</w:t>
      </w:r>
      <w:r>
        <w:rPr>
          <w:lang w:val="en-US" w:eastAsia="pt-BR"/>
        </w:rPr>
        <w:t>ing</w:t>
      </w:r>
      <w:r w:rsidRPr="00776837">
        <w:rPr>
          <w:lang w:val="en-US" w:eastAsia="pt-BR"/>
        </w:rPr>
        <w:t xml:space="preserve"> to define the Sustainable Development Goals (</w:t>
      </w:r>
      <w:r>
        <w:rPr>
          <w:lang w:val="en-US" w:eastAsia="pt-BR"/>
        </w:rPr>
        <w:t>SDG</w:t>
      </w:r>
      <w:r w:rsidRPr="00776837">
        <w:rPr>
          <w:lang w:val="en-US" w:eastAsia="pt-BR"/>
        </w:rPr>
        <w:t xml:space="preserve">) to be prioritized by BB Seguridade in its sustainability strategy, linked to the strategy and risk management, based on the material topics defined in the study conducted in 2021 after listening to the company's main </w:t>
      </w:r>
      <w:r w:rsidRPr="008A6D3A">
        <w:rPr>
          <w:lang w:val="en-US" w:eastAsia="pt-BR"/>
        </w:rPr>
        <w:t>stakeholders</w:t>
      </w:r>
      <w:r w:rsidRPr="00776837">
        <w:rPr>
          <w:lang w:val="en-US" w:eastAsia="pt-BR"/>
        </w:rPr>
        <w:t xml:space="preserve">: client satisfaction and transparency in communication and business practices; </w:t>
      </w:r>
      <w:r>
        <w:rPr>
          <w:lang w:val="en-US" w:eastAsia="pt-BR"/>
        </w:rPr>
        <w:t>E</w:t>
      </w:r>
      <w:r w:rsidRPr="00776837">
        <w:rPr>
          <w:lang w:val="en-US" w:eastAsia="pt-BR"/>
        </w:rPr>
        <w:t>SG integration in investments and products; corporate governance; innovation and technology; risk management; talent attraction and</w:t>
      </w:r>
      <w:r>
        <w:rPr>
          <w:lang w:val="en-US" w:eastAsia="pt-BR"/>
        </w:rPr>
        <w:t xml:space="preserve"> </w:t>
      </w:r>
      <w:r w:rsidRPr="00776837">
        <w:rPr>
          <w:lang w:val="en-US" w:eastAsia="pt-BR"/>
        </w:rPr>
        <w:t xml:space="preserve">retention; operational excellence; cybersecurity and privacy management; and financial performance. This study will be reviewed in 2023, with one of the ambitions being to align the material topics among all the companies </w:t>
      </w:r>
      <w:r>
        <w:rPr>
          <w:lang w:val="en-US" w:eastAsia="pt-BR"/>
        </w:rPr>
        <w:t>of</w:t>
      </w:r>
      <w:r w:rsidRPr="00776837">
        <w:rPr>
          <w:lang w:val="en-US" w:eastAsia="pt-BR"/>
        </w:rPr>
        <w:t xml:space="preserve"> the group.</w:t>
      </w:r>
    </w:p>
    <w:p w14:paraId="1946FD60" w14:textId="77777777" w:rsidR="008C707F" w:rsidRPr="008A6D3A" w:rsidRDefault="008C707F" w:rsidP="005F127B">
      <w:pPr>
        <w:spacing w:before="120" w:after="120"/>
        <w:jc w:val="both"/>
        <w:rPr>
          <w:lang w:val="en-US" w:eastAsia="pt-BR"/>
        </w:rPr>
      </w:pPr>
      <w:r w:rsidRPr="00776837">
        <w:rPr>
          <w:lang w:val="en-US" w:eastAsia="pt-BR"/>
        </w:rPr>
        <w:t xml:space="preserve">Concerned with the transparency of </w:t>
      </w:r>
      <w:r>
        <w:rPr>
          <w:lang w:val="en-US" w:eastAsia="pt-BR"/>
        </w:rPr>
        <w:t>E</w:t>
      </w:r>
      <w:r w:rsidRPr="00776837">
        <w:rPr>
          <w:lang w:val="en-US" w:eastAsia="pt-BR"/>
        </w:rPr>
        <w:t xml:space="preserve">SG aspects, the Company is also working to evolve its sustainability reporting for the year 2022, reflecting the new </w:t>
      </w:r>
      <w:r w:rsidRPr="00776837">
        <w:rPr>
          <w:i/>
          <w:iCs/>
          <w:lang w:val="en-US" w:eastAsia="pt-BR"/>
        </w:rPr>
        <w:t>Global Reporting Initiative</w:t>
      </w:r>
      <w:r w:rsidRPr="00776837">
        <w:rPr>
          <w:lang w:val="en-US" w:eastAsia="pt-BR"/>
        </w:rPr>
        <w:t xml:space="preserve"> (GRI) standards released at the end of 2021, the inclusion of </w:t>
      </w:r>
      <w:r w:rsidRPr="008A6D3A">
        <w:rPr>
          <w:i/>
          <w:iCs/>
          <w:lang w:val="en-US" w:eastAsia="pt-BR"/>
        </w:rPr>
        <w:t>Sustainability Accounting Standards Boards</w:t>
      </w:r>
      <w:r w:rsidRPr="008A6D3A">
        <w:rPr>
          <w:lang w:val="en-US" w:eastAsia="pt-BR"/>
        </w:rPr>
        <w:t xml:space="preserve"> (SASB) standards and external assurance in the 2022 Sustainability Report.</w:t>
      </w:r>
    </w:p>
    <w:p w14:paraId="5372F9CE" w14:textId="2B61572D" w:rsidR="008C707F" w:rsidRPr="00776837" w:rsidRDefault="008C707F" w:rsidP="005F127B">
      <w:pPr>
        <w:spacing w:before="120" w:after="120"/>
        <w:jc w:val="both"/>
        <w:rPr>
          <w:lang w:val="en-US" w:eastAsia="pt-BR"/>
        </w:rPr>
      </w:pPr>
      <w:r w:rsidRPr="008A6D3A">
        <w:rPr>
          <w:rFonts w:eastAsia="Times New Roman" w:cs="Arial"/>
          <w:spacing w:val="-2"/>
          <w:szCs w:val="18"/>
          <w:lang w:val="en-US" w:eastAsia="pt-BR"/>
        </w:rPr>
        <w:t xml:space="preserve">At </w:t>
      </w:r>
      <w:r w:rsidRPr="00C74FB3">
        <w:rPr>
          <w:lang w:val="en-US"/>
        </w:rPr>
        <w:t>https://www.bbseguridaderi.com.br/en/sustainability-and-governance/sustainability/</w:t>
      </w:r>
      <w:r w:rsidRPr="00776837">
        <w:rPr>
          <w:rFonts w:eastAsia="Times New Roman" w:cs="Arial"/>
          <w:spacing w:val="-2"/>
          <w:szCs w:val="18"/>
          <w:lang w:val="en-US" w:eastAsia="pt-BR"/>
        </w:rPr>
        <w:t xml:space="preserve"> it is possible to access the Company's sustainability reports from the last years. </w:t>
      </w:r>
    </w:p>
    <w:p w14:paraId="7CE63AEF" w14:textId="77777777" w:rsidR="008C707F" w:rsidRPr="00776837" w:rsidRDefault="008C707F" w:rsidP="00E84DAB">
      <w:pPr>
        <w:spacing w:before="120" w:after="120"/>
        <w:jc w:val="both"/>
        <w:rPr>
          <w:color w:val="FF0000"/>
          <w:lang w:val="en-US" w:eastAsia="pt-BR"/>
        </w:rPr>
      </w:pPr>
    </w:p>
    <w:p w14:paraId="276FE0A1" w14:textId="77777777" w:rsidR="008C707F" w:rsidRPr="00776837" w:rsidRDefault="008C707F" w:rsidP="00053E4D">
      <w:pPr>
        <w:pStyle w:val="03-SubttulodeNota"/>
        <w:spacing w:line="276" w:lineRule="auto"/>
        <w:rPr>
          <w:color w:val="1F4E79" w:themeColor="accent1" w:themeShade="80"/>
          <w:lang w:val="en-US"/>
        </w:rPr>
      </w:pPr>
      <w:r w:rsidRPr="00776837">
        <w:rPr>
          <w:color w:val="1F4E79" w:themeColor="accent1" w:themeShade="80"/>
          <w:lang w:val="en-US"/>
        </w:rPr>
        <w:t xml:space="preserve">Governance, Risk Management and </w:t>
      </w:r>
      <w:r w:rsidRPr="00776837">
        <w:rPr>
          <w:i/>
          <w:iCs/>
          <w:color w:val="1F4E79" w:themeColor="accent1" w:themeShade="80"/>
          <w:lang w:val="en-US"/>
        </w:rPr>
        <w:t>Compliance</w:t>
      </w:r>
    </w:p>
    <w:p w14:paraId="0A09596F" w14:textId="77777777" w:rsidR="008C707F" w:rsidRPr="00776837" w:rsidRDefault="008C707F" w:rsidP="00E84DAB">
      <w:pPr>
        <w:pStyle w:val="03-SubttulodeNota"/>
        <w:spacing w:line="276" w:lineRule="auto"/>
        <w:rPr>
          <w:b w:val="0"/>
          <w:bCs/>
          <w:color w:val="000000" w:themeColor="text1"/>
          <w:sz w:val="18"/>
          <w:szCs w:val="18"/>
          <w:u w:val="single"/>
          <w:lang w:val="en-US"/>
        </w:rPr>
      </w:pPr>
      <w:r w:rsidRPr="00776837">
        <w:rPr>
          <w:b w:val="0"/>
          <w:bCs/>
          <w:color w:val="000000" w:themeColor="text1"/>
          <w:sz w:val="18"/>
          <w:szCs w:val="18"/>
          <w:u w:val="single"/>
          <w:lang w:val="en-US"/>
        </w:rPr>
        <w:t>Governance</w:t>
      </w:r>
    </w:p>
    <w:p w14:paraId="23B89BBE" w14:textId="77777777" w:rsidR="008C707F" w:rsidRPr="00776837" w:rsidRDefault="008C707F" w:rsidP="008723AB">
      <w:pPr>
        <w:jc w:val="both"/>
        <w:rPr>
          <w:rFonts w:eastAsia="Times New Roman" w:cs="Arial"/>
          <w:spacing w:val="-2"/>
          <w:szCs w:val="18"/>
          <w:lang w:val="en-US" w:eastAsia="pt-BR"/>
        </w:rPr>
      </w:pPr>
      <w:r w:rsidRPr="00776837">
        <w:rPr>
          <w:rFonts w:eastAsia="Times New Roman" w:cs="Arial"/>
          <w:spacing w:val="-2"/>
          <w:szCs w:val="18"/>
          <w:lang w:val="en-US" w:eastAsia="pt-BR"/>
        </w:rPr>
        <w:t>BB Seguridade's commitment to transparency in its relationship with the market, and especially with its minority shareholders, is ratified by its membership, since going public, in B3's Novo Mercado, a segment that brings together companies that meet the highest corporate governance requirements in the Brazilian market.</w:t>
      </w:r>
    </w:p>
    <w:p w14:paraId="7C3B8623" w14:textId="77777777" w:rsidR="008C707F" w:rsidRPr="00776837" w:rsidRDefault="008C707F" w:rsidP="008723AB">
      <w:pPr>
        <w:jc w:val="both"/>
        <w:rPr>
          <w:rFonts w:eastAsia="Times New Roman" w:cs="Arial"/>
          <w:spacing w:val="-2"/>
          <w:szCs w:val="18"/>
          <w:lang w:val="en-US" w:eastAsia="pt-BR"/>
        </w:rPr>
      </w:pPr>
      <w:r w:rsidRPr="00776837">
        <w:rPr>
          <w:rFonts w:eastAsia="Times New Roman" w:cs="Arial"/>
          <w:spacing w:val="-2"/>
          <w:szCs w:val="18"/>
          <w:lang w:val="en-US" w:eastAsia="pt-BR"/>
        </w:rPr>
        <w:t xml:space="preserve">In 2022, BB Seguridade achieved a score of 10 in the IG-SEST Governance Indicator Certification, remaining for the fourth consecutive time at level 1 of the governance index. The IG-SEST is an instrument of continuous assessment of the federal </w:t>
      </w:r>
      <w:r w:rsidRPr="00776837">
        <w:rPr>
          <w:rFonts w:eastAsia="Times New Roman" w:cs="Arial"/>
          <w:spacing w:val="-2"/>
          <w:szCs w:val="18"/>
          <w:lang w:val="en-US" w:eastAsia="pt-BR"/>
        </w:rPr>
        <w:lastRenderedPageBreak/>
        <w:t xml:space="preserve">state-owned companies, which verifies the compliance with several legal provisions and regulations, as well as with good corporate governance practices. </w:t>
      </w:r>
    </w:p>
    <w:p w14:paraId="1295DCD0" w14:textId="77777777" w:rsidR="008C707F" w:rsidRPr="00776837" w:rsidRDefault="008C707F" w:rsidP="008723AB">
      <w:pPr>
        <w:jc w:val="both"/>
        <w:rPr>
          <w:rFonts w:eastAsia="Times New Roman" w:cs="Arial"/>
          <w:spacing w:val="-2"/>
          <w:szCs w:val="18"/>
          <w:lang w:val="en-US" w:eastAsia="pt-BR"/>
        </w:rPr>
      </w:pPr>
      <w:r w:rsidRPr="00776837">
        <w:rPr>
          <w:rFonts w:eastAsia="Times New Roman" w:cs="Arial"/>
          <w:spacing w:val="-2"/>
          <w:szCs w:val="18"/>
          <w:lang w:val="en-US" w:eastAsia="pt-BR"/>
        </w:rPr>
        <w:t>The Company implemented the corporate Risk and Capital Committee in 2022, in order to strengthen BB Seguridade's risk and control structure, with independent members, directly linked to the Board of Directors, to advise them on risk and capital management issues.</w:t>
      </w:r>
    </w:p>
    <w:p w14:paraId="1A44C0DA" w14:textId="77777777" w:rsidR="008C707F" w:rsidRPr="00776837" w:rsidRDefault="008C707F" w:rsidP="008723AB">
      <w:pPr>
        <w:jc w:val="both"/>
        <w:rPr>
          <w:rFonts w:eastAsia="Times New Roman" w:cs="Arial"/>
          <w:spacing w:val="-2"/>
          <w:szCs w:val="18"/>
          <w:lang w:val="en-US" w:eastAsia="pt-BR"/>
        </w:rPr>
      </w:pPr>
      <w:r w:rsidRPr="00776837">
        <w:rPr>
          <w:rFonts w:eastAsia="Times New Roman" w:cs="Arial"/>
          <w:spacing w:val="-2"/>
          <w:szCs w:val="18"/>
          <w:lang w:val="en-US" w:eastAsia="pt-BR"/>
        </w:rPr>
        <w:t>As in 2021, the General Meeting of the Shareholders and the meetings of the Board of Directors and Advisory Committees were held entirely digitally during the year, with the aim of reducing travel and corporate trips that are not necessary, in addition to the use of electronic and digital instruments and the use of electronic signatures in corporate documents aimed at reducing paper consumption.</w:t>
      </w:r>
    </w:p>
    <w:p w14:paraId="5AA721E4" w14:textId="77777777" w:rsidR="008C707F" w:rsidRPr="00776837" w:rsidRDefault="008C707F" w:rsidP="00E84DAB">
      <w:pPr>
        <w:pStyle w:val="03-SubttulodeNota"/>
        <w:spacing w:line="276" w:lineRule="auto"/>
        <w:rPr>
          <w:b w:val="0"/>
          <w:bCs/>
          <w:color w:val="000000" w:themeColor="text1"/>
          <w:sz w:val="18"/>
          <w:szCs w:val="18"/>
          <w:u w:val="single"/>
          <w:lang w:val="en-US"/>
        </w:rPr>
      </w:pPr>
      <w:r w:rsidRPr="00776837">
        <w:rPr>
          <w:b w:val="0"/>
          <w:bCs/>
          <w:color w:val="000000" w:themeColor="text1"/>
          <w:sz w:val="18"/>
          <w:szCs w:val="18"/>
          <w:u w:val="single"/>
          <w:lang w:val="en-US"/>
        </w:rPr>
        <w:t>Risk Management and Compliance</w:t>
      </w:r>
    </w:p>
    <w:p w14:paraId="58CC1898" w14:textId="77777777" w:rsidR="008C707F" w:rsidRPr="00776837" w:rsidRDefault="008C707F" w:rsidP="00467E0D">
      <w:pPr>
        <w:spacing w:before="120" w:after="120"/>
        <w:jc w:val="both"/>
        <w:rPr>
          <w:rFonts w:eastAsia="Times New Roman" w:cs="Times New Roman"/>
          <w:spacing w:val="-2"/>
          <w:szCs w:val="18"/>
          <w:lang w:val="en-US" w:eastAsia="pt-BR"/>
        </w:rPr>
      </w:pPr>
      <w:r w:rsidRPr="00776837">
        <w:rPr>
          <w:rFonts w:eastAsia="Times New Roman" w:cs="Times New Roman"/>
          <w:spacing w:val="-2"/>
          <w:szCs w:val="18"/>
          <w:lang w:val="en-US" w:eastAsia="pt-BR"/>
        </w:rPr>
        <w:t xml:space="preserve">In addition to corporate governance, inspection and control bodies, such as the Audit Committee ("Coaud") and the Supervisory Board, BB Seguridade has, in its organizational structure, a technical area separated from business functions, the Executive Superintendency of Governance, Risks and Compliance, linked directly to the Company's </w:t>
      </w:r>
      <w:r>
        <w:rPr>
          <w:rFonts w:eastAsia="Times New Roman" w:cs="Times New Roman"/>
          <w:spacing w:val="-2"/>
          <w:szCs w:val="18"/>
          <w:lang w:val="en-US" w:eastAsia="pt-BR"/>
        </w:rPr>
        <w:t>CEO</w:t>
      </w:r>
      <w:r w:rsidRPr="00776837">
        <w:rPr>
          <w:rFonts w:eastAsia="Times New Roman" w:cs="Times New Roman"/>
          <w:spacing w:val="-2"/>
          <w:szCs w:val="18"/>
          <w:lang w:val="en-US" w:eastAsia="pt-BR"/>
        </w:rPr>
        <w:t xml:space="preserve">, which ensures the needed independence of action. </w:t>
      </w:r>
    </w:p>
    <w:p w14:paraId="28D86739" w14:textId="77777777" w:rsidR="008C707F" w:rsidRPr="00776837" w:rsidRDefault="008C707F" w:rsidP="00467E0D">
      <w:pPr>
        <w:spacing w:before="120" w:after="120"/>
        <w:jc w:val="both"/>
        <w:rPr>
          <w:rFonts w:eastAsia="Times New Roman" w:cs="Times New Roman"/>
          <w:spacing w:val="-2"/>
          <w:szCs w:val="18"/>
          <w:lang w:val="en-US" w:eastAsia="pt-BR"/>
        </w:rPr>
      </w:pPr>
      <w:r w:rsidRPr="00776837">
        <w:rPr>
          <w:rFonts w:eastAsia="Times New Roman" w:cs="Times New Roman"/>
          <w:spacing w:val="-2"/>
          <w:szCs w:val="18"/>
          <w:lang w:val="en-US" w:eastAsia="pt-BR"/>
        </w:rPr>
        <w:t xml:space="preserve">The Superintendency is responsible for developing and standardizing risk management methodologies, internal controls and compliance, in addition to guiding the adoption of best practices related to the topic. The guidelines approved by the Board of Directors, are in the Risk Appetite Statement, Capital Management Policy, Internal Controls and Compliance and Policy for Preventing and Combating Money Laundering and Financing of Terrorism and Corruption and the Policy for Preventing and Combating Corruption. </w:t>
      </w:r>
    </w:p>
    <w:p w14:paraId="10FCADAF" w14:textId="77777777" w:rsidR="008C707F" w:rsidRPr="00776837" w:rsidRDefault="008C707F" w:rsidP="00467E0D">
      <w:pPr>
        <w:spacing w:before="120" w:after="120"/>
        <w:jc w:val="both"/>
        <w:rPr>
          <w:rFonts w:eastAsia="Times New Roman" w:cs="Times New Roman"/>
          <w:spacing w:val="-2"/>
          <w:szCs w:val="18"/>
          <w:lang w:val="en-US" w:eastAsia="pt-BR"/>
        </w:rPr>
      </w:pPr>
      <w:r w:rsidRPr="00776837">
        <w:rPr>
          <w:rFonts w:eastAsia="Times New Roman" w:cs="Times New Roman"/>
          <w:spacing w:val="-2"/>
          <w:szCs w:val="18"/>
          <w:lang w:val="en-US" w:eastAsia="pt-BR"/>
        </w:rPr>
        <w:t xml:space="preserve">The Risk Management, Internal Controls and Compliance Model, approved by the Board of </w:t>
      </w:r>
      <w:r>
        <w:rPr>
          <w:rFonts w:eastAsia="Times New Roman" w:cs="Times New Roman"/>
          <w:spacing w:val="-2"/>
          <w:szCs w:val="18"/>
          <w:lang w:val="en-US" w:eastAsia="pt-BR"/>
        </w:rPr>
        <w:t>Executive Officers</w:t>
      </w:r>
      <w:r w:rsidRPr="00776837">
        <w:rPr>
          <w:rFonts w:eastAsia="Times New Roman" w:cs="Times New Roman"/>
          <w:spacing w:val="-2"/>
          <w:szCs w:val="18"/>
          <w:lang w:val="en-US" w:eastAsia="pt-BR"/>
        </w:rPr>
        <w:t xml:space="preserve">, is in line with the Company's strategy and considers the corporate scenarios in the identification, analysis, evaluation and treatment of events </w:t>
      </w:r>
      <w:r>
        <w:rPr>
          <w:rFonts w:eastAsia="Times New Roman" w:cs="Times New Roman"/>
          <w:spacing w:val="-2"/>
          <w:szCs w:val="18"/>
          <w:lang w:val="en-US" w:eastAsia="pt-BR"/>
        </w:rPr>
        <w:t xml:space="preserve">that can </w:t>
      </w:r>
      <w:r w:rsidRPr="00776837">
        <w:rPr>
          <w:rFonts w:eastAsia="Times New Roman" w:cs="Times New Roman"/>
          <w:spacing w:val="-2"/>
          <w:szCs w:val="18"/>
          <w:lang w:val="en-US" w:eastAsia="pt-BR"/>
        </w:rPr>
        <w:t xml:space="preserve">impact the achievement of the objectives. </w:t>
      </w:r>
    </w:p>
    <w:p w14:paraId="489FB9FC" w14:textId="77777777" w:rsidR="008C707F" w:rsidRPr="00776837" w:rsidRDefault="008C707F" w:rsidP="00467E0D">
      <w:pPr>
        <w:spacing w:before="120" w:after="120"/>
        <w:jc w:val="both"/>
        <w:rPr>
          <w:rFonts w:eastAsia="Times New Roman" w:cs="Times New Roman"/>
          <w:spacing w:val="-2"/>
          <w:szCs w:val="18"/>
          <w:lang w:val="en-US" w:eastAsia="pt-BR"/>
        </w:rPr>
      </w:pPr>
      <w:r w:rsidRPr="00776837">
        <w:rPr>
          <w:rFonts w:eastAsia="Times New Roman" w:cs="Times New Roman"/>
          <w:spacing w:val="-2"/>
          <w:szCs w:val="18"/>
          <w:lang w:val="en-US" w:eastAsia="pt-BR"/>
        </w:rPr>
        <w:t xml:space="preserve">The result of the continuous monitoring of the internal control system and the corporate compliance status is reported quarterly to the management, through the Internal Controls and Compliance Panel, which includes relevant information on work carried out not only by the technical area dedicated to control and compliance management, but also by the Internal Audit, External Audit and other supervisory bodies. </w:t>
      </w:r>
    </w:p>
    <w:p w14:paraId="32AEE738" w14:textId="77777777" w:rsidR="008C707F" w:rsidRPr="00776837" w:rsidRDefault="008C707F" w:rsidP="00467E0D">
      <w:pPr>
        <w:spacing w:before="120" w:after="120"/>
        <w:jc w:val="both"/>
        <w:rPr>
          <w:rFonts w:eastAsia="Times New Roman" w:cs="Times New Roman"/>
          <w:spacing w:val="-2"/>
          <w:szCs w:val="18"/>
          <w:lang w:val="en-US" w:eastAsia="pt-BR"/>
        </w:rPr>
      </w:pPr>
      <w:r w:rsidRPr="00776837">
        <w:rPr>
          <w:rFonts w:eastAsia="Times New Roman" w:cs="Times New Roman"/>
          <w:spacing w:val="-2"/>
          <w:szCs w:val="18"/>
          <w:lang w:val="en-US" w:eastAsia="pt-BR"/>
        </w:rPr>
        <w:t xml:space="preserve">From the risk management standpoint, there is monthly reporting of the main indicators to the Executive Board and the Risk Committee ("Coris"). In addition, on a quarterly basis, the results of the monitoring of risk appetite and tolerance indicators and limits are brought to the attention of the Board of Directors, with prior transit to Coris and </w:t>
      </w:r>
      <w:r>
        <w:rPr>
          <w:rFonts w:eastAsia="Times New Roman" w:cs="Times New Roman"/>
          <w:spacing w:val="-2"/>
          <w:szCs w:val="18"/>
          <w:lang w:val="en-US" w:eastAsia="pt-BR"/>
        </w:rPr>
        <w:t>Audit Committee</w:t>
      </w:r>
      <w:r w:rsidRPr="00776837">
        <w:rPr>
          <w:rFonts w:eastAsia="Times New Roman" w:cs="Times New Roman"/>
          <w:spacing w:val="-2"/>
          <w:szCs w:val="18"/>
          <w:lang w:val="en-US" w:eastAsia="pt-BR"/>
        </w:rPr>
        <w:t xml:space="preserve">. </w:t>
      </w:r>
    </w:p>
    <w:p w14:paraId="7AE90DAE" w14:textId="77777777" w:rsidR="008C707F" w:rsidRPr="00776837" w:rsidRDefault="008C707F" w:rsidP="00467E0D">
      <w:pPr>
        <w:spacing w:before="120" w:after="120"/>
        <w:jc w:val="both"/>
        <w:rPr>
          <w:rFonts w:eastAsia="Times New Roman" w:cs="Times New Roman"/>
          <w:spacing w:val="-2"/>
          <w:szCs w:val="18"/>
          <w:lang w:val="en-US" w:eastAsia="pt-BR"/>
        </w:rPr>
      </w:pPr>
      <w:r w:rsidRPr="00776837">
        <w:rPr>
          <w:rFonts w:eastAsia="Times New Roman" w:cs="Times New Roman"/>
          <w:spacing w:val="-2"/>
          <w:szCs w:val="18"/>
          <w:lang w:val="en-US" w:eastAsia="pt-BR"/>
        </w:rPr>
        <w:t>Furthermore, the maintenance and periodic evaluation of an Integrity Program fosters an ethical organizational culture and reinforces everyone's responsibility regarding the best practices of internal controls and compliance, essential to the fulfillment of the mission and business purpose and to the achievement of growing and sustainable results.</w:t>
      </w:r>
    </w:p>
    <w:p w14:paraId="59BED135" w14:textId="77777777" w:rsidR="008C707F" w:rsidRPr="00776837" w:rsidRDefault="008C707F" w:rsidP="00467E0D">
      <w:pPr>
        <w:spacing w:before="120" w:after="120"/>
        <w:jc w:val="both"/>
        <w:rPr>
          <w:rFonts w:eastAsia="Times New Roman" w:cs="Times New Roman"/>
          <w:spacing w:val="-2"/>
          <w:szCs w:val="18"/>
          <w:lang w:val="en-US" w:eastAsia="pt-BR"/>
        </w:rPr>
      </w:pPr>
      <w:r w:rsidRPr="00776837">
        <w:rPr>
          <w:rFonts w:eastAsia="Times New Roman" w:cs="Times New Roman"/>
          <w:spacing w:val="-2"/>
          <w:szCs w:val="18"/>
          <w:lang w:val="en-US" w:eastAsia="pt-BR"/>
        </w:rPr>
        <w:t xml:space="preserve">Among the actions taken throughout 2022, the Company improved the structure dedicated to Risk Management and Controls, with the segregation of such functions and increasing adherence to the best Governance practices. </w:t>
      </w:r>
    </w:p>
    <w:p w14:paraId="086CC7FB" w14:textId="77777777" w:rsidR="008C707F" w:rsidRPr="00776837" w:rsidRDefault="008C707F" w:rsidP="00467E0D">
      <w:pPr>
        <w:spacing w:before="120" w:after="120"/>
        <w:jc w:val="both"/>
        <w:rPr>
          <w:rFonts w:eastAsia="Times New Roman" w:cs="Times New Roman"/>
          <w:spacing w:val="-2"/>
          <w:szCs w:val="18"/>
          <w:lang w:val="en-US" w:eastAsia="pt-BR"/>
        </w:rPr>
      </w:pPr>
      <w:r w:rsidRPr="00776837">
        <w:rPr>
          <w:rFonts w:eastAsia="Times New Roman" w:cs="Times New Roman"/>
          <w:spacing w:val="-2"/>
          <w:szCs w:val="18"/>
          <w:lang w:val="en-US" w:eastAsia="pt-BR"/>
        </w:rPr>
        <w:t xml:space="preserve">In addition, the Institutional Security Management was created, an area responsible for managing information and cyber security, also </w:t>
      </w:r>
      <w:r>
        <w:rPr>
          <w:rFonts w:eastAsia="Times New Roman" w:cs="Times New Roman"/>
          <w:spacing w:val="-2"/>
          <w:szCs w:val="18"/>
          <w:lang w:val="en-US" w:eastAsia="pt-BR"/>
        </w:rPr>
        <w:t>reporting</w:t>
      </w:r>
      <w:r w:rsidRPr="00776837">
        <w:rPr>
          <w:rFonts w:eastAsia="Times New Roman" w:cs="Times New Roman"/>
          <w:spacing w:val="-2"/>
          <w:szCs w:val="18"/>
          <w:lang w:val="en-US" w:eastAsia="pt-BR"/>
        </w:rPr>
        <w:t xml:space="preserve"> to the Executive Superintendence of Governance, Risks and Compliance. </w:t>
      </w:r>
    </w:p>
    <w:p w14:paraId="5040A6F9" w14:textId="77777777" w:rsidR="008C707F" w:rsidRPr="00776837" w:rsidRDefault="008C707F" w:rsidP="00467E0D">
      <w:pPr>
        <w:spacing w:before="120" w:after="120"/>
        <w:jc w:val="both"/>
        <w:rPr>
          <w:lang w:val="en-US" w:eastAsia="pt-BR"/>
        </w:rPr>
      </w:pPr>
      <w:r w:rsidRPr="00776837">
        <w:rPr>
          <w:lang w:val="en-US" w:eastAsia="pt-BR"/>
        </w:rPr>
        <w:t>These initiatives helped raise the strategic focus and the resilience of the company in face of new challenges after the pandemic, and also contemplated the necessary regulatory adjustments, especially those related to the General Data Protection Law, CNSP (National Council of Private Insurance) Resolutions No. 382 and 416, Susep Circular Letters No. 612, 638, and 666, and Decree No. 11.129.</w:t>
      </w:r>
    </w:p>
    <w:p w14:paraId="5B528089" w14:textId="77777777" w:rsidR="008C707F" w:rsidRPr="00776837" w:rsidRDefault="008C707F" w:rsidP="00467E0D">
      <w:pPr>
        <w:spacing w:before="120" w:after="120"/>
        <w:jc w:val="both"/>
        <w:rPr>
          <w:lang w:val="en-US" w:eastAsia="pt-BR"/>
        </w:rPr>
      </w:pPr>
    </w:p>
    <w:p w14:paraId="0719FF0F" w14:textId="77777777" w:rsidR="008C707F" w:rsidRPr="00776837" w:rsidRDefault="008C707F" w:rsidP="00597253">
      <w:pPr>
        <w:pStyle w:val="03-SubttulodeNota"/>
        <w:spacing w:line="276" w:lineRule="auto"/>
        <w:rPr>
          <w:color w:val="1F4E79" w:themeColor="accent1" w:themeShade="80"/>
          <w:lang w:val="en-US"/>
        </w:rPr>
      </w:pPr>
      <w:r w:rsidRPr="00776837">
        <w:rPr>
          <w:color w:val="1F4E79" w:themeColor="accent1" w:themeShade="80"/>
          <w:lang w:val="en-US"/>
        </w:rPr>
        <w:t>Human Capital Management</w:t>
      </w:r>
    </w:p>
    <w:p w14:paraId="0B5A9C86" w14:textId="77777777" w:rsidR="008C707F" w:rsidRPr="00776837" w:rsidRDefault="008C707F" w:rsidP="00DB0B4F">
      <w:pPr>
        <w:spacing w:before="120" w:after="120"/>
        <w:jc w:val="both"/>
        <w:rPr>
          <w:rFonts w:cs="Arial"/>
          <w:color w:val="000000"/>
          <w:szCs w:val="18"/>
          <w:lang w:val="en-US"/>
        </w:rPr>
      </w:pPr>
      <w:r w:rsidRPr="00776837">
        <w:rPr>
          <w:rFonts w:cs="Arial"/>
          <w:color w:val="000000"/>
          <w:szCs w:val="18"/>
          <w:lang w:val="en-US"/>
        </w:rPr>
        <w:t xml:space="preserve">BB Seguridade's staff is composed of employees </w:t>
      </w:r>
      <w:r>
        <w:rPr>
          <w:rFonts w:cs="Arial"/>
          <w:color w:val="000000"/>
          <w:szCs w:val="18"/>
          <w:lang w:val="en-US"/>
        </w:rPr>
        <w:t>ceded</w:t>
      </w:r>
      <w:r w:rsidRPr="00776837">
        <w:rPr>
          <w:rFonts w:cs="Arial"/>
          <w:color w:val="000000"/>
          <w:szCs w:val="18"/>
          <w:lang w:val="en-US"/>
        </w:rPr>
        <w:t xml:space="preserve"> by BB. On 12/31/2022, the Company had 171 employees subject to the Consolidation of Labor Laws and 4 </w:t>
      </w:r>
      <w:r>
        <w:rPr>
          <w:rFonts w:cs="Arial"/>
          <w:color w:val="000000"/>
          <w:szCs w:val="18"/>
          <w:lang w:val="en-US"/>
        </w:rPr>
        <w:t xml:space="preserve">executive </w:t>
      </w:r>
      <w:r w:rsidRPr="00776837">
        <w:rPr>
          <w:rFonts w:cs="Arial"/>
          <w:color w:val="000000"/>
          <w:szCs w:val="18"/>
          <w:lang w:val="en-US"/>
        </w:rPr>
        <w:t xml:space="preserve">officers, located in Brasilia and São Paulo, 11 interns and 27 </w:t>
      </w:r>
      <w:r>
        <w:rPr>
          <w:rFonts w:cs="Arial"/>
          <w:color w:val="000000"/>
          <w:szCs w:val="18"/>
          <w:lang w:val="en-US"/>
        </w:rPr>
        <w:t xml:space="preserve">outsourced </w:t>
      </w:r>
      <w:r w:rsidRPr="00776837">
        <w:rPr>
          <w:rFonts w:cs="Arial"/>
          <w:color w:val="000000"/>
          <w:szCs w:val="18"/>
          <w:lang w:val="en-US"/>
        </w:rPr>
        <w:t xml:space="preserve">employees. </w:t>
      </w:r>
    </w:p>
    <w:p w14:paraId="2E336B64" w14:textId="77777777" w:rsidR="008C707F" w:rsidRPr="00776837" w:rsidRDefault="008C707F" w:rsidP="00DB0B4F">
      <w:pPr>
        <w:spacing w:before="120" w:after="120"/>
        <w:jc w:val="both"/>
        <w:rPr>
          <w:rFonts w:cs="Arial"/>
          <w:color w:val="000000"/>
          <w:szCs w:val="18"/>
          <w:lang w:val="en-US"/>
        </w:rPr>
      </w:pPr>
      <w:r w:rsidRPr="00776837">
        <w:rPr>
          <w:rFonts w:cs="Arial"/>
          <w:color w:val="000000"/>
          <w:szCs w:val="18"/>
          <w:lang w:val="en-US"/>
        </w:rPr>
        <w:t xml:space="preserve">In 2022, after the review carried out in the previous year on the pillars of the Company's strategy and human capital, the processes inherent to people management started to be conducted by the People and Management Superintendency, combining the actions of people with those of strategy. The association was focused on maturing the Company's management model, maintaining the purpose of giving a more strategic and less transactional role to the human capital area, as well as highlighting the </w:t>
      </w:r>
      <w:r>
        <w:rPr>
          <w:rFonts w:cs="Arial"/>
          <w:color w:val="000000"/>
          <w:szCs w:val="18"/>
          <w:lang w:val="en-US"/>
        </w:rPr>
        <w:t>contribution</w:t>
      </w:r>
      <w:r w:rsidRPr="00776837">
        <w:rPr>
          <w:rFonts w:cs="Arial"/>
          <w:color w:val="000000"/>
          <w:szCs w:val="18"/>
          <w:lang w:val="en-US"/>
        </w:rPr>
        <w:t xml:space="preserve"> of </w:t>
      </w:r>
      <w:r>
        <w:rPr>
          <w:rFonts w:cs="Arial"/>
          <w:color w:val="000000"/>
          <w:szCs w:val="18"/>
          <w:lang w:val="en-US"/>
        </w:rPr>
        <w:t>the employees to</w:t>
      </w:r>
      <w:r w:rsidRPr="00776837">
        <w:rPr>
          <w:rFonts w:cs="Arial"/>
          <w:color w:val="000000"/>
          <w:szCs w:val="18"/>
          <w:lang w:val="en-US"/>
        </w:rPr>
        <w:t xml:space="preserve"> the results, focusing on the goal of attracting, retaining, and developing talent</w:t>
      </w:r>
      <w:r>
        <w:rPr>
          <w:rFonts w:cs="Arial"/>
          <w:color w:val="000000"/>
          <w:szCs w:val="18"/>
          <w:lang w:val="en-US"/>
        </w:rPr>
        <w:t>s</w:t>
      </w:r>
      <w:r w:rsidRPr="00776837">
        <w:rPr>
          <w:rFonts w:cs="Arial"/>
          <w:color w:val="000000"/>
          <w:szCs w:val="18"/>
          <w:lang w:val="en-US"/>
        </w:rPr>
        <w:t>, disseminating and strengthening the organizational culture, and acting as a strategic partner of the business, seeking a sustainable performance in all areas of the Company.</w:t>
      </w:r>
    </w:p>
    <w:p w14:paraId="05ABA357" w14:textId="77777777" w:rsidR="008C707F" w:rsidRPr="00776837" w:rsidRDefault="008C707F" w:rsidP="00DB0B4F">
      <w:pPr>
        <w:spacing w:before="120" w:after="120"/>
        <w:jc w:val="both"/>
        <w:rPr>
          <w:rFonts w:cs="Arial"/>
          <w:color w:val="000000"/>
          <w:szCs w:val="18"/>
          <w:lang w:val="en-US"/>
        </w:rPr>
      </w:pPr>
      <w:r w:rsidRPr="00776837">
        <w:rPr>
          <w:rFonts w:cs="Arial"/>
          <w:color w:val="000000"/>
          <w:szCs w:val="18"/>
          <w:lang w:val="en-US"/>
        </w:rPr>
        <w:t xml:space="preserve"> </w:t>
      </w:r>
    </w:p>
    <w:p w14:paraId="6F8F3AAD" w14:textId="77777777" w:rsidR="008C707F" w:rsidRDefault="008C707F" w:rsidP="00DB0B4F">
      <w:pPr>
        <w:pStyle w:val="03-SubttulodeNota"/>
        <w:spacing w:line="276" w:lineRule="auto"/>
        <w:rPr>
          <w:b w:val="0"/>
          <w:bCs/>
          <w:color w:val="000000" w:themeColor="text1"/>
          <w:sz w:val="18"/>
          <w:szCs w:val="18"/>
          <w:u w:val="single"/>
          <w:lang w:val="en-US"/>
        </w:rPr>
      </w:pPr>
    </w:p>
    <w:p w14:paraId="599373E2" w14:textId="77777777" w:rsidR="008C707F" w:rsidRDefault="008C707F" w:rsidP="00DB0B4F">
      <w:pPr>
        <w:pStyle w:val="03-SubttulodeNota"/>
        <w:spacing w:line="276" w:lineRule="auto"/>
        <w:rPr>
          <w:b w:val="0"/>
          <w:bCs/>
          <w:color w:val="000000" w:themeColor="text1"/>
          <w:sz w:val="18"/>
          <w:szCs w:val="18"/>
          <w:u w:val="single"/>
          <w:lang w:val="en-US"/>
        </w:rPr>
      </w:pPr>
    </w:p>
    <w:p w14:paraId="24A5E313" w14:textId="64CAF7DB" w:rsidR="008C707F" w:rsidRPr="00776837" w:rsidRDefault="008C707F" w:rsidP="00DB0B4F">
      <w:pPr>
        <w:pStyle w:val="03-SubttulodeNota"/>
        <w:spacing w:line="276" w:lineRule="auto"/>
        <w:rPr>
          <w:b w:val="0"/>
          <w:bCs/>
          <w:color w:val="000000" w:themeColor="text1"/>
          <w:sz w:val="18"/>
          <w:szCs w:val="18"/>
          <w:u w:val="single"/>
          <w:lang w:val="en-US"/>
        </w:rPr>
      </w:pPr>
      <w:r w:rsidRPr="00776837">
        <w:rPr>
          <w:b w:val="0"/>
          <w:bCs/>
          <w:color w:val="000000" w:themeColor="text1"/>
          <w:sz w:val="18"/>
          <w:szCs w:val="18"/>
          <w:u w:val="single"/>
          <w:lang w:val="en-US"/>
        </w:rPr>
        <w:lastRenderedPageBreak/>
        <w:t>Training and Development</w:t>
      </w:r>
    </w:p>
    <w:p w14:paraId="0B0518A9" w14:textId="77777777" w:rsidR="008C707F" w:rsidRPr="00776837" w:rsidRDefault="008C707F" w:rsidP="00DB0B4F">
      <w:pPr>
        <w:tabs>
          <w:tab w:val="left" w:pos="1175"/>
        </w:tabs>
        <w:spacing w:before="120" w:after="120"/>
        <w:jc w:val="both"/>
        <w:rPr>
          <w:rFonts w:cs="Arial"/>
          <w:color w:val="000000"/>
          <w:szCs w:val="18"/>
          <w:lang w:val="en-US"/>
        </w:rPr>
      </w:pPr>
      <w:r w:rsidRPr="00776837">
        <w:rPr>
          <w:rFonts w:cs="Arial"/>
          <w:color w:val="000000"/>
          <w:szCs w:val="18"/>
          <w:lang w:val="en-US"/>
        </w:rPr>
        <w:t xml:space="preserve">Reinforcing the importance that BB Seguridade gives to the development of its associates, in 2022 it </w:t>
      </w:r>
      <w:r>
        <w:rPr>
          <w:rFonts w:cs="Arial"/>
          <w:color w:val="000000"/>
          <w:szCs w:val="18"/>
          <w:lang w:val="en-US"/>
        </w:rPr>
        <w:t xml:space="preserve">was </w:t>
      </w:r>
      <w:r w:rsidRPr="00776837">
        <w:rPr>
          <w:rFonts w:cs="Arial"/>
          <w:color w:val="000000"/>
          <w:szCs w:val="18"/>
          <w:lang w:val="en-US"/>
        </w:rPr>
        <w:t>invested more than R$1.0 million in training and subsidies of up to 80% in graduate and language scholarships.</w:t>
      </w:r>
    </w:p>
    <w:p w14:paraId="5D8FCD2E" w14:textId="77777777" w:rsidR="008C707F" w:rsidRPr="00776837" w:rsidRDefault="008C707F" w:rsidP="00DB0B4F">
      <w:pPr>
        <w:tabs>
          <w:tab w:val="left" w:pos="1175"/>
        </w:tabs>
        <w:spacing w:before="120" w:after="120"/>
        <w:jc w:val="both"/>
        <w:rPr>
          <w:rFonts w:cs="Arial"/>
          <w:color w:val="000000"/>
          <w:szCs w:val="18"/>
          <w:lang w:val="en-US"/>
        </w:rPr>
      </w:pPr>
      <w:r w:rsidRPr="00776837">
        <w:rPr>
          <w:rFonts w:cs="Arial"/>
          <w:color w:val="000000"/>
          <w:szCs w:val="18"/>
          <w:lang w:val="en-US"/>
        </w:rPr>
        <w:t>In 2022, the Corporate Development Plan (PDC) was prepared and executed through 11 strategic tracks with online courses at the BB Corporate University that address the strategic objectives for the year and practical actions to consolidate and sustain the knowledge acquired through mentoring, obtaining relevant market certifications and preparing improvement projects. The platform also offers training courses focused on the topic of diversity, such as, for example, Inclusive Leadership and Female Leadership, whose main objective is to disseminate the strategic importance of promoting gender equ</w:t>
      </w:r>
      <w:r>
        <w:rPr>
          <w:rFonts w:cs="Arial"/>
          <w:color w:val="000000"/>
          <w:szCs w:val="18"/>
          <w:lang w:val="en-US"/>
        </w:rPr>
        <w:t>ality</w:t>
      </w:r>
      <w:r w:rsidRPr="00776837">
        <w:rPr>
          <w:rFonts w:cs="Arial"/>
          <w:color w:val="000000"/>
          <w:szCs w:val="18"/>
          <w:lang w:val="en-US"/>
        </w:rPr>
        <w:t xml:space="preserve"> in the company.</w:t>
      </w:r>
    </w:p>
    <w:p w14:paraId="70BF49FB" w14:textId="77777777" w:rsidR="008C707F" w:rsidRPr="00776837" w:rsidRDefault="008C707F" w:rsidP="00DB0B4F">
      <w:pPr>
        <w:tabs>
          <w:tab w:val="left" w:pos="1175"/>
        </w:tabs>
        <w:spacing w:before="120" w:after="120"/>
        <w:jc w:val="both"/>
        <w:rPr>
          <w:rFonts w:cs="Arial"/>
          <w:color w:val="000000"/>
          <w:szCs w:val="18"/>
          <w:lang w:val="en-US"/>
        </w:rPr>
      </w:pPr>
      <w:r w:rsidRPr="00776837">
        <w:rPr>
          <w:rFonts w:cs="Arial"/>
          <w:color w:val="000000"/>
          <w:szCs w:val="18"/>
          <w:lang w:val="en-US"/>
        </w:rPr>
        <w:t>With the objective of improving and consolidating theoretical and practical knowledge in different areas, as well as making the largest number of BB Seguridade employees professionally registered as insurance brokers in the Private Insurance Superintendency (Susep), 35 employees were awarded the preparatory course for Qualification for Insurance Brokers of all sectors, totaling 405 hours of study by the School of Business and Insurance (ENS).</w:t>
      </w:r>
    </w:p>
    <w:p w14:paraId="75860E14" w14:textId="77777777" w:rsidR="008C707F" w:rsidRPr="00776837" w:rsidRDefault="008C707F" w:rsidP="00DB0B4F">
      <w:pPr>
        <w:tabs>
          <w:tab w:val="left" w:pos="1175"/>
        </w:tabs>
        <w:spacing w:before="120" w:after="120"/>
        <w:jc w:val="both"/>
        <w:rPr>
          <w:rFonts w:cs="Arial"/>
          <w:color w:val="000000"/>
          <w:szCs w:val="18"/>
          <w:lang w:val="en-US"/>
        </w:rPr>
      </w:pPr>
      <w:r w:rsidRPr="00776837">
        <w:rPr>
          <w:rFonts w:cs="Arial"/>
          <w:color w:val="000000"/>
          <w:szCs w:val="18"/>
          <w:lang w:val="en-US"/>
        </w:rPr>
        <w:t xml:space="preserve">In the scope of executives, in addition to the lectures and courses offered by the </w:t>
      </w:r>
      <w:r>
        <w:rPr>
          <w:rFonts w:cs="Arial"/>
          <w:color w:val="000000"/>
          <w:szCs w:val="18"/>
          <w:lang w:val="en-US"/>
        </w:rPr>
        <w:t>c</w:t>
      </w:r>
      <w:r w:rsidRPr="00776837">
        <w:rPr>
          <w:rFonts w:cs="Arial"/>
          <w:color w:val="000000"/>
          <w:szCs w:val="18"/>
          <w:lang w:val="en-US"/>
        </w:rPr>
        <w:t>ontroll</w:t>
      </w:r>
      <w:r>
        <w:rPr>
          <w:rFonts w:cs="Arial"/>
          <w:color w:val="000000"/>
          <w:szCs w:val="18"/>
          <w:lang w:val="en-US"/>
        </w:rPr>
        <w:t>ing shareholder</w:t>
      </w:r>
      <w:r w:rsidRPr="00776837">
        <w:rPr>
          <w:rFonts w:cs="Arial"/>
          <w:color w:val="000000"/>
          <w:szCs w:val="18"/>
          <w:lang w:val="en-US"/>
        </w:rPr>
        <w:t xml:space="preserve">, the Executive Acceleration Journey was made available, in partnership with </w:t>
      </w:r>
      <w:r w:rsidRPr="00776837">
        <w:rPr>
          <w:rFonts w:cs="Arial"/>
          <w:szCs w:val="18"/>
          <w:lang w:val="en-US"/>
        </w:rPr>
        <w:t>Lee Hecht Harrison</w:t>
      </w:r>
      <w:r w:rsidRPr="00776837">
        <w:rPr>
          <w:rFonts w:cs="Arial"/>
          <w:color w:val="000000"/>
          <w:szCs w:val="18"/>
          <w:lang w:val="en-US"/>
        </w:rPr>
        <w:t xml:space="preserve"> - LHH, aimed at strengthening the competencies required for the current position, as well as for the development of competencies needed for future positions, such as Strategic Mentality and Leadership by Vision and Purpose.</w:t>
      </w:r>
    </w:p>
    <w:p w14:paraId="32D704AF" w14:textId="77777777" w:rsidR="008C707F" w:rsidRPr="00776837" w:rsidRDefault="008C707F" w:rsidP="00DB0B4F">
      <w:pPr>
        <w:tabs>
          <w:tab w:val="left" w:pos="1175"/>
        </w:tabs>
        <w:spacing w:before="120" w:after="120"/>
        <w:jc w:val="both"/>
        <w:rPr>
          <w:rFonts w:cs="Arial"/>
          <w:color w:val="000000"/>
          <w:szCs w:val="18"/>
          <w:lang w:val="en-US"/>
        </w:rPr>
      </w:pPr>
    </w:p>
    <w:p w14:paraId="7DDB8B4E" w14:textId="77777777" w:rsidR="008C707F" w:rsidRPr="00776837" w:rsidRDefault="008C707F" w:rsidP="00DB0B4F">
      <w:pPr>
        <w:pStyle w:val="03-SubttulodeNota"/>
        <w:spacing w:line="276" w:lineRule="auto"/>
        <w:rPr>
          <w:b w:val="0"/>
          <w:bCs/>
          <w:color w:val="000000" w:themeColor="text1"/>
          <w:sz w:val="18"/>
          <w:szCs w:val="18"/>
          <w:u w:val="single"/>
          <w:lang w:val="en-US"/>
        </w:rPr>
      </w:pPr>
      <w:r w:rsidRPr="00776837">
        <w:rPr>
          <w:b w:val="0"/>
          <w:bCs/>
          <w:color w:val="000000" w:themeColor="text1"/>
          <w:sz w:val="18"/>
          <w:szCs w:val="18"/>
          <w:u w:val="single"/>
          <w:lang w:val="en-US"/>
        </w:rPr>
        <w:t>Talent and Succession</w:t>
      </w:r>
    </w:p>
    <w:p w14:paraId="6A7C3874" w14:textId="77777777" w:rsidR="008C707F" w:rsidRPr="00776837" w:rsidRDefault="008C707F" w:rsidP="00DB0B4F">
      <w:pPr>
        <w:spacing w:before="120" w:after="120"/>
        <w:jc w:val="both"/>
        <w:rPr>
          <w:rFonts w:cs="Arial"/>
          <w:color w:val="000000"/>
          <w:szCs w:val="18"/>
          <w:lang w:val="en-US"/>
        </w:rPr>
      </w:pPr>
      <w:r w:rsidRPr="00776837">
        <w:rPr>
          <w:rFonts w:cs="Arial"/>
          <w:color w:val="000000"/>
          <w:szCs w:val="18"/>
          <w:lang w:val="en-US"/>
        </w:rPr>
        <w:t>Since 2019, BB Seguridade has made progress in raising the maturity of the identification of talents and successors.</w:t>
      </w:r>
    </w:p>
    <w:p w14:paraId="3A8EA391" w14:textId="77777777" w:rsidR="008C707F" w:rsidRPr="00776837" w:rsidRDefault="008C707F" w:rsidP="00DB0B4F">
      <w:pPr>
        <w:tabs>
          <w:tab w:val="left" w:pos="1175"/>
        </w:tabs>
        <w:spacing w:before="120" w:after="120"/>
        <w:jc w:val="both"/>
        <w:rPr>
          <w:rFonts w:cs="Arial"/>
          <w:color w:val="000000"/>
          <w:szCs w:val="18"/>
          <w:lang w:val="en-US"/>
        </w:rPr>
      </w:pPr>
      <w:r w:rsidRPr="00776837">
        <w:rPr>
          <w:rFonts w:cs="Arial"/>
          <w:color w:val="000000"/>
          <w:szCs w:val="18"/>
          <w:lang w:val="en-US"/>
        </w:rPr>
        <w:t>Key employees are identified in</w:t>
      </w:r>
      <w:r>
        <w:rPr>
          <w:rFonts w:cs="Arial"/>
          <w:color w:val="000000"/>
          <w:szCs w:val="18"/>
          <w:lang w:val="en-US"/>
        </w:rPr>
        <w:t xml:space="preserve"> </w:t>
      </w:r>
      <w:r w:rsidRPr="00776837">
        <w:rPr>
          <w:rFonts w:cs="Arial"/>
          <w:color w:val="000000"/>
          <w:szCs w:val="18"/>
          <w:lang w:val="en-US"/>
        </w:rPr>
        <w:t xml:space="preserve">the development management cycle, which comprises </w:t>
      </w:r>
      <w:r>
        <w:rPr>
          <w:rFonts w:cs="Arial"/>
          <w:color w:val="000000"/>
          <w:szCs w:val="18"/>
          <w:lang w:val="en-US"/>
        </w:rPr>
        <w:t>half-early</w:t>
      </w:r>
      <w:r w:rsidRPr="00776837">
        <w:rPr>
          <w:rFonts w:cs="Arial"/>
          <w:color w:val="000000"/>
          <w:szCs w:val="18"/>
          <w:lang w:val="en-US"/>
        </w:rPr>
        <w:t xml:space="preserve"> assessments and an annual collegiate discussion of the competencies and results presented. This process, called the Career and Development Commission, counts on the participation of all the Company's managers and has as one of its final objectives the formation of a list of potential successors, employees who have shown high performance and high potential, who will be developed to occupy new positions of greater complexity.</w:t>
      </w:r>
    </w:p>
    <w:p w14:paraId="0D25BAF6" w14:textId="77777777" w:rsidR="008C707F" w:rsidRPr="00776837" w:rsidRDefault="008C707F" w:rsidP="00DB0B4F">
      <w:pPr>
        <w:tabs>
          <w:tab w:val="left" w:pos="1175"/>
        </w:tabs>
        <w:spacing w:before="120" w:after="120"/>
        <w:jc w:val="both"/>
        <w:rPr>
          <w:rFonts w:cs="Arial"/>
          <w:color w:val="000000"/>
          <w:szCs w:val="18"/>
          <w:lang w:val="en-US"/>
        </w:rPr>
      </w:pPr>
      <w:r w:rsidRPr="00776837">
        <w:rPr>
          <w:rFonts w:cs="Arial"/>
          <w:color w:val="000000"/>
          <w:szCs w:val="18"/>
          <w:lang w:val="en-US"/>
        </w:rPr>
        <w:t xml:space="preserve">The Program for the Development of Potential Successors for managerial positions carried out the Training of Leaders with </w:t>
      </w:r>
      <w:r w:rsidRPr="00776837">
        <w:rPr>
          <w:rFonts w:cs="Arial"/>
          <w:i/>
          <w:iCs/>
          <w:color w:val="000000"/>
          <w:szCs w:val="18"/>
          <w:lang w:val="en-US"/>
        </w:rPr>
        <w:t>online</w:t>
      </w:r>
      <w:r w:rsidRPr="00776837">
        <w:rPr>
          <w:rFonts w:cs="Arial"/>
          <w:color w:val="000000"/>
          <w:szCs w:val="18"/>
          <w:lang w:val="en-US"/>
        </w:rPr>
        <w:t xml:space="preserve"> and live classes</w:t>
      </w:r>
      <w:r>
        <w:rPr>
          <w:rFonts w:cs="Arial"/>
          <w:color w:val="000000"/>
          <w:szCs w:val="18"/>
          <w:lang w:val="en-US"/>
        </w:rPr>
        <w:t xml:space="preserve"> totaling </w:t>
      </w:r>
      <w:r w:rsidRPr="00776837">
        <w:rPr>
          <w:rFonts w:cs="Arial"/>
          <w:color w:val="000000"/>
          <w:szCs w:val="18"/>
          <w:lang w:val="en-US"/>
        </w:rPr>
        <w:t>20 hours</w:t>
      </w:r>
      <w:r>
        <w:rPr>
          <w:rFonts w:cs="Arial"/>
          <w:color w:val="000000"/>
          <w:szCs w:val="18"/>
          <w:lang w:val="en-US"/>
        </w:rPr>
        <w:t xml:space="preserve"> of training</w:t>
      </w:r>
      <w:r w:rsidRPr="00776837">
        <w:rPr>
          <w:rFonts w:cs="Arial"/>
          <w:color w:val="000000"/>
          <w:szCs w:val="18"/>
          <w:lang w:val="en-US"/>
        </w:rPr>
        <w:t xml:space="preserve">, conducted by a specialized company with expertise in addressing relevant and managerial topics, aiming to develop the key competencies of the professionals of the future, preparing them to </w:t>
      </w:r>
      <w:r>
        <w:rPr>
          <w:rFonts w:cs="Arial"/>
          <w:color w:val="000000"/>
          <w:szCs w:val="18"/>
          <w:lang w:val="en-US"/>
        </w:rPr>
        <w:t>take new</w:t>
      </w:r>
      <w:r w:rsidRPr="00776837">
        <w:rPr>
          <w:rFonts w:cs="Arial"/>
          <w:color w:val="000000"/>
          <w:szCs w:val="18"/>
          <w:lang w:val="en-US"/>
        </w:rPr>
        <w:t xml:space="preserve"> responsibilities</w:t>
      </w:r>
      <w:r>
        <w:rPr>
          <w:rFonts w:cs="Arial"/>
          <w:color w:val="000000"/>
          <w:szCs w:val="18"/>
          <w:lang w:val="en-US"/>
        </w:rPr>
        <w:t>.</w:t>
      </w:r>
    </w:p>
    <w:p w14:paraId="7B821534" w14:textId="77777777" w:rsidR="008C707F" w:rsidRPr="00776837" w:rsidRDefault="008C707F" w:rsidP="00DB0B4F">
      <w:pPr>
        <w:tabs>
          <w:tab w:val="left" w:pos="1175"/>
        </w:tabs>
        <w:spacing w:before="120" w:after="120"/>
        <w:jc w:val="both"/>
        <w:rPr>
          <w:rFonts w:cs="Arial"/>
          <w:b/>
          <w:color w:val="254E79"/>
          <w:szCs w:val="18"/>
          <w:lang w:val="en-US"/>
        </w:rPr>
      </w:pPr>
    </w:p>
    <w:p w14:paraId="487461AD" w14:textId="77777777" w:rsidR="008C707F" w:rsidRPr="00776837" w:rsidRDefault="008C707F" w:rsidP="00DB0B4F">
      <w:pPr>
        <w:pStyle w:val="03-SubttulodeNota"/>
        <w:spacing w:line="276" w:lineRule="auto"/>
        <w:rPr>
          <w:b w:val="0"/>
          <w:bCs/>
          <w:color w:val="000000" w:themeColor="text1"/>
          <w:sz w:val="18"/>
          <w:szCs w:val="18"/>
          <w:u w:val="single"/>
          <w:lang w:val="en-US"/>
        </w:rPr>
      </w:pPr>
      <w:r w:rsidRPr="00776837">
        <w:rPr>
          <w:b w:val="0"/>
          <w:bCs/>
          <w:color w:val="000000" w:themeColor="text1"/>
          <w:sz w:val="18"/>
          <w:szCs w:val="18"/>
          <w:u w:val="single"/>
          <w:lang w:val="en-US"/>
        </w:rPr>
        <w:t>Benefits and Rewards</w:t>
      </w:r>
    </w:p>
    <w:p w14:paraId="33D4185E" w14:textId="77777777" w:rsidR="008C707F" w:rsidRPr="00776837" w:rsidRDefault="008C707F" w:rsidP="00DB0B4F">
      <w:pPr>
        <w:jc w:val="both"/>
        <w:rPr>
          <w:rFonts w:cs="Arial"/>
          <w:szCs w:val="18"/>
          <w:lang w:val="en-US"/>
        </w:rPr>
      </w:pPr>
      <w:r w:rsidRPr="00776837">
        <w:rPr>
          <w:rFonts w:cs="Arial"/>
          <w:color w:val="000000"/>
          <w:szCs w:val="18"/>
          <w:lang w:val="en-US"/>
        </w:rPr>
        <w:t xml:space="preserve">BB Seguridade offers its employees several benefits, such as a supplementary retirement plan, daycare/babysitting assistance, assistance for disabled children, dental plan, health plans, gym, psychotherapy, and variable compensation based on profits and results. In addition to these benefits, in 2022, the Board of Directors approved the updating of the "Applause Program", an award linked to the result and individual performance of eligible participants who differentiate themselves by achieving individual goals and making distinctive contributions to the company's results. The award will be paid in cash to 40% of the staff with </w:t>
      </w:r>
      <w:r>
        <w:rPr>
          <w:rFonts w:cs="Arial"/>
          <w:color w:val="000000"/>
          <w:szCs w:val="18"/>
          <w:lang w:val="en-US"/>
        </w:rPr>
        <w:t>o</w:t>
      </w:r>
      <w:r w:rsidRPr="00776837">
        <w:rPr>
          <w:rFonts w:cs="Arial"/>
          <w:color w:val="000000"/>
          <w:szCs w:val="18"/>
          <w:lang w:val="en-US"/>
        </w:rPr>
        <w:t>utstanding</w:t>
      </w:r>
      <w:r>
        <w:rPr>
          <w:rFonts w:cs="Arial"/>
          <w:color w:val="000000"/>
          <w:szCs w:val="18"/>
          <w:lang w:val="en-US"/>
        </w:rPr>
        <w:t xml:space="preserve"> p</w:t>
      </w:r>
      <w:r w:rsidRPr="00776837">
        <w:rPr>
          <w:rFonts w:cs="Arial"/>
          <w:color w:val="000000"/>
          <w:szCs w:val="18"/>
          <w:lang w:val="en-US"/>
        </w:rPr>
        <w:t xml:space="preserve">erformance and aims </w:t>
      </w:r>
      <w:r>
        <w:rPr>
          <w:rFonts w:cs="Arial"/>
          <w:color w:val="000000"/>
          <w:szCs w:val="18"/>
          <w:lang w:val="en-US"/>
        </w:rPr>
        <w:t>the</w:t>
      </w:r>
      <w:r w:rsidRPr="00776837">
        <w:rPr>
          <w:rFonts w:cs="Arial"/>
          <w:color w:val="000000"/>
          <w:szCs w:val="18"/>
          <w:lang w:val="en-US"/>
        </w:rPr>
        <w:t xml:space="preserve"> strengthening </w:t>
      </w:r>
      <w:r>
        <w:rPr>
          <w:rFonts w:cs="Arial"/>
          <w:color w:val="000000"/>
          <w:szCs w:val="18"/>
          <w:lang w:val="en-US"/>
        </w:rPr>
        <w:t xml:space="preserve">of </w:t>
      </w:r>
      <w:r w:rsidRPr="00776837">
        <w:rPr>
          <w:rFonts w:cs="Arial"/>
          <w:color w:val="000000"/>
          <w:szCs w:val="18"/>
          <w:lang w:val="en-US"/>
        </w:rPr>
        <w:t>the partnership between the employee and BB Seguridade, recognizing the participa</w:t>
      </w:r>
      <w:r>
        <w:rPr>
          <w:rFonts w:cs="Arial"/>
          <w:color w:val="000000"/>
          <w:szCs w:val="18"/>
          <w:lang w:val="en-US"/>
        </w:rPr>
        <w:t>tion for</w:t>
      </w:r>
      <w:r w:rsidRPr="00776837">
        <w:rPr>
          <w:rFonts w:cs="Arial"/>
          <w:color w:val="000000"/>
          <w:szCs w:val="18"/>
          <w:lang w:val="en-US"/>
        </w:rPr>
        <w:t xml:space="preserve"> the construction of the result and </w:t>
      </w:r>
      <w:r>
        <w:rPr>
          <w:rFonts w:cs="Arial"/>
          <w:color w:val="000000"/>
          <w:szCs w:val="18"/>
          <w:lang w:val="en-US"/>
        </w:rPr>
        <w:t xml:space="preserve">the </w:t>
      </w:r>
      <w:r w:rsidRPr="00776837">
        <w:rPr>
          <w:rFonts w:cs="Arial"/>
          <w:color w:val="000000"/>
          <w:szCs w:val="18"/>
          <w:lang w:val="en-US"/>
        </w:rPr>
        <w:t xml:space="preserve">alignment with the </w:t>
      </w:r>
      <w:r w:rsidRPr="00776837">
        <w:rPr>
          <w:rFonts w:cs="Arial"/>
          <w:szCs w:val="18"/>
          <w:lang w:val="en-US"/>
        </w:rPr>
        <w:t>Company's strategies.</w:t>
      </w:r>
    </w:p>
    <w:p w14:paraId="6AB7A4EA" w14:textId="77777777" w:rsidR="008C707F" w:rsidRPr="00776837" w:rsidRDefault="008C707F" w:rsidP="00DB0B4F">
      <w:pPr>
        <w:jc w:val="both"/>
        <w:rPr>
          <w:rFonts w:cs="Arial"/>
          <w:color w:val="000000"/>
          <w:szCs w:val="18"/>
          <w:lang w:val="en-US"/>
        </w:rPr>
      </w:pPr>
      <w:r w:rsidRPr="00776837">
        <w:rPr>
          <w:rFonts w:cs="Arial"/>
          <w:szCs w:val="18"/>
          <w:lang w:val="en-US"/>
        </w:rPr>
        <w:t xml:space="preserve">Regarding the compensation of senior management, the Corporate Variable Compensation Program also recognizes the results and decisions of the </w:t>
      </w:r>
      <w:r>
        <w:rPr>
          <w:rFonts w:cs="Arial"/>
          <w:szCs w:val="18"/>
          <w:lang w:val="en-US"/>
        </w:rPr>
        <w:t>executive officers</w:t>
      </w:r>
      <w:r w:rsidRPr="00776837">
        <w:rPr>
          <w:rFonts w:cs="Arial"/>
          <w:szCs w:val="18"/>
          <w:lang w:val="en-US"/>
        </w:rPr>
        <w:t xml:space="preserve">, establishing the payment of up to 12 monthly </w:t>
      </w:r>
      <w:r>
        <w:rPr>
          <w:rFonts w:cs="Arial"/>
          <w:szCs w:val="18"/>
          <w:lang w:val="en-US"/>
        </w:rPr>
        <w:t>salaries</w:t>
      </w:r>
      <w:r w:rsidRPr="00776837">
        <w:rPr>
          <w:rFonts w:cs="Arial"/>
          <w:szCs w:val="18"/>
          <w:lang w:val="en-US"/>
        </w:rPr>
        <w:t xml:space="preserve"> in case of surpassing goals.</w:t>
      </w:r>
    </w:p>
    <w:p w14:paraId="223E8BE3" w14:textId="77777777" w:rsidR="008C707F" w:rsidRDefault="008C707F" w:rsidP="00EF771D">
      <w:pPr>
        <w:pStyle w:val="01-TtulodeNota"/>
        <w:rPr>
          <w:b w:val="0"/>
          <w:sz w:val="14"/>
          <w:lang w:val="en-US"/>
        </w:rPr>
      </w:pPr>
    </w:p>
    <w:p w14:paraId="54894600" w14:textId="3406F0A9" w:rsidR="008C707F" w:rsidRPr="0046012B" w:rsidRDefault="008C707F" w:rsidP="0046012B">
      <w:pPr>
        <w:pStyle w:val="01-TtulodeNota"/>
        <w:rPr>
          <w:b w:val="0"/>
          <w:sz w:val="14"/>
          <w:lang w:val="en-US"/>
        </w:rPr>
      </w:pPr>
      <w:r w:rsidRPr="0046012B">
        <w:rPr>
          <w:rFonts w:cs="Arial"/>
          <w:b w:val="0"/>
          <w:sz w:val="14"/>
          <w:szCs w:val="14"/>
          <w:lang w:val="en-US"/>
        </w:rPr>
        <w:t xml:space="preserve">Table </w:t>
      </w:r>
      <w:r w:rsidR="00C35EEA">
        <w:rPr>
          <w:rFonts w:cs="Arial"/>
          <w:b w:val="0"/>
          <w:noProof/>
          <w:sz w:val="14"/>
          <w:szCs w:val="14"/>
          <w:lang w:val="en-US"/>
        </w:rPr>
        <w:t>4</w:t>
      </w:r>
      <w:r w:rsidRPr="0046012B">
        <w:rPr>
          <w:b w:val="0"/>
          <w:sz w:val="14"/>
          <w:lang w:val="en-US"/>
        </w:rPr>
        <w:t xml:space="preserve"> – Human Capital</w:t>
      </w:r>
      <w:r w:rsidRPr="0046012B">
        <w:rPr>
          <w:rFonts w:cs="Arial"/>
          <w:b w:val="0"/>
          <w:sz w:val="14"/>
          <w:lang w:val="en-US"/>
        </w:rPr>
        <w:t xml:space="preserve"> – Investments (consolid</w:t>
      </w:r>
      <w:r>
        <w:rPr>
          <w:rFonts w:cs="Arial"/>
          <w:b w:val="0"/>
          <w:sz w:val="14"/>
          <w:lang w:val="en-US"/>
        </w:rPr>
        <w:t>ated</w:t>
      </w:r>
      <w:r w:rsidRPr="0046012B">
        <w:rPr>
          <w:rFonts w:cs="Arial"/>
          <w:b w:val="0"/>
          <w:sz w:val="14"/>
          <w:lang w:val="en-US"/>
        </w:rPr>
        <w:t>)</w:t>
      </w:r>
    </w:p>
    <w:tbl>
      <w:tblPr>
        <w:tblW w:w="9639" w:type="dxa"/>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063"/>
        <w:gridCol w:w="1859"/>
        <w:gridCol w:w="1859"/>
        <w:gridCol w:w="1858"/>
      </w:tblGrid>
      <w:tr w:rsidR="008C707F" w:rsidRPr="002F6C78" w14:paraId="5B558F10" w14:textId="77777777" w:rsidTr="002F6C78">
        <w:trPr>
          <w:trHeight w:hRule="exact" w:val="283"/>
        </w:trPr>
        <w:tc>
          <w:tcPr>
            <w:tcW w:w="4063" w:type="dxa"/>
            <w:tcBorders>
              <w:top w:val="single" w:sz="2" w:space="0" w:color="1F4E79" w:themeColor="accent1" w:themeShade="80"/>
              <w:bottom w:val="nil"/>
            </w:tcBorders>
          </w:tcPr>
          <w:p w14:paraId="314F533B" w14:textId="77777777" w:rsidR="008C707F" w:rsidRPr="002F6C78" w:rsidRDefault="008C707F" w:rsidP="00D72BBC">
            <w:pPr>
              <w:pStyle w:val="08-Tabelageral"/>
              <w:jc w:val="left"/>
              <w:rPr>
                <w:rFonts w:cs="Arial"/>
                <w:b/>
                <w:bCs/>
                <w:lang w:eastAsia="en-US"/>
              </w:rPr>
            </w:pPr>
            <w:r w:rsidRPr="002F6C78">
              <w:rPr>
                <w:rFonts w:cs="Arial"/>
                <w:b/>
                <w:bCs/>
                <w:lang w:eastAsia="en-US"/>
              </w:rPr>
              <w:t>R$ thousand</w:t>
            </w:r>
          </w:p>
        </w:tc>
        <w:tc>
          <w:tcPr>
            <w:tcW w:w="5576" w:type="dxa"/>
            <w:gridSpan w:val="3"/>
            <w:tcBorders>
              <w:top w:val="single" w:sz="2" w:space="0" w:color="1F4E79" w:themeColor="accent1" w:themeShade="80"/>
              <w:bottom w:val="nil"/>
            </w:tcBorders>
            <w:hideMark/>
          </w:tcPr>
          <w:p w14:paraId="4B38C11F" w14:textId="77777777" w:rsidR="008C707F" w:rsidRPr="002F6C78" w:rsidRDefault="008C707F" w:rsidP="00D72BBC">
            <w:pPr>
              <w:pStyle w:val="08-Tabelageral"/>
              <w:ind w:right="-57"/>
              <w:jc w:val="center"/>
              <w:rPr>
                <w:rFonts w:cs="Arial"/>
                <w:b/>
                <w:bCs/>
                <w:lang w:eastAsia="en-US"/>
              </w:rPr>
            </w:pPr>
            <w:r w:rsidRPr="002F6C78">
              <w:rPr>
                <w:rFonts w:cs="Arial"/>
                <w:b/>
                <w:bCs/>
                <w:lang w:eastAsia="en-US"/>
              </w:rPr>
              <w:t>Annual Flow</w:t>
            </w:r>
          </w:p>
        </w:tc>
      </w:tr>
      <w:tr w:rsidR="008C707F" w:rsidRPr="002F6C78" w14:paraId="36B1813F" w14:textId="77777777" w:rsidTr="002F6C78">
        <w:trPr>
          <w:trHeight w:hRule="exact" w:val="238"/>
        </w:trPr>
        <w:tc>
          <w:tcPr>
            <w:tcW w:w="4063" w:type="dxa"/>
            <w:tcBorders>
              <w:top w:val="nil"/>
              <w:bottom w:val="single" w:sz="2" w:space="0" w:color="1F4E79" w:themeColor="accent1" w:themeShade="80"/>
            </w:tcBorders>
          </w:tcPr>
          <w:p w14:paraId="7C5E399E" w14:textId="77777777" w:rsidR="008C707F" w:rsidRPr="002F6C78" w:rsidRDefault="008C707F" w:rsidP="00D72BBC">
            <w:pPr>
              <w:pStyle w:val="08-Tabelageral"/>
              <w:jc w:val="left"/>
              <w:rPr>
                <w:rFonts w:cs="Arial"/>
                <w:b/>
                <w:bCs/>
                <w:szCs w:val="14"/>
                <w:lang w:eastAsia="en-US"/>
              </w:rPr>
            </w:pPr>
          </w:p>
        </w:tc>
        <w:tc>
          <w:tcPr>
            <w:tcW w:w="1859" w:type="dxa"/>
            <w:tcBorders>
              <w:top w:val="nil"/>
              <w:bottom w:val="single" w:sz="2" w:space="0" w:color="1F4E79" w:themeColor="accent1" w:themeShade="80"/>
            </w:tcBorders>
            <w:hideMark/>
          </w:tcPr>
          <w:p w14:paraId="45D55650" w14:textId="77777777" w:rsidR="008C707F" w:rsidRPr="002F6C78" w:rsidRDefault="008C707F" w:rsidP="00D72BBC">
            <w:pPr>
              <w:pStyle w:val="08-Tabelageral"/>
              <w:ind w:right="-57"/>
              <w:jc w:val="center"/>
              <w:rPr>
                <w:rFonts w:cs="Arial"/>
                <w:b/>
                <w:bCs/>
                <w:lang w:eastAsia="en-US"/>
              </w:rPr>
            </w:pPr>
            <w:r w:rsidRPr="002F6C78">
              <w:rPr>
                <w:rFonts w:cs="Arial"/>
                <w:b/>
                <w:bCs/>
                <w:lang w:eastAsia="en-US"/>
              </w:rPr>
              <w:t>2022</w:t>
            </w:r>
          </w:p>
        </w:tc>
        <w:tc>
          <w:tcPr>
            <w:tcW w:w="1859" w:type="dxa"/>
            <w:tcBorders>
              <w:top w:val="nil"/>
              <w:bottom w:val="single" w:sz="2" w:space="0" w:color="1F4E79" w:themeColor="accent1" w:themeShade="80"/>
            </w:tcBorders>
            <w:hideMark/>
          </w:tcPr>
          <w:p w14:paraId="245D14E7" w14:textId="77777777" w:rsidR="008C707F" w:rsidRPr="002F6C78" w:rsidRDefault="008C707F" w:rsidP="00D72BBC">
            <w:pPr>
              <w:pStyle w:val="08-Tabelageral"/>
              <w:ind w:right="-57"/>
              <w:jc w:val="center"/>
              <w:rPr>
                <w:rFonts w:cs="Arial"/>
                <w:b/>
                <w:bCs/>
                <w:vertAlign w:val="superscript"/>
                <w:lang w:eastAsia="en-US"/>
              </w:rPr>
            </w:pPr>
            <w:r w:rsidRPr="002F6C78">
              <w:rPr>
                <w:rFonts w:cs="Arial"/>
                <w:b/>
                <w:bCs/>
                <w:lang w:eastAsia="en-US"/>
              </w:rPr>
              <w:t>2021</w:t>
            </w:r>
          </w:p>
        </w:tc>
        <w:tc>
          <w:tcPr>
            <w:tcW w:w="1858" w:type="dxa"/>
            <w:tcBorders>
              <w:top w:val="nil"/>
              <w:bottom w:val="single" w:sz="2" w:space="0" w:color="1F4E79" w:themeColor="accent1" w:themeShade="80"/>
            </w:tcBorders>
            <w:hideMark/>
          </w:tcPr>
          <w:p w14:paraId="21F7B398" w14:textId="77777777" w:rsidR="008C707F" w:rsidRPr="002F6C78" w:rsidRDefault="008C707F" w:rsidP="00D72BBC">
            <w:pPr>
              <w:pStyle w:val="08-Tabelageral"/>
              <w:jc w:val="center"/>
              <w:rPr>
                <w:rFonts w:cs="Arial"/>
                <w:b/>
                <w:bCs/>
                <w:lang w:eastAsia="en-US"/>
              </w:rPr>
            </w:pPr>
            <w:r w:rsidRPr="002F6C78">
              <w:rPr>
                <w:rFonts w:cs="Arial"/>
                <w:b/>
                <w:bCs/>
                <w:lang w:eastAsia="en-US"/>
              </w:rPr>
              <w:t>2020</w:t>
            </w:r>
          </w:p>
        </w:tc>
      </w:tr>
      <w:tr w:rsidR="008C707F" w:rsidRPr="002F6C78" w14:paraId="018BED1A" w14:textId="77777777" w:rsidTr="002F6C78">
        <w:trPr>
          <w:trHeight w:hRule="exact" w:val="298"/>
        </w:trPr>
        <w:tc>
          <w:tcPr>
            <w:tcW w:w="4063" w:type="dxa"/>
            <w:tcBorders>
              <w:top w:val="single" w:sz="2" w:space="0" w:color="1F4E79" w:themeColor="accent1" w:themeShade="80"/>
            </w:tcBorders>
            <w:hideMark/>
          </w:tcPr>
          <w:p w14:paraId="52B81C1C" w14:textId="77777777" w:rsidR="008C707F" w:rsidRPr="002F6C78" w:rsidRDefault="008C707F" w:rsidP="00D72BBC">
            <w:pPr>
              <w:pStyle w:val="08-Tabelageral"/>
              <w:jc w:val="left"/>
              <w:rPr>
                <w:rFonts w:cs="Arial"/>
                <w:b/>
                <w:bCs/>
                <w:snapToGrid w:val="0"/>
                <w:color w:val="000000"/>
                <w:lang w:eastAsia="en-US"/>
              </w:rPr>
            </w:pPr>
            <w:r w:rsidRPr="002F6C78">
              <w:rPr>
                <w:b/>
                <w:bCs/>
                <w:snapToGrid w:val="0"/>
                <w:color w:val="000000"/>
                <w:lang w:eastAsia="en-US"/>
              </w:rPr>
              <w:t>People investments</w:t>
            </w:r>
          </w:p>
        </w:tc>
        <w:tc>
          <w:tcPr>
            <w:tcW w:w="1859" w:type="dxa"/>
            <w:tcBorders>
              <w:top w:val="single" w:sz="2" w:space="0" w:color="1F4E79" w:themeColor="accent1" w:themeShade="80"/>
            </w:tcBorders>
            <w:hideMark/>
          </w:tcPr>
          <w:p w14:paraId="7C1B5049" w14:textId="77777777" w:rsidR="008C707F" w:rsidRPr="002F6C78" w:rsidRDefault="008C707F" w:rsidP="00D72BBC">
            <w:pPr>
              <w:pStyle w:val="08-Tabelageral"/>
              <w:rPr>
                <w:b/>
                <w:bCs/>
                <w:color w:val="FF0000"/>
                <w:lang w:eastAsia="en-US"/>
              </w:rPr>
            </w:pPr>
            <w:r w:rsidRPr="002F6C78">
              <w:rPr>
                <w:b/>
                <w:bCs/>
              </w:rPr>
              <w:t xml:space="preserve"> 69,511 </w:t>
            </w:r>
          </w:p>
        </w:tc>
        <w:tc>
          <w:tcPr>
            <w:tcW w:w="1859" w:type="dxa"/>
            <w:tcBorders>
              <w:top w:val="single" w:sz="2" w:space="0" w:color="1F4E79" w:themeColor="accent1" w:themeShade="80"/>
            </w:tcBorders>
            <w:hideMark/>
          </w:tcPr>
          <w:p w14:paraId="3EE3F2DC" w14:textId="77777777" w:rsidR="008C707F" w:rsidRPr="002F6C78" w:rsidRDefault="008C707F" w:rsidP="00D72BBC">
            <w:pPr>
              <w:pStyle w:val="08-Tabelageral"/>
              <w:rPr>
                <w:rFonts w:cs="Arial"/>
                <w:b/>
                <w:bCs/>
                <w:szCs w:val="14"/>
                <w:lang w:eastAsia="en-US"/>
              </w:rPr>
            </w:pPr>
            <w:r w:rsidRPr="002F6C78">
              <w:rPr>
                <w:b/>
                <w:bCs/>
              </w:rPr>
              <w:t xml:space="preserve"> 57,656 </w:t>
            </w:r>
          </w:p>
        </w:tc>
        <w:tc>
          <w:tcPr>
            <w:tcW w:w="1858" w:type="dxa"/>
            <w:tcBorders>
              <w:top w:val="single" w:sz="2" w:space="0" w:color="1F4E79" w:themeColor="accent1" w:themeShade="80"/>
            </w:tcBorders>
            <w:hideMark/>
          </w:tcPr>
          <w:p w14:paraId="49E8C2F4" w14:textId="77777777" w:rsidR="008C707F" w:rsidRPr="002F6C78" w:rsidRDefault="008C707F" w:rsidP="00D72BBC">
            <w:pPr>
              <w:pStyle w:val="08-Tabelageral"/>
              <w:rPr>
                <w:rFonts w:cs="Arial"/>
                <w:b/>
                <w:bCs/>
                <w:szCs w:val="14"/>
                <w:lang w:eastAsia="en-US"/>
              </w:rPr>
            </w:pPr>
            <w:r w:rsidRPr="002F6C78">
              <w:rPr>
                <w:b/>
                <w:bCs/>
              </w:rPr>
              <w:t xml:space="preserve"> 58,057 </w:t>
            </w:r>
          </w:p>
        </w:tc>
      </w:tr>
      <w:tr w:rsidR="008C707F" w14:paraId="6A8E9047" w14:textId="77777777" w:rsidTr="002F6C78">
        <w:trPr>
          <w:trHeight w:hRule="exact" w:val="238"/>
        </w:trPr>
        <w:tc>
          <w:tcPr>
            <w:tcW w:w="4063" w:type="dxa"/>
            <w:hideMark/>
          </w:tcPr>
          <w:p w14:paraId="7013A57B" w14:textId="77777777" w:rsidR="008C707F" w:rsidRDefault="008C707F" w:rsidP="00D72BBC">
            <w:pPr>
              <w:pStyle w:val="08-Tabelageral"/>
              <w:ind w:left="113"/>
              <w:jc w:val="left"/>
              <w:rPr>
                <w:rFonts w:cs="Arial"/>
                <w:b/>
                <w:snapToGrid w:val="0"/>
                <w:color w:val="000000"/>
                <w:lang w:eastAsia="en-US"/>
              </w:rPr>
            </w:pPr>
            <w:r>
              <w:rPr>
                <w:color w:val="000000"/>
                <w:lang w:eastAsia="en-US"/>
              </w:rPr>
              <w:t>Payroll¹</w:t>
            </w:r>
          </w:p>
        </w:tc>
        <w:tc>
          <w:tcPr>
            <w:tcW w:w="1859" w:type="dxa"/>
            <w:hideMark/>
          </w:tcPr>
          <w:p w14:paraId="3CC051E0" w14:textId="77777777" w:rsidR="008C707F" w:rsidRPr="00DB0B4F" w:rsidRDefault="008C707F" w:rsidP="00D72BBC">
            <w:pPr>
              <w:pStyle w:val="08-Tabelageral"/>
              <w:rPr>
                <w:color w:val="FF0000"/>
                <w:lang w:eastAsia="en-US"/>
              </w:rPr>
            </w:pPr>
            <w:r w:rsidRPr="00AE2463">
              <w:t xml:space="preserve"> 62</w:t>
            </w:r>
            <w:r>
              <w:t>,</w:t>
            </w:r>
            <w:r w:rsidRPr="00AE2463">
              <w:t xml:space="preserve">130 </w:t>
            </w:r>
          </w:p>
        </w:tc>
        <w:tc>
          <w:tcPr>
            <w:tcW w:w="1859" w:type="dxa"/>
            <w:hideMark/>
          </w:tcPr>
          <w:p w14:paraId="3911DCDC" w14:textId="77777777" w:rsidR="008C707F" w:rsidRDefault="008C707F" w:rsidP="00D72BBC">
            <w:pPr>
              <w:pStyle w:val="08-Tabelageral"/>
              <w:rPr>
                <w:rFonts w:cs="Arial"/>
                <w:szCs w:val="14"/>
                <w:lang w:eastAsia="en-US"/>
              </w:rPr>
            </w:pPr>
            <w:r w:rsidRPr="00572944">
              <w:t xml:space="preserve"> 51</w:t>
            </w:r>
            <w:r>
              <w:t>,</w:t>
            </w:r>
            <w:r w:rsidRPr="00572944">
              <w:t xml:space="preserve">887 </w:t>
            </w:r>
          </w:p>
        </w:tc>
        <w:tc>
          <w:tcPr>
            <w:tcW w:w="1858" w:type="dxa"/>
            <w:hideMark/>
          </w:tcPr>
          <w:p w14:paraId="7D52BFA1" w14:textId="77777777" w:rsidR="008C707F" w:rsidRDefault="008C707F" w:rsidP="00D72BBC">
            <w:pPr>
              <w:pStyle w:val="08-Tabelageral"/>
              <w:rPr>
                <w:rFonts w:cs="Arial"/>
                <w:szCs w:val="14"/>
                <w:lang w:eastAsia="en-US"/>
              </w:rPr>
            </w:pPr>
            <w:r w:rsidRPr="00572944">
              <w:t xml:space="preserve"> 52</w:t>
            </w:r>
            <w:r>
              <w:t>,</w:t>
            </w:r>
            <w:r w:rsidRPr="00572944">
              <w:t xml:space="preserve">130 </w:t>
            </w:r>
          </w:p>
        </w:tc>
      </w:tr>
      <w:tr w:rsidR="008C707F" w14:paraId="05996F4E" w14:textId="77777777" w:rsidTr="002F6C78">
        <w:trPr>
          <w:trHeight w:hRule="exact" w:val="238"/>
        </w:trPr>
        <w:tc>
          <w:tcPr>
            <w:tcW w:w="4063" w:type="dxa"/>
            <w:hideMark/>
          </w:tcPr>
          <w:p w14:paraId="7A41D951" w14:textId="77777777" w:rsidR="008C707F" w:rsidRDefault="008C707F" w:rsidP="00D72BBC">
            <w:pPr>
              <w:pStyle w:val="08-Tabelageral"/>
              <w:ind w:left="113"/>
              <w:jc w:val="left"/>
              <w:rPr>
                <w:rFonts w:cs="Arial"/>
                <w:b/>
                <w:snapToGrid w:val="0"/>
                <w:color w:val="000000"/>
                <w:lang w:eastAsia="en-US"/>
              </w:rPr>
            </w:pPr>
            <w:r>
              <w:rPr>
                <w:color w:val="000000"/>
                <w:lang w:eastAsia="en-US"/>
              </w:rPr>
              <w:t>Pension plan</w:t>
            </w:r>
          </w:p>
        </w:tc>
        <w:tc>
          <w:tcPr>
            <w:tcW w:w="1859" w:type="dxa"/>
            <w:hideMark/>
          </w:tcPr>
          <w:p w14:paraId="4B3AFD59" w14:textId="77777777" w:rsidR="008C707F" w:rsidRPr="00DB0B4F" w:rsidRDefault="008C707F" w:rsidP="00D72BBC">
            <w:pPr>
              <w:pStyle w:val="08-Tabelageral"/>
              <w:rPr>
                <w:color w:val="FF0000"/>
                <w:lang w:eastAsia="en-US"/>
              </w:rPr>
            </w:pPr>
            <w:r w:rsidRPr="00AE2463">
              <w:t xml:space="preserve"> 3</w:t>
            </w:r>
            <w:r>
              <w:t>,</w:t>
            </w:r>
            <w:r w:rsidRPr="00AE2463">
              <w:t xml:space="preserve">725 </w:t>
            </w:r>
          </w:p>
        </w:tc>
        <w:tc>
          <w:tcPr>
            <w:tcW w:w="1859" w:type="dxa"/>
            <w:hideMark/>
          </w:tcPr>
          <w:p w14:paraId="3116222A" w14:textId="77777777" w:rsidR="008C707F" w:rsidRDefault="008C707F" w:rsidP="00D72BBC">
            <w:pPr>
              <w:pStyle w:val="08-Tabelageral"/>
              <w:rPr>
                <w:rFonts w:cs="Arial"/>
                <w:szCs w:val="14"/>
                <w:lang w:eastAsia="en-US"/>
              </w:rPr>
            </w:pPr>
            <w:r w:rsidRPr="00572944">
              <w:t xml:space="preserve"> 2</w:t>
            </w:r>
            <w:r>
              <w:t>,</w:t>
            </w:r>
            <w:r w:rsidRPr="00572944">
              <w:t xml:space="preserve">985 </w:t>
            </w:r>
          </w:p>
        </w:tc>
        <w:tc>
          <w:tcPr>
            <w:tcW w:w="1858" w:type="dxa"/>
            <w:hideMark/>
          </w:tcPr>
          <w:p w14:paraId="39296F23" w14:textId="77777777" w:rsidR="008C707F" w:rsidRDefault="008C707F" w:rsidP="00D72BBC">
            <w:pPr>
              <w:pStyle w:val="08-Tabelageral"/>
              <w:rPr>
                <w:rFonts w:cs="Arial"/>
                <w:szCs w:val="14"/>
                <w:lang w:eastAsia="en-US"/>
              </w:rPr>
            </w:pPr>
            <w:r w:rsidRPr="00572944">
              <w:t xml:space="preserve"> 2</w:t>
            </w:r>
            <w:r>
              <w:t>,</w:t>
            </w:r>
            <w:r w:rsidRPr="00572944">
              <w:t xml:space="preserve">865 </w:t>
            </w:r>
          </w:p>
        </w:tc>
      </w:tr>
      <w:tr w:rsidR="008C707F" w14:paraId="03DDE0CB" w14:textId="77777777" w:rsidTr="002F6C78">
        <w:trPr>
          <w:trHeight w:hRule="exact" w:val="238"/>
        </w:trPr>
        <w:tc>
          <w:tcPr>
            <w:tcW w:w="4063" w:type="dxa"/>
            <w:hideMark/>
          </w:tcPr>
          <w:p w14:paraId="6A4FB1CA" w14:textId="77777777" w:rsidR="008C707F" w:rsidRDefault="008C707F" w:rsidP="00D72BBC">
            <w:pPr>
              <w:pStyle w:val="08-Tabelageral"/>
              <w:ind w:left="113"/>
              <w:jc w:val="left"/>
              <w:rPr>
                <w:rFonts w:cs="Arial"/>
                <w:b/>
                <w:snapToGrid w:val="0"/>
                <w:color w:val="000000"/>
                <w:lang w:eastAsia="en-US"/>
              </w:rPr>
            </w:pPr>
            <w:r>
              <w:rPr>
                <w:color w:val="000000"/>
                <w:lang w:eastAsia="en-US"/>
              </w:rPr>
              <w:t>Health plan</w:t>
            </w:r>
          </w:p>
        </w:tc>
        <w:tc>
          <w:tcPr>
            <w:tcW w:w="1859" w:type="dxa"/>
            <w:hideMark/>
          </w:tcPr>
          <w:p w14:paraId="0E6483E7" w14:textId="77777777" w:rsidR="008C707F" w:rsidRPr="00DB0B4F" w:rsidRDefault="008C707F" w:rsidP="00D72BBC">
            <w:pPr>
              <w:pStyle w:val="08-Tabelageral"/>
              <w:rPr>
                <w:color w:val="FF0000"/>
                <w:lang w:eastAsia="en-US"/>
              </w:rPr>
            </w:pPr>
            <w:r w:rsidRPr="00AE2463">
              <w:t xml:space="preserve"> 2</w:t>
            </w:r>
            <w:r>
              <w:t>,</w:t>
            </w:r>
            <w:r w:rsidRPr="00AE2463">
              <w:t xml:space="preserve">631 </w:t>
            </w:r>
          </w:p>
        </w:tc>
        <w:tc>
          <w:tcPr>
            <w:tcW w:w="1859" w:type="dxa"/>
            <w:hideMark/>
          </w:tcPr>
          <w:p w14:paraId="4124EF83" w14:textId="77777777" w:rsidR="008C707F" w:rsidRDefault="008C707F" w:rsidP="00D72BBC">
            <w:pPr>
              <w:pStyle w:val="08-Tabelageral"/>
              <w:rPr>
                <w:rFonts w:cs="Arial"/>
                <w:szCs w:val="14"/>
                <w:lang w:eastAsia="en-US"/>
              </w:rPr>
            </w:pPr>
            <w:r w:rsidRPr="00572944">
              <w:t xml:space="preserve"> 2</w:t>
            </w:r>
            <w:r>
              <w:t>,</w:t>
            </w:r>
            <w:r w:rsidRPr="00572944">
              <w:t xml:space="preserve">128 </w:t>
            </w:r>
          </w:p>
        </w:tc>
        <w:tc>
          <w:tcPr>
            <w:tcW w:w="1858" w:type="dxa"/>
            <w:hideMark/>
          </w:tcPr>
          <w:p w14:paraId="41055014" w14:textId="77777777" w:rsidR="008C707F" w:rsidRDefault="008C707F" w:rsidP="00D72BBC">
            <w:pPr>
              <w:pStyle w:val="08-Tabelageral"/>
              <w:rPr>
                <w:rFonts w:cs="Arial"/>
                <w:szCs w:val="14"/>
                <w:lang w:eastAsia="en-US"/>
              </w:rPr>
            </w:pPr>
            <w:r w:rsidRPr="00572944">
              <w:t xml:space="preserve"> 2</w:t>
            </w:r>
            <w:r>
              <w:t>,</w:t>
            </w:r>
            <w:r w:rsidRPr="00572944">
              <w:t xml:space="preserve">192 </w:t>
            </w:r>
          </w:p>
        </w:tc>
      </w:tr>
      <w:tr w:rsidR="008C707F" w14:paraId="2C8C682B" w14:textId="77777777" w:rsidTr="002F6C78">
        <w:trPr>
          <w:trHeight w:hRule="exact" w:val="238"/>
        </w:trPr>
        <w:tc>
          <w:tcPr>
            <w:tcW w:w="4063" w:type="dxa"/>
            <w:hideMark/>
          </w:tcPr>
          <w:p w14:paraId="720570D5" w14:textId="77777777" w:rsidR="008C707F" w:rsidRDefault="008C707F" w:rsidP="00D72BBC">
            <w:pPr>
              <w:pStyle w:val="08-Tabelageral"/>
              <w:ind w:left="113"/>
              <w:jc w:val="left"/>
              <w:rPr>
                <w:rFonts w:cs="Arial"/>
                <w:b/>
                <w:snapToGrid w:val="0"/>
                <w:color w:val="000000"/>
                <w:lang w:eastAsia="en-US"/>
              </w:rPr>
            </w:pPr>
            <w:r>
              <w:rPr>
                <w:color w:val="000000"/>
                <w:lang w:eastAsia="en-US"/>
              </w:rPr>
              <w:t>Training²</w:t>
            </w:r>
          </w:p>
        </w:tc>
        <w:tc>
          <w:tcPr>
            <w:tcW w:w="1859" w:type="dxa"/>
            <w:hideMark/>
          </w:tcPr>
          <w:p w14:paraId="55C69835" w14:textId="77777777" w:rsidR="008C707F" w:rsidRPr="00DB0B4F" w:rsidRDefault="008C707F" w:rsidP="00D72BBC">
            <w:pPr>
              <w:pStyle w:val="08-Tabelageral"/>
              <w:rPr>
                <w:color w:val="FF0000"/>
                <w:lang w:eastAsia="en-US"/>
              </w:rPr>
            </w:pPr>
            <w:r w:rsidRPr="00AE2463">
              <w:t xml:space="preserve"> 1</w:t>
            </w:r>
            <w:r>
              <w:t>,</w:t>
            </w:r>
            <w:r w:rsidRPr="00AE2463">
              <w:t xml:space="preserve">025 </w:t>
            </w:r>
          </w:p>
        </w:tc>
        <w:tc>
          <w:tcPr>
            <w:tcW w:w="1859" w:type="dxa"/>
            <w:hideMark/>
          </w:tcPr>
          <w:p w14:paraId="3ECA1AC5" w14:textId="77777777" w:rsidR="008C707F" w:rsidRDefault="008C707F" w:rsidP="00D72BBC">
            <w:pPr>
              <w:pStyle w:val="08-Tabelageral"/>
              <w:rPr>
                <w:rFonts w:cs="Arial"/>
                <w:szCs w:val="14"/>
                <w:lang w:eastAsia="en-US"/>
              </w:rPr>
            </w:pPr>
            <w:r w:rsidRPr="00572944">
              <w:t xml:space="preserve"> 6</w:t>
            </w:r>
            <w:r>
              <w:t>56</w:t>
            </w:r>
            <w:r w:rsidRPr="00572944">
              <w:t xml:space="preserve"> </w:t>
            </w:r>
          </w:p>
        </w:tc>
        <w:tc>
          <w:tcPr>
            <w:tcW w:w="1858" w:type="dxa"/>
            <w:hideMark/>
          </w:tcPr>
          <w:p w14:paraId="6A71D885" w14:textId="77777777" w:rsidR="008C707F" w:rsidRDefault="008C707F" w:rsidP="00D72BBC">
            <w:pPr>
              <w:pStyle w:val="08-Tabelageral"/>
              <w:rPr>
                <w:rFonts w:cs="Arial"/>
                <w:szCs w:val="14"/>
                <w:lang w:eastAsia="en-US"/>
              </w:rPr>
            </w:pPr>
            <w:r w:rsidRPr="00572944">
              <w:t xml:space="preserve"> 8</w:t>
            </w:r>
            <w:r>
              <w:t>69</w:t>
            </w:r>
            <w:r w:rsidRPr="00572944">
              <w:t xml:space="preserve"> </w:t>
            </w:r>
          </w:p>
        </w:tc>
      </w:tr>
    </w:tbl>
    <w:p w14:paraId="21850B25" w14:textId="77777777" w:rsidR="008C707F" w:rsidRPr="0046012B" w:rsidRDefault="008C707F" w:rsidP="008C707F">
      <w:pPr>
        <w:pStyle w:val="07-Legenda"/>
        <w:numPr>
          <w:ilvl w:val="0"/>
          <w:numId w:val="48"/>
        </w:numPr>
        <w:tabs>
          <w:tab w:val="left" w:pos="142"/>
        </w:tabs>
        <w:ind w:left="0" w:firstLine="0"/>
        <w:rPr>
          <w:color w:val="000000"/>
          <w:lang w:val="en-US"/>
        </w:rPr>
      </w:pPr>
      <w:r w:rsidRPr="0046012B">
        <w:rPr>
          <w:color w:val="000000"/>
          <w:lang w:val="en-US"/>
        </w:rPr>
        <w:t>Includes salaries, benefits and taxes.</w:t>
      </w:r>
    </w:p>
    <w:p w14:paraId="080955E6" w14:textId="77777777" w:rsidR="008C707F" w:rsidRPr="0046012B" w:rsidRDefault="008C707F" w:rsidP="0046012B">
      <w:pPr>
        <w:rPr>
          <w:sz w:val="14"/>
          <w:szCs w:val="14"/>
          <w:lang w:val="en-US" w:eastAsia="pt-BR"/>
        </w:rPr>
      </w:pPr>
      <w:r w:rsidRPr="0046012B">
        <w:rPr>
          <w:color w:val="000000"/>
          <w:sz w:val="14"/>
          <w:szCs w:val="14"/>
          <w:lang w:val="en-US"/>
        </w:rPr>
        <w:t>(2)  From 2022, the values related to transportation for training</w:t>
      </w:r>
      <w:r>
        <w:rPr>
          <w:color w:val="000000"/>
          <w:sz w:val="14"/>
          <w:szCs w:val="14"/>
          <w:lang w:val="en-US"/>
        </w:rPr>
        <w:t xml:space="preserve"> iniatives</w:t>
      </w:r>
      <w:r w:rsidRPr="0046012B">
        <w:rPr>
          <w:color w:val="000000"/>
          <w:sz w:val="14"/>
          <w:szCs w:val="14"/>
          <w:lang w:val="en-US"/>
        </w:rPr>
        <w:t xml:space="preserve"> were include</w:t>
      </w:r>
      <w:r>
        <w:rPr>
          <w:color w:val="000000"/>
          <w:sz w:val="14"/>
          <w:szCs w:val="14"/>
          <w:lang w:val="en-US"/>
        </w:rPr>
        <w:t>d</w:t>
      </w:r>
      <w:r w:rsidRPr="0046012B">
        <w:rPr>
          <w:color w:val="000000"/>
          <w:sz w:val="14"/>
          <w:szCs w:val="14"/>
          <w:lang w:val="en-US"/>
        </w:rPr>
        <w:t xml:space="preserve"> in Training exp</w:t>
      </w:r>
      <w:r>
        <w:rPr>
          <w:color w:val="000000"/>
          <w:sz w:val="14"/>
          <w:szCs w:val="14"/>
          <w:lang w:val="en-US"/>
        </w:rPr>
        <w:t>enses</w:t>
      </w:r>
      <w:r w:rsidRPr="0046012B">
        <w:rPr>
          <w:color w:val="000000"/>
          <w:sz w:val="14"/>
          <w:szCs w:val="14"/>
          <w:lang w:val="en-US"/>
        </w:rPr>
        <w:t>. Thus, the values for 2021 and 2020 ar</w:t>
      </w:r>
      <w:r>
        <w:rPr>
          <w:color w:val="000000"/>
          <w:sz w:val="14"/>
          <w:szCs w:val="14"/>
          <w:lang w:val="en-US"/>
        </w:rPr>
        <w:t xml:space="preserve">e different from those presented before to keep the comparability </w:t>
      </w:r>
      <w:r w:rsidRPr="0046012B">
        <w:rPr>
          <w:color w:val="000000"/>
          <w:sz w:val="14"/>
          <w:szCs w:val="14"/>
          <w:lang w:val="en-US"/>
        </w:rPr>
        <w:t>with 2022.</w:t>
      </w:r>
    </w:p>
    <w:p w14:paraId="6AC5B547" w14:textId="77777777" w:rsidR="008C707F" w:rsidRDefault="008C707F" w:rsidP="00597253">
      <w:pPr>
        <w:pStyle w:val="03-SubttulodeNota"/>
        <w:spacing w:line="276" w:lineRule="auto"/>
        <w:rPr>
          <w:b w:val="0"/>
          <w:bCs/>
          <w:color w:val="000000" w:themeColor="text1"/>
          <w:sz w:val="18"/>
          <w:szCs w:val="18"/>
          <w:u w:val="single"/>
          <w:lang w:val="en-US"/>
        </w:rPr>
      </w:pPr>
    </w:p>
    <w:p w14:paraId="693108A8" w14:textId="08D19174" w:rsidR="008C707F" w:rsidRPr="00776837" w:rsidRDefault="008C707F" w:rsidP="00597253">
      <w:pPr>
        <w:pStyle w:val="03-SubttulodeNota"/>
        <w:spacing w:line="276" w:lineRule="auto"/>
        <w:rPr>
          <w:b w:val="0"/>
          <w:bCs/>
          <w:color w:val="000000" w:themeColor="text1"/>
          <w:sz w:val="18"/>
          <w:szCs w:val="18"/>
          <w:u w:val="single"/>
          <w:lang w:val="en-US"/>
        </w:rPr>
      </w:pPr>
      <w:r w:rsidRPr="00776837">
        <w:rPr>
          <w:b w:val="0"/>
          <w:bCs/>
          <w:color w:val="000000" w:themeColor="text1"/>
          <w:sz w:val="18"/>
          <w:szCs w:val="18"/>
          <w:u w:val="single"/>
          <w:lang w:val="en-US"/>
        </w:rPr>
        <w:lastRenderedPageBreak/>
        <w:t>Diversity</w:t>
      </w:r>
    </w:p>
    <w:p w14:paraId="19260667" w14:textId="77777777" w:rsidR="008C707F" w:rsidRPr="00776837" w:rsidRDefault="008C707F" w:rsidP="00DB0B4F">
      <w:pPr>
        <w:tabs>
          <w:tab w:val="left" w:pos="1175"/>
        </w:tabs>
        <w:spacing w:before="120" w:after="120"/>
        <w:jc w:val="both"/>
        <w:rPr>
          <w:rFonts w:cs="Arial"/>
          <w:color w:val="000000"/>
          <w:szCs w:val="18"/>
          <w:lang w:val="en-US"/>
        </w:rPr>
      </w:pPr>
      <w:r w:rsidRPr="00776837">
        <w:rPr>
          <w:rFonts w:cs="Arial"/>
          <w:color w:val="000000"/>
          <w:szCs w:val="18"/>
          <w:lang w:val="en-US"/>
        </w:rPr>
        <w:t>Based on discussions that took place within the scope of BB Seguridade's ASG Committee, an agenda was proposed on diversity and equal opportunities for the BB Seguridade Group, observing the characteristics of each company in the group and, at the same time, generating an identity on how the topic is handled in the Company. The proposed agenda, which will be implemented over the next few years, focuses on actions related to four pillars of diversity: (i) Gender; (ii) Ethnicity/Race; (iii) People with Disabilities (PcD); and (iv) LGBTQIA+. It is important to clarify that, at BB Seguridade, there is no distinction on the compensation for those who occupy the same function, respecting equ</w:t>
      </w:r>
      <w:r>
        <w:rPr>
          <w:rFonts w:cs="Arial"/>
          <w:color w:val="000000"/>
          <w:szCs w:val="18"/>
          <w:lang w:val="en-US"/>
        </w:rPr>
        <w:t>ality</w:t>
      </w:r>
      <w:r w:rsidRPr="00776837">
        <w:rPr>
          <w:rFonts w:cs="Arial"/>
          <w:color w:val="000000"/>
          <w:szCs w:val="18"/>
          <w:lang w:val="en-US"/>
        </w:rPr>
        <w:t xml:space="preserve"> when establishing the salary policy.</w:t>
      </w:r>
    </w:p>
    <w:p w14:paraId="62D04A13" w14:textId="77777777" w:rsidR="008C707F" w:rsidRPr="00776837" w:rsidRDefault="008C707F" w:rsidP="00DB0B4F">
      <w:pPr>
        <w:tabs>
          <w:tab w:val="left" w:pos="1175"/>
        </w:tabs>
        <w:spacing w:before="120" w:after="120"/>
        <w:jc w:val="both"/>
        <w:rPr>
          <w:rFonts w:cs="Arial"/>
          <w:strike/>
          <w:color w:val="000000"/>
          <w:szCs w:val="18"/>
          <w:lang w:val="en-US"/>
        </w:rPr>
      </w:pPr>
      <w:r w:rsidRPr="00776837">
        <w:rPr>
          <w:rFonts w:cs="Arial"/>
          <w:color w:val="000000"/>
          <w:szCs w:val="18"/>
          <w:lang w:val="en-US"/>
        </w:rPr>
        <w:t xml:space="preserve">In the scope of Women's Leadership, by 2022, there was an increase from 17% to 21% in the number of women in management roles compared to the previous year. On this topic, BB Seguridade launched the "More Color, Please" Program, with the objective of ensuring growth with sustainable results, based on actions that address the Social pillar of ASG. The program has a flexible format, allowing different editions each year, with specific topics and formats, according to the needs and possibilities of the cycle. The first topic addressed was Female Career Management, aiming to optimize the use of the intellectual capital of female talents, and maximize the protagonism and engagement of BB Seguridade's employees. In this first edition there were nineteen (19) female </w:t>
      </w:r>
      <w:r>
        <w:rPr>
          <w:rFonts w:cs="Arial"/>
          <w:color w:val="000000"/>
          <w:szCs w:val="18"/>
          <w:lang w:val="en-US"/>
        </w:rPr>
        <w:t xml:space="preserve">employees </w:t>
      </w:r>
      <w:r w:rsidRPr="00776837">
        <w:rPr>
          <w:rFonts w:cs="Arial"/>
          <w:color w:val="000000"/>
          <w:szCs w:val="18"/>
          <w:lang w:val="en-US"/>
        </w:rPr>
        <w:t xml:space="preserve">from several areas as active participants in the program and about twenty (20) managers as supporters of the Program, in the role of mentors in an individual and/or collective way. All of the Company's </w:t>
      </w:r>
      <w:r>
        <w:rPr>
          <w:rFonts w:cs="Arial"/>
          <w:color w:val="000000"/>
          <w:szCs w:val="18"/>
          <w:lang w:val="en-US"/>
        </w:rPr>
        <w:t>areas</w:t>
      </w:r>
      <w:r w:rsidRPr="00776837">
        <w:rPr>
          <w:rFonts w:cs="Arial"/>
          <w:color w:val="000000"/>
          <w:szCs w:val="18"/>
          <w:lang w:val="en-US"/>
        </w:rPr>
        <w:t xml:space="preserve"> had participants in the program.</w:t>
      </w:r>
    </w:p>
    <w:p w14:paraId="6BB69EA1" w14:textId="77777777" w:rsidR="008C707F" w:rsidRPr="00776837" w:rsidRDefault="008C707F" w:rsidP="00DB0B4F">
      <w:pPr>
        <w:tabs>
          <w:tab w:val="left" w:pos="1175"/>
        </w:tabs>
        <w:spacing w:before="120" w:after="120"/>
        <w:jc w:val="both"/>
        <w:rPr>
          <w:rFonts w:cs="Arial"/>
          <w:color w:val="000000"/>
          <w:szCs w:val="18"/>
          <w:lang w:val="en-US"/>
        </w:rPr>
      </w:pPr>
      <w:r w:rsidRPr="00776837">
        <w:rPr>
          <w:rFonts w:cs="Arial"/>
          <w:color w:val="000000"/>
          <w:szCs w:val="18"/>
          <w:lang w:val="en-US"/>
        </w:rPr>
        <w:t>Regarding the promotion of equal rights and fair treatment for the LGBTQIAP+ public, the following practices are noteworthy: (i) the possibility of using the social name on the badge, business card, stamps and email for trans people; (ii) use of bathroom according to the employee's gender identity; (iii) simplification of procedures for the inclusion of dependents by same-sex union; and (iv) maternity leave for one of the spouses of parents of children generated by a surrogate</w:t>
      </w:r>
      <w:r>
        <w:rPr>
          <w:rFonts w:cs="Arial"/>
          <w:color w:val="000000"/>
          <w:szCs w:val="18"/>
          <w:lang w:val="en-US"/>
        </w:rPr>
        <w:t xml:space="preserve"> womb</w:t>
      </w:r>
      <w:r w:rsidRPr="00776837">
        <w:rPr>
          <w:rFonts w:cs="Arial"/>
          <w:color w:val="000000"/>
          <w:szCs w:val="18"/>
          <w:lang w:val="en-US"/>
        </w:rPr>
        <w:t>. According to the results of the last Diversity Survey applied in the Company in November 2021, about 15% of the respondents declare themselves as belonging to the LGBTQIAP+ community.</w:t>
      </w:r>
    </w:p>
    <w:p w14:paraId="57F07DA0" w14:textId="77777777" w:rsidR="008C707F" w:rsidRPr="00776837" w:rsidRDefault="008C707F" w:rsidP="00DB0B4F">
      <w:pPr>
        <w:tabs>
          <w:tab w:val="left" w:pos="1175"/>
        </w:tabs>
        <w:spacing w:before="120" w:after="120"/>
        <w:jc w:val="both"/>
        <w:rPr>
          <w:rFonts w:cs="Arial"/>
          <w:color w:val="000000"/>
          <w:szCs w:val="18"/>
          <w:lang w:val="en-US"/>
        </w:rPr>
      </w:pPr>
      <w:r w:rsidRPr="00776837">
        <w:rPr>
          <w:rFonts w:cs="Arial"/>
          <w:color w:val="000000"/>
          <w:szCs w:val="18"/>
          <w:lang w:val="en-US"/>
        </w:rPr>
        <w:t>The inclusion of people with disabilities in BB Seguridade is also part of a set of actions aimed at promoting equal rights and citizenship. In this sense, BB promotes the adequacy of physical work environments and guidance of conduct for the reception of employees with disabilities.</w:t>
      </w:r>
    </w:p>
    <w:p w14:paraId="401035C5" w14:textId="77777777" w:rsidR="008C707F" w:rsidRDefault="008C707F" w:rsidP="00DB0B4F">
      <w:pPr>
        <w:spacing w:before="120" w:after="120"/>
        <w:jc w:val="both"/>
        <w:rPr>
          <w:rFonts w:cs="Arial"/>
          <w:color w:val="000000"/>
          <w:szCs w:val="18"/>
          <w:lang w:val="en-US"/>
        </w:rPr>
      </w:pPr>
      <w:r w:rsidRPr="00776837">
        <w:rPr>
          <w:rFonts w:cs="Arial"/>
          <w:color w:val="000000"/>
          <w:szCs w:val="18"/>
          <w:lang w:val="en-US"/>
        </w:rPr>
        <w:t xml:space="preserve">In line with all the aforementioned actions, BB Seguridade, in its policies, practices and culture, values the maintenance of demographic and thought diversity. Table 6 summarizes the composition of the </w:t>
      </w:r>
      <w:r>
        <w:rPr>
          <w:rFonts w:cs="Arial"/>
          <w:color w:val="000000"/>
          <w:szCs w:val="18"/>
          <w:lang w:val="en-US"/>
        </w:rPr>
        <w:t>staff</w:t>
      </w:r>
      <w:r w:rsidRPr="00776837">
        <w:rPr>
          <w:rFonts w:cs="Arial"/>
          <w:color w:val="000000"/>
          <w:szCs w:val="18"/>
          <w:lang w:val="en-US"/>
        </w:rPr>
        <w:t>:</w:t>
      </w:r>
    </w:p>
    <w:p w14:paraId="48EBADD1" w14:textId="1362A337" w:rsidR="008C707F" w:rsidRPr="00776837" w:rsidRDefault="008C707F" w:rsidP="00DB0B4F">
      <w:pPr>
        <w:spacing w:before="120" w:after="120"/>
        <w:jc w:val="both"/>
        <w:rPr>
          <w:rFonts w:cs="Arial"/>
          <w:color w:val="000000"/>
          <w:szCs w:val="18"/>
          <w:lang w:val="en-US"/>
        </w:rPr>
      </w:pPr>
      <w:r w:rsidRPr="003351A3">
        <w:rPr>
          <w:rFonts w:cs="Arial"/>
          <w:sz w:val="14"/>
          <w:szCs w:val="14"/>
          <w:lang w:val="en-US"/>
        </w:rPr>
        <w:t xml:space="preserve">Table </w:t>
      </w:r>
      <w:r w:rsidR="00C35EEA">
        <w:rPr>
          <w:rFonts w:cs="Arial"/>
          <w:noProof/>
          <w:sz w:val="14"/>
          <w:szCs w:val="14"/>
          <w:lang w:val="en-US"/>
        </w:rPr>
        <w:t>5</w:t>
      </w:r>
      <w:r w:rsidRPr="003351A3">
        <w:rPr>
          <w:sz w:val="14"/>
          <w:lang w:val="en-US"/>
        </w:rPr>
        <w:t xml:space="preserve"> – </w:t>
      </w:r>
      <w:r w:rsidRPr="003351A3">
        <w:rPr>
          <w:rFonts w:cs="Arial"/>
          <w:sz w:val="14"/>
          <w:lang w:val="en-US"/>
        </w:rPr>
        <w:t>Human Capital - Breakdown</w:t>
      </w:r>
    </w:p>
    <w:tbl>
      <w:tblPr>
        <w:tblW w:w="9639" w:type="dxa"/>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063"/>
        <w:gridCol w:w="1859"/>
        <w:gridCol w:w="1859"/>
        <w:gridCol w:w="1858"/>
      </w:tblGrid>
      <w:tr w:rsidR="008C707F" w:rsidRPr="002F6C78" w14:paraId="3C2CB1ED" w14:textId="77777777" w:rsidTr="002F6C78">
        <w:trPr>
          <w:trHeight w:hRule="exact" w:val="283"/>
        </w:trPr>
        <w:tc>
          <w:tcPr>
            <w:tcW w:w="4063" w:type="dxa"/>
            <w:tcBorders>
              <w:top w:val="single" w:sz="2" w:space="0" w:color="1F4E79" w:themeColor="accent1" w:themeShade="80"/>
              <w:bottom w:val="nil"/>
            </w:tcBorders>
          </w:tcPr>
          <w:p w14:paraId="1478104F" w14:textId="77777777" w:rsidR="008C707F" w:rsidRPr="002F6C78" w:rsidRDefault="008C707F" w:rsidP="00D72BBC">
            <w:pPr>
              <w:pStyle w:val="08-Tabelageral"/>
              <w:jc w:val="left"/>
              <w:rPr>
                <w:rFonts w:cs="Arial"/>
                <w:b/>
                <w:bCs/>
                <w:lang w:val="en-US" w:eastAsia="en-US"/>
              </w:rPr>
            </w:pPr>
          </w:p>
        </w:tc>
        <w:tc>
          <w:tcPr>
            <w:tcW w:w="5576" w:type="dxa"/>
            <w:gridSpan w:val="3"/>
            <w:tcBorders>
              <w:top w:val="single" w:sz="2" w:space="0" w:color="1F4E79" w:themeColor="accent1" w:themeShade="80"/>
              <w:bottom w:val="nil"/>
            </w:tcBorders>
            <w:hideMark/>
          </w:tcPr>
          <w:p w14:paraId="5D1650F5" w14:textId="77777777" w:rsidR="008C707F" w:rsidRPr="002F6C78" w:rsidRDefault="008C707F" w:rsidP="00D72BBC">
            <w:pPr>
              <w:pStyle w:val="08-Tabelageral"/>
              <w:ind w:right="-57"/>
              <w:jc w:val="center"/>
              <w:rPr>
                <w:rFonts w:cs="Arial"/>
                <w:b/>
                <w:bCs/>
                <w:lang w:eastAsia="en-US"/>
              </w:rPr>
            </w:pPr>
            <w:r w:rsidRPr="002F6C78">
              <w:rPr>
                <w:rFonts w:cs="Arial"/>
                <w:b/>
                <w:bCs/>
                <w:lang w:eastAsia="en-US"/>
              </w:rPr>
              <w:t>Annual Information</w:t>
            </w:r>
          </w:p>
        </w:tc>
      </w:tr>
      <w:tr w:rsidR="008C707F" w:rsidRPr="002F6C78" w14:paraId="7EAF13A4" w14:textId="77777777" w:rsidTr="002F6C78">
        <w:trPr>
          <w:trHeight w:hRule="exact" w:val="238"/>
        </w:trPr>
        <w:tc>
          <w:tcPr>
            <w:tcW w:w="4063" w:type="dxa"/>
            <w:tcBorders>
              <w:top w:val="nil"/>
              <w:bottom w:val="single" w:sz="2" w:space="0" w:color="1F4E79" w:themeColor="accent1" w:themeShade="80"/>
            </w:tcBorders>
          </w:tcPr>
          <w:p w14:paraId="19B2B2A8" w14:textId="77777777" w:rsidR="008C707F" w:rsidRPr="002F6C78" w:rsidRDefault="008C707F" w:rsidP="00D72BBC">
            <w:pPr>
              <w:pStyle w:val="08-Tabelageral"/>
              <w:jc w:val="left"/>
              <w:rPr>
                <w:rFonts w:cs="Arial"/>
                <w:b/>
                <w:bCs/>
                <w:szCs w:val="14"/>
                <w:lang w:eastAsia="en-US"/>
              </w:rPr>
            </w:pPr>
          </w:p>
        </w:tc>
        <w:tc>
          <w:tcPr>
            <w:tcW w:w="1859" w:type="dxa"/>
            <w:tcBorders>
              <w:top w:val="nil"/>
              <w:bottom w:val="single" w:sz="2" w:space="0" w:color="1F4E79" w:themeColor="accent1" w:themeShade="80"/>
            </w:tcBorders>
            <w:hideMark/>
          </w:tcPr>
          <w:p w14:paraId="777C9D89" w14:textId="77777777" w:rsidR="008C707F" w:rsidRPr="002F6C78" w:rsidRDefault="008C707F" w:rsidP="00D72BBC">
            <w:pPr>
              <w:pStyle w:val="08-Tabelageral"/>
              <w:ind w:right="-57"/>
              <w:jc w:val="center"/>
              <w:rPr>
                <w:rFonts w:cs="Arial"/>
                <w:b/>
                <w:bCs/>
                <w:lang w:eastAsia="en-US"/>
              </w:rPr>
            </w:pPr>
            <w:r w:rsidRPr="002F6C78">
              <w:rPr>
                <w:rFonts w:cs="Arial"/>
                <w:b/>
                <w:bCs/>
                <w:lang w:eastAsia="en-US"/>
              </w:rPr>
              <w:t>2022</w:t>
            </w:r>
          </w:p>
        </w:tc>
        <w:tc>
          <w:tcPr>
            <w:tcW w:w="1859" w:type="dxa"/>
            <w:tcBorders>
              <w:top w:val="nil"/>
              <w:bottom w:val="single" w:sz="2" w:space="0" w:color="1F4E79" w:themeColor="accent1" w:themeShade="80"/>
            </w:tcBorders>
            <w:hideMark/>
          </w:tcPr>
          <w:p w14:paraId="02B48E0E" w14:textId="77777777" w:rsidR="008C707F" w:rsidRPr="002F6C78" w:rsidRDefault="008C707F" w:rsidP="00D72BBC">
            <w:pPr>
              <w:pStyle w:val="08-Tabelageral"/>
              <w:ind w:right="-57"/>
              <w:jc w:val="center"/>
              <w:rPr>
                <w:rFonts w:cs="Arial"/>
                <w:b/>
                <w:bCs/>
                <w:lang w:eastAsia="en-US"/>
              </w:rPr>
            </w:pPr>
            <w:r w:rsidRPr="002F6C78">
              <w:rPr>
                <w:rFonts w:cs="Arial"/>
                <w:b/>
                <w:bCs/>
                <w:lang w:eastAsia="en-US"/>
              </w:rPr>
              <w:t>2021</w:t>
            </w:r>
          </w:p>
        </w:tc>
        <w:tc>
          <w:tcPr>
            <w:tcW w:w="1858" w:type="dxa"/>
            <w:tcBorders>
              <w:top w:val="nil"/>
              <w:bottom w:val="single" w:sz="2" w:space="0" w:color="1F4E79" w:themeColor="accent1" w:themeShade="80"/>
            </w:tcBorders>
            <w:hideMark/>
          </w:tcPr>
          <w:p w14:paraId="63BA572C" w14:textId="77777777" w:rsidR="008C707F" w:rsidRPr="002F6C78" w:rsidRDefault="008C707F" w:rsidP="00D72BBC">
            <w:pPr>
              <w:pStyle w:val="08-Tabelageral"/>
              <w:jc w:val="center"/>
              <w:rPr>
                <w:rFonts w:cs="Arial"/>
                <w:b/>
                <w:bCs/>
                <w:lang w:eastAsia="en-US"/>
              </w:rPr>
            </w:pPr>
            <w:r w:rsidRPr="002F6C78">
              <w:rPr>
                <w:rFonts w:cs="Arial"/>
                <w:b/>
                <w:bCs/>
                <w:lang w:eastAsia="en-US"/>
              </w:rPr>
              <w:t>2020</w:t>
            </w:r>
          </w:p>
        </w:tc>
      </w:tr>
      <w:tr w:rsidR="008C707F" w:rsidRPr="002F6C78" w14:paraId="2C8196EE" w14:textId="77777777" w:rsidTr="002F6C78">
        <w:trPr>
          <w:trHeight w:hRule="exact" w:val="298"/>
        </w:trPr>
        <w:tc>
          <w:tcPr>
            <w:tcW w:w="4063" w:type="dxa"/>
            <w:tcBorders>
              <w:top w:val="single" w:sz="2" w:space="0" w:color="1F4E79" w:themeColor="accent1" w:themeShade="80"/>
            </w:tcBorders>
            <w:hideMark/>
          </w:tcPr>
          <w:p w14:paraId="1D917790" w14:textId="77777777" w:rsidR="008C707F" w:rsidRPr="002F6C78" w:rsidRDefault="008C707F" w:rsidP="00D72BBC">
            <w:pPr>
              <w:pStyle w:val="08-Tabelageral"/>
              <w:jc w:val="left"/>
              <w:rPr>
                <w:rFonts w:cs="Arial"/>
                <w:b/>
                <w:bCs/>
                <w:snapToGrid w:val="0"/>
                <w:color w:val="000000"/>
                <w:lang w:eastAsia="en-US"/>
              </w:rPr>
            </w:pPr>
            <w:r w:rsidRPr="002F6C78">
              <w:rPr>
                <w:b/>
                <w:bCs/>
                <w:color w:val="000000"/>
                <w:lang w:eastAsia="en-US"/>
              </w:rPr>
              <w:t>Number of associates</w:t>
            </w:r>
          </w:p>
        </w:tc>
        <w:tc>
          <w:tcPr>
            <w:tcW w:w="1859" w:type="dxa"/>
            <w:tcBorders>
              <w:top w:val="single" w:sz="2" w:space="0" w:color="1F4E79" w:themeColor="accent1" w:themeShade="80"/>
            </w:tcBorders>
          </w:tcPr>
          <w:p w14:paraId="70A481E3" w14:textId="77777777" w:rsidR="008C707F" w:rsidRPr="002F6C78" w:rsidRDefault="008C707F" w:rsidP="00D72BBC">
            <w:pPr>
              <w:pStyle w:val="08-Tabelageral"/>
              <w:rPr>
                <w:rFonts w:cs="Arial"/>
                <w:b/>
                <w:bCs/>
                <w:color w:val="FF0000"/>
                <w:szCs w:val="14"/>
                <w:lang w:eastAsia="en-US"/>
              </w:rPr>
            </w:pPr>
          </w:p>
        </w:tc>
        <w:tc>
          <w:tcPr>
            <w:tcW w:w="1859" w:type="dxa"/>
            <w:tcBorders>
              <w:top w:val="single" w:sz="2" w:space="0" w:color="1F4E79" w:themeColor="accent1" w:themeShade="80"/>
            </w:tcBorders>
          </w:tcPr>
          <w:p w14:paraId="7217D29B" w14:textId="77777777" w:rsidR="008C707F" w:rsidRPr="002F6C78" w:rsidRDefault="008C707F" w:rsidP="00D72BBC">
            <w:pPr>
              <w:pStyle w:val="08-Tabelageral"/>
              <w:rPr>
                <w:rFonts w:cs="Arial"/>
                <w:b/>
                <w:bCs/>
                <w:szCs w:val="14"/>
                <w:lang w:eastAsia="en-US"/>
              </w:rPr>
            </w:pPr>
          </w:p>
        </w:tc>
        <w:tc>
          <w:tcPr>
            <w:tcW w:w="1858" w:type="dxa"/>
            <w:tcBorders>
              <w:top w:val="single" w:sz="2" w:space="0" w:color="1F4E79" w:themeColor="accent1" w:themeShade="80"/>
            </w:tcBorders>
          </w:tcPr>
          <w:p w14:paraId="16F768F1" w14:textId="77777777" w:rsidR="008C707F" w:rsidRPr="002F6C78" w:rsidRDefault="008C707F" w:rsidP="00D72BBC">
            <w:pPr>
              <w:pStyle w:val="08-Tabelageral"/>
              <w:rPr>
                <w:rFonts w:cs="Arial"/>
                <w:b/>
                <w:bCs/>
                <w:color w:val="FF0000"/>
                <w:szCs w:val="14"/>
                <w:lang w:eastAsia="en-US"/>
              </w:rPr>
            </w:pPr>
          </w:p>
        </w:tc>
      </w:tr>
      <w:tr w:rsidR="008C707F" w14:paraId="1FBCEB67" w14:textId="77777777" w:rsidTr="002F6C78">
        <w:trPr>
          <w:trHeight w:hRule="exact" w:val="238"/>
        </w:trPr>
        <w:tc>
          <w:tcPr>
            <w:tcW w:w="4063" w:type="dxa"/>
            <w:hideMark/>
          </w:tcPr>
          <w:p w14:paraId="0287F6D7" w14:textId="77777777" w:rsidR="008C707F" w:rsidRDefault="008C707F" w:rsidP="00D72BBC">
            <w:pPr>
              <w:pStyle w:val="08-Tabelageral"/>
              <w:ind w:left="113"/>
              <w:jc w:val="left"/>
              <w:rPr>
                <w:rFonts w:cs="Arial"/>
                <w:b/>
                <w:snapToGrid w:val="0"/>
                <w:color w:val="000000"/>
                <w:lang w:eastAsia="en-US"/>
              </w:rPr>
            </w:pPr>
            <w:r>
              <w:rPr>
                <w:color w:val="000000"/>
                <w:lang w:eastAsia="en-US"/>
              </w:rPr>
              <w:t>Employees¹</w:t>
            </w:r>
          </w:p>
        </w:tc>
        <w:tc>
          <w:tcPr>
            <w:tcW w:w="1859" w:type="dxa"/>
            <w:hideMark/>
          </w:tcPr>
          <w:p w14:paraId="3515496F" w14:textId="77777777" w:rsidR="008C707F" w:rsidRPr="00DB0B4F" w:rsidRDefault="008C707F" w:rsidP="00D72BBC">
            <w:pPr>
              <w:pStyle w:val="08-Tabelageral"/>
              <w:jc w:val="center"/>
              <w:rPr>
                <w:color w:val="FF0000"/>
                <w:lang w:eastAsia="en-US"/>
              </w:rPr>
            </w:pPr>
            <w:r>
              <w:rPr>
                <w:lang w:eastAsia="en-US"/>
              </w:rPr>
              <w:t>175</w:t>
            </w:r>
          </w:p>
        </w:tc>
        <w:tc>
          <w:tcPr>
            <w:tcW w:w="1859" w:type="dxa"/>
            <w:hideMark/>
          </w:tcPr>
          <w:p w14:paraId="0CAEEB11" w14:textId="77777777" w:rsidR="008C707F" w:rsidRDefault="008C707F" w:rsidP="00D72BBC">
            <w:pPr>
              <w:pStyle w:val="08-Tabelageral"/>
              <w:jc w:val="center"/>
              <w:rPr>
                <w:lang w:eastAsia="en-US"/>
              </w:rPr>
            </w:pPr>
            <w:r>
              <w:rPr>
                <w:lang w:eastAsia="en-US"/>
              </w:rPr>
              <w:t>154</w:t>
            </w:r>
          </w:p>
        </w:tc>
        <w:tc>
          <w:tcPr>
            <w:tcW w:w="1858" w:type="dxa"/>
            <w:hideMark/>
          </w:tcPr>
          <w:p w14:paraId="2D7C9716" w14:textId="77777777" w:rsidR="008C707F" w:rsidRDefault="008C707F" w:rsidP="00D72BBC">
            <w:pPr>
              <w:pStyle w:val="08-Tabelageral"/>
              <w:jc w:val="center"/>
              <w:rPr>
                <w:lang w:eastAsia="en-US"/>
              </w:rPr>
            </w:pPr>
            <w:r>
              <w:rPr>
                <w:lang w:eastAsia="en-US"/>
              </w:rPr>
              <w:t>154</w:t>
            </w:r>
          </w:p>
        </w:tc>
      </w:tr>
      <w:tr w:rsidR="008C707F" w14:paraId="4F7966F4" w14:textId="77777777" w:rsidTr="002F6C78">
        <w:trPr>
          <w:trHeight w:hRule="exact" w:val="238"/>
        </w:trPr>
        <w:tc>
          <w:tcPr>
            <w:tcW w:w="4063" w:type="dxa"/>
            <w:hideMark/>
          </w:tcPr>
          <w:p w14:paraId="2D9FA20A" w14:textId="77777777" w:rsidR="008C707F" w:rsidRDefault="008C707F" w:rsidP="00D72BBC">
            <w:pPr>
              <w:pStyle w:val="08-Tabelageral"/>
              <w:ind w:left="113"/>
              <w:jc w:val="left"/>
              <w:rPr>
                <w:rFonts w:cs="Arial"/>
                <w:b/>
                <w:snapToGrid w:val="0"/>
                <w:color w:val="000000"/>
                <w:lang w:eastAsia="en-US"/>
              </w:rPr>
            </w:pPr>
            <w:r>
              <w:rPr>
                <w:color w:val="000000"/>
                <w:lang w:eastAsia="en-US"/>
              </w:rPr>
              <w:t>Outsourced</w:t>
            </w:r>
          </w:p>
        </w:tc>
        <w:tc>
          <w:tcPr>
            <w:tcW w:w="1859" w:type="dxa"/>
            <w:hideMark/>
          </w:tcPr>
          <w:p w14:paraId="60182861" w14:textId="77777777" w:rsidR="008C707F" w:rsidRPr="00DB0B4F" w:rsidRDefault="008C707F" w:rsidP="00D72BBC">
            <w:pPr>
              <w:pStyle w:val="08-Tabelageral"/>
              <w:jc w:val="center"/>
              <w:rPr>
                <w:b/>
                <w:color w:val="FF0000"/>
                <w:lang w:eastAsia="en-US"/>
              </w:rPr>
            </w:pPr>
            <w:r>
              <w:rPr>
                <w:lang w:eastAsia="en-US"/>
              </w:rPr>
              <w:t>27</w:t>
            </w:r>
          </w:p>
        </w:tc>
        <w:tc>
          <w:tcPr>
            <w:tcW w:w="1859" w:type="dxa"/>
            <w:hideMark/>
          </w:tcPr>
          <w:p w14:paraId="19D20DC6" w14:textId="77777777" w:rsidR="008C707F" w:rsidRDefault="008C707F" w:rsidP="00D72BBC">
            <w:pPr>
              <w:pStyle w:val="08-Tabelageral"/>
              <w:jc w:val="center"/>
              <w:rPr>
                <w:b/>
                <w:color w:val="000000"/>
                <w:lang w:eastAsia="en-US"/>
              </w:rPr>
            </w:pPr>
            <w:r>
              <w:rPr>
                <w:lang w:eastAsia="en-US"/>
              </w:rPr>
              <w:t>21</w:t>
            </w:r>
          </w:p>
        </w:tc>
        <w:tc>
          <w:tcPr>
            <w:tcW w:w="1858" w:type="dxa"/>
            <w:hideMark/>
          </w:tcPr>
          <w:p w14:paraId="2A671410" w14:textId="77777777" w:rsidR="008C707F" w:rsidRDefault="008C707F" w:rsidP="00D72BBC">
            <w:pPr>
              <w:pStyle w:val="08-Tabelageral"/>
              <w:jc w:val="center"/>
              <w:rPr>
                <w:lang w:eastAsia="en-US"/>
              </w:rPr>
            </w:pPr>
            <w:r>
              <w:rPr>
                <w:lang w:eastAsia="en-US"/>
              </w:rPr>
              <w:t>20</w:t>
            </w:r>
          </w:p>
        </w:tc>
      </w:tr>
      <w:tr w:rsidR="008C707F" w14:paraId="1B9D1519" w14:textId="77777777" w:rsidTr="002F6C78">
        <w:trPr>
          <w:trHeight w:hRule="exact" w:val="238"/>
        </w:trPr>
        <w:tc>
          <w:tcPr>
            <w:tcW w:w="4063" w:type="dxa"/>
            <w:hideMark/>
          </w:tcPr>
          <w:p w14:paraId="7F6F80DE" w14:textId="77777777" w:rsidR="008C707F" w:rsidRDefault="008C707F" w:rsidP="00D72BBC">
            <w:pPr>
              <w:pStyle w:val="08-Tabelageral"/>
              <w:ind w:left="113"/>
              <w:jc w:val="left"/>
              <w:rPr>
                <w:rFonts w:cs="Arial"/>
                <w:b/>
                <w:snapToGrid w:val="0"/>
                <w:color w:val="000000"/>
                <w:lang w:eastAsia="en-US"/>
              </w:rPr>
            </w:pPr>
            <w:r>
              <w:rPr>
                <w:color w:val="000000"/>
                <w:lang w:eastAsia="en-US"/>
              </w:rPr>
              <w:t>Interns</w:t>
            </w:r>
          </w:p>
        </w:tc>
        <w:tc>
          <w:tcPr>
            <w:tcW w:w="1859" w:type="dxa"/>
            <w:hideMark/>
          </w:tcPr>
          <w:p w14:paraId="73AFC9DE" w14:textId="77777777" w:rsidR="008C707F" w:rsidRPr="00DB0B4F" w:rsidRDefault="008C707F" w:rsidP="00D72BBC">
            <w:pPr>
              <w:pStyle w:val="08-Tabelageral"/>
              <w:jc w:val="center"/>
              <w:rPr>
                <w:color w:val="FF0000"/>
                <w:lang w:eastAsia="en-US"/>
              </w:rPr>
            </w:pPr>
            <w:r>
              <w:rPr>
                <w:lang w:eastAsia="en-US"/>
              </w:rPr>
              <w:t>11</w:t>
            </w:r>
          </w:p>
        </w:tc>
        <w:tc>
          <w:tcPr>
            <w:tcW w:w="1859" w:type="dxa"/>
            <w:hideMark/>
          </w:tcPr>
          <w:p w14:paraId="39E0485A" w14:textId="77777777" w:rsidR="008C707F" w:rsidRDefault="008C707F" w:rsidP="00D72BBC">
            <w:pPr>
              <w:pStyle w:val="08-Tabelageral"/>
              <w:jc w:val="center"/>
              <w:rPr>
                <w:lang w:eastAsia="en-US"/>
              </w:rPr>
            </w:pPr>
            <w:r>
              <w:rPr>
                <w:lang w:eastAsia="en-US"/>
              </w:rPr>
              <w:t>3</w:t>
            </w:r>
          </w:p>
        </w:tc>
        <w:tc>
          <w:tcPr>
            <w:tcW w:w="1858" w:type="dxa"/>
            <w:hideMark/>
          </w:tcPr>
          <w:p w14:paraId="6C448487" w14:textId="77777777" w:rsidR="008C707F" w:rsidRDefault="008C707F" w:rsidP="00D72BBC">
            <w:pPr>
              <w:pStyle w:val="08-Tabelageral"/>
              <w:jc w:val="center"/>
              <w:rPr>
                <w:lang w:eastAsia="en-US"/>
              </w:rPr>
            </w:pPr>
            <w:r>
              <w:rPr>
                <w:lang w:eastAsia="en-US"/>
              </w:rPr>
              <w:t>9</w:t>
            </w:r>
          </w:p>
        </w:tc>
      </w:tr>
      <w:tr w:rsidR="008C707F" w14:paraId="2ECA42A7" w14:textId="77777777" w:rsidTr="002F6C78">
        <w:trPr>
          <w:trHeight w:hRule="exact" w:val="238"/>
        </w:trPr>
        <w:tc>
          <w:tcPr>
            <w:tcW w:w="4063" w:type="dxa"/>
            <w:hideMark/>
          </w:tcPr>
          <w:p w14:paraId="743F22D7" w14:textId="77777777" w:rsidR="008C707F" w:rsidRDefault="008C707F" w:rsidP="00D72BBC">
            <w:pPr>
              <w:pStyle w:val="08-Tabelageral"/>
              <w:ind w:left="113"/>
              <w:jc w:val="left"/>
              <w:rPr>
                <w:rFonts w:cs="Arial"/>
                <w:b/>
                <w:snapToGrid w:val="0"/>
                <w:color w:val="000000"/>
                <w:lang w:eastAsia="en-US"/>
              </w:rPr>
            </w:pPr>
            <w:r>
              <w:rPr>
                <w:color w:val="000000"/>
                <w:lang w:eastAsia="en-US"/>
              </w:rPr>
              <w:t>Board members</w:t>
            </w:r>
          </w:p>
        </w:tc>
        <w:tc>
          <w:tcPr>
            <w:tcW w:w="1859" w:type="dxa"/>
            <w:hideMark/>
          </w:tcPr>
          <w:p w14:paraId="35288C3D" w14:textId="77777777" w:rsidR="008C707F" w:rsidRPr="00DB0B4F" w:rsidRDefault="008C707F" w:rsidP="00D72BBC">
            <w:pPr>
              <w:pStyle w:val="08-Tabelageral"/>
              <w:jc w:val="center"/>
              <w:rPr>
                <w:color w:val="FF0000"/>
                <w:lang w:eastAsia="en-US"/>
              </w:rPr>
            </w:pPr>
            <w:r>
              <w:rPr>
                <w:lang w:eastAsia="en-US"/>
              </w:rPr>
              <w:t>10</w:t>
            </w:r>
          </w:p>
        </w:tc>
        <w:tc>
          <w:tcPr>
            <w:tcW w:w="1859" w:type="dxa"/>
            <w:hideMark/>
          </w:tcPr>
          <w:p w14:paraId="6F98DCFE" w14:textId="77777777" w:rsidR="008C707F" w:rsidRDefault="008C707F" w:rsidP="00D72BBC">
            <w:pPr>
              <w:pStyle w:val="08-Tabelageral"/>
              <w:jc w:val="center"/>
              <w:rPr>
                <w:color w:val="000000"/>
                <w:lang w:eastAsia="en-US"/>
              </w:rPr>
            </w:pPr>
            <w:r>
              <w:rPr>
                <w:lang w:eastAsia="en-US"/>
              </w:rPr>
              <w:t>10</w:t>
            </w:r>
          </w:p>
        </w:tc>
        <w:tc>
          <w:tcPr>
            <w:tcW w:w="1858" w:type="dxa"/>
            <w:hideMark/>
          </w:tcPr>
          <w:p w14:paraId="5662FE7F" w14:textId="77777777" w:rsidR="008C707F" w:rsidRDefault="008C707F" w:rsidP="00D72BBC">
            <w:pPr>
              <w:pStyle w:val="08-Tabelageral"/>
              <w:jc w:val="center"/>
              <w:rPr>
                <w:lang w:eastAsia="en-US"/>
              </w:rPr>
            </w:pPr>
            <w:r>
              <w:rPr>
                <w:lang w:eastAsia="en-US"/>
              </w:rPr>
              <w:t>10</w:t>
            </w:r>
          </w:p>
        </w:tc>
      </w:tr>
      <w:tr w:rsidR="008C707F" w:rsidRPr="002F6C78" w14:paraId="77FF9A37" w14:textId="77777777" w:rsidTr="002F6C78">
        <w:trPr>
          <w:trHeight w:hRule="exact" w:val="238"/>
        </w:trPr>
        <w:tc>
          <w:tcPr>
            <w:tcW w:w="4063" w:type="dxa"/>
            <w:hideMark/>
          </w:tcPr>
          <w:p w14:paraId="206BC574" w14:textId="77777777" w:rsidR="008C707F" w:rsidRPr="002F6C78" w:rsidRDefault="008C707F" w:rsidP="00D72BBC">
            <w:pPr>
              <w:pStyle w:val="08-Tabelageral"/>
              <w:jc w:val="left"/>
              <w:rPr>
                <w:rFonts w:cs="Arial"/>
                <w:b/>
                <w:bCs/>
                <w:snapToGrid w:val="0"/>
                <w:color w:val="000000"/>
                <w:vertAlign w:val="superscript"/>
                <w:lang w:eastAsia="en-US"/>
              </w:rPr>
            </w:pPr>
            <w:r w:rsidRPr="002F6C78">
              <w:rPr>
                <w:b/>
                <w:bCs/>
                <w:color w:val="000000"/>
                <w:lang w:eastAsia="en-US"/>
              </w:rPr>
              <w:t xml:space="preserve">TOTAL </w:t>
            </w:r>
          </w:p>
        </w:tc>
        <w:tc>
          <w:tcPr>
            <w:tcW w:w="1859" w:type="dxa"/>
            <w:hideMark/>
          </w:tcPr>
          <w:p w14:paraId="6182C33D" w14:textId="77777777" w:rsidR="008C707F" w:rsidRPr="002F6C78" w:rsidRDefault="008C707F" w:rsidP="00D72BBC">
            <w:pPr>
              <w:pStyle w:val="08-Tabelageral"/>
              <w:jc w:val="center"/>
              <w:rPr>
                <w:b/>
                <w:bCs/>
                <w:lang w:eastAsia="en-US"/>
              </w:rPr>
            </w:pPr>
            <w:r w:rsidRPr="002F6C78">
              <w:rPr>
                <w:b/>
                <w:bCs/>
                <w:lang w:eastAsia="en-US"/>
              </w:rPr>
              <w:t>223</w:t>
            </w:r>
          </w:p>
        </w:tc>
        <w:tc>
          <w:tcPr>
            <w:tcW w:w="1859" w:type="dxa"/>
            <w:hideMark/>
          </w:tcPr>
          <w:p w14:paraId="7088DBAA" w14:textId="77777777" w:rsidR="008C707F" w:rsidRPr="002F6C78" w:rsidRDefault="008C707F" w:rsidP="00D72BBC">
            <w:pPr>
              <w:pStyle w:val="08-Tabelageral"/>
              <w:jc w:val="center"/>
              <w:rPr>
                <w:b/>
                <w:bCs/>
                <w:lang w:eastAsia="en-US"/>
              </w:rPr>
            </w:pPr>
            <w:r w:rsidRPr="002F6C78">
              <w:rPr>
                <w:b/>
                <w:bCs/>
                <w:lang w:eastAsia="en-US"/>
              </w:rPr>
              <w:t>188</w:t>
            </w:r>
          </w:p>
        </w:tc>
        <w:tc>
          <w:tcPr>
            <w:tcW w:w="1858" w:type="dxa"/>
            <w:hideMark/>
          </w:tcPr>
          <w:p w14:paraId="4D600729" w14:textId="77777777" w:rsidR="008C707F" w:rsidRPr="002F6C78" w:rsidRDefault="008C707F" w:rsidP="00D72BBC">
            <w:pPr>
              <w:pStyle w:val="08-Tabelageral"/>
              <w:jc w:val="center"/>
              <w:rPr>
                <w:b/>
                <w:bCs/>
                <w:lang w:eastAsia="en-US"/>
              </w:rPr>
            </w:pPr>
            <w:r w:rsidRPr="002F6C78">
              <w:rPr>
                <w:b/>
                <w:bCs/>
                <w:lang w:eastAsia="en-US"/>
              </w:rPr>
              <w:t>193</w:t>
            </w:r>
          </w:p>
        </w:tc>
      </w:tr>
      <w:tr w:rsidR="008C707F" w:rsidRPr="002F6C78" w14:paraId="3656A7F3" w14:textId="77777777" w:rsidTr="002F6C78">
        <w:trPr>
          <w:trHeight w:hRule="exact" w:val="238"/>
        </w:trPr>
        <w:tc>
          <w:tcPr>
            <w:tcW w:w="4063" w:type="dxa"/>
            <w:hideMark/>
          </w:tcPr>
          <w:p w14:paraId="23CC2685" w14:textId="77777777" w:rsidR="008C707F" w:rsidRPr="002F6C78" w:rsidRDefault="008C707F" w:rsidP="00D72BBC">
            <w:pPr>
              <w:pStyle w:val="08-Tabelageral"/>
              <w:jc w:val="left"/>
              <w:rPr>
                <w:rFonts w:cs="Arial"/>
                <w:b/>
                <w:bCs/>
                <w:snapToGrid w:val="0"/>
                <w:color w:val="000000"/>
                <w:lang w:eastAsia="en-US"/>
              </w:rPr>
            </w:pPr>
            <w:r w:rsidRPr="002F6C78">
              <w:rPr>
                <w:b/>
                <w:bCs/>
                <w:color w:val="000000"/>
                <w:lang w:eastAsia="en-US"/>
              </w:rPr>
              <w:t>Gender</w:t>
            </w:r>
          </w:p>
        </w:tc>
        <w:tc>
          <w:tcPr>
            <w:tcW w:w="1859" w:type="dxa"/>
          </w:tcPr>
          <w:p w14:paraId="69EE7D94" w14:textId="77777777" w:rsidR="008C707F" w:rsidRPr="002F6C78" w:rsidRDefault="008C707F" w:rsidP="00D72BBC">
            <w:pPr>
              <w:pStyle w:val="08-Tabelageral"/>
              <w:jc w:val="center"/>
              <w:rPr>
                <w:b/>
                <w:bCs/>
                <w:lang w:eastAsia="en-US"/>
              </w:rPr>
            </w:pPr>
          </w:p>
        </w:tc>
        <w:tc>
          <w:tcPr>
            <w:tcW w:w="1859" w:type="dxa"/>
          </w:tcPr>
          <w:p w14:paraId="7D54789E" w14:textId="77777777" w:rsidR="008C707F" w:rsidRPr="002F6C78" w:rsidRDefault="008C707F" w:rsidP="00D72BBC">
            <w:pPr>
              <w:pStyle w:val="08-Tabelageral"/>
              <w:jc w:val="center"/>
              <w:rPr>
                <w:b/>
                <w:bCs/>
                <w:color w:val="000000"/>
                <w:lang w:eastAsia="en-US"/>
              </w:rPr>
            </w:pPr>
          </w:p>
        </w:tc>
        <w:tc>
          <w:tcPr>
            <w:tcW w:w="1858" w:type="dxa"/>
          </w:tcPr>
          <w:p w14:paraId="2CA44E25" w14:textId="77777777" w:rsidR="008C707F" w:rsidRPr="002F6C78" w:rsidRDefault="008C707F" w:rsidP="00D72BBC">
            <w:pPr>
              <w:pStyle w:val="08-Tabelageral"/>
              <w:jc w:val="center"/>
              <w:rPr>
                <w:b/>
                <w:bCs/>
                <w:lang w:eastAsia="en-US"/>
              </w:rPr>
            </w:pPr>
          </w:p>
        </w:tc>
      </w:tr>
      <w:tr w:rsidR="008C707F" w14:paraId="7910C8CC" w14:textId="77777777" w:rsidTr="002F6C78">
        <w:trPr>
          <w:trHeight w:hRule="exact" w:val="266"/>
        </w:trPr>
        <w:tc>
          <w:tcPr>
            <w:tcW w:w="4063" w:type="dxa"/>
            <w:hideMark/>
          </w:tcPr>
          <w:p w14:paraId="3575EC32" w14:textId="77777777" w:rsidR="008C707F" w:rsidRDefault="008C707F" w:rsidP="00D72BBC">
            <w:pPr>
              <w:pStyle w:val="08-Tabelageral"/>
              <w:ind w:left="113"/>
              <w:jc w:val="left"/>
              <w:rPr>
                <w:rFonts w:cs="Arial"/>
                <w:b/>
                <w:snapToGrid w:val="0"/>
                <w:color w:val="000000"/>
                <w:lang w:eastAsia="en-US"/>
              </w:rPr>
            </w:pPr>
            <w:r>
              <w:rPr>
                <w:color w:val="000000"/>
                <w:lang w:eastAsia="en-US"/>
              </w:rPr>
              <w:t>Female</w:t>
            </w:r>
          </w:p>
        </w:tc>
        <w:tc>
          <w:tcPr>
            <w:tcW w:w="1859" w:type="dxa"/>
            <w:hideMark/>
          </w:tcPr>
          <w:p w14:paraId="07F3089E" w14:textId="77777777" w:rsidR="008C707F" w:rsidRPr="00732C30" w:rsidRDefault="008C707F" w:rsidP="00D72BBC">
            <w:pPr>
              <w:pStyle w:val="08-Tabelageral"/>
              <w:jc w:val="center"/>
              <w:rPr>
                <w:lang w:eastAsia="en-US"/>
              </w:rPr>
            </w:pPr>
            <w:r w:rsidRPr="00732C30">
              <w:rPr>
                <w:lang w:eastAsia="en-US"/>
              </w:rPr>
              <w:t>36%</w:t>
            </w:r>
          </w:p>
        </w:tc>
        <w:tc>
          <w:tcPr>
            <w:tcW w:w="1859" w:type="dxa"/>
            <w:hideMark/>
          </w:tcPr>
          <w:p w14:paraId="119E4FB2" w14:textId="77777777" w:rsidR="008C707F" w:rsidRDefault="008C707F" w:rsidP="00D72BBC">
            <w:pPr>
              <w:pStyle w:val="08-Tabelageral"/>
              <w:jc w:val="center"/>
              <w:rPr>
                <w:lang w:eastAsia="en-US"/>
              </w:rPr>
            </w:pPr>
            <w:r>
              <w:rPr>
                <w:lang w:eastAsia="en-US"/>
              </w:rPr>
              <w:t>33%</w:t>
            </w:r>
          </w:p>
        </w:tc>
        <w:tc>
          <w:tcPr>
            <w:tcW w:w="1858" w:type="dxa"/>
            <w:hideMark/>
          </w:tcPr>
          <w:p w14:paraId="01641F48" w14:textId="77777777" w:rsidR="008C707F" w:rsidRDefault="008C707F" w:rsidP="00D72BBC">
            <w:pPr>
              <w:pStyle w:val="08-Tabelageral"/>
              <w:jc w:val="center"/>
              <w:rPr>
                <w:lang w:eastAsia="en-US"/>
              </w:rPr>
            </w:pPr>
            <w:r>
              <w:rPr>
                <w:lang w:eastAsia="en-US"/>
              </w:rPr>
              <w:t>34%</w:t>
            </w:r>
          </w:p>
        </w:tc>
      </w:tr>
      <w:tr w:rsidR="008C707F" w14:paraId="22304F37" w14:textId="77777777" w:rsidTr="002F6C78">
        <w:trPr>
          <w:trHeight w:hRule="exact" w:val="238"/>
        </w:trPr>
        <w:tc>
          <w:tcPr>
            <w:tcW w:w="4063" w:type="dxa"/>
            <w:hideMark/>
          </w:tcPr>
          <w:p w14:paraId="13F42A6E" w14:textId="77777777" w:rsidR="008C707F" w:rsidRDefault="008C707F" w:rsidP="00D72BBC">
            <w:pPr>
              <w:pStyle w:val="08-Tabelageral"/>
              <w:ind w:left="113"/>
              <w:jc w:val="left"/>
              <w:rPr>
                <w:rFonts w:cs="Arial"/>
                <w:b/>
                <w:snapToGrid w:val="0"/>
                <w:color w:val="000000"/>
                <w:lang w:eastAsia="en-US"/>
              </w:rPr>
            </w:pPr>
            <w:r>
              <w:rPr>
                <w:color w:val="000000"/>
                <w:lang w:eastAsia="en-US"/>
              </w:rPr>
              <w:t>Male</w:t>
            </w:r>
          </w:p>
        </w:tc>
        <w:tc>
          <w:tcPr>
            <w:tcW w:w="1859" w:type="dxa"/>
            <w:hideMark/>
          </w:tcPr>
          <w:p w14:paraId="190C87C5" w14:textId="77777777" w:rsidR="008C707F" w:rsidRPr="00732C30" w:rsidRDefault="008C707F" w:rsidP="00D72BBC">
            <w:pPr>
              <w:pStyle w:val="08-Tabelageral"/>
              <w:jc w:val="center"/>
              <w:rPr>
                <w:lang w:eastAsia="en-US"/>
              </w:rPr>
            </w:pPr>
            <w:r w:rsidRPr="00732C30">
              <w:rPr>
                <w:lang w:eastAsia="en-US"/>
              </w:rPr>
              <w:t>64%</w:t>
            </w:r>
          </w:p>
        </w:tc>
        <w:tc>
          <w:tcPr>
            <w:tcW w:w="1859" w:type="dxa"/>
            <w:hideMark/>
          </w:tcPr>
          <w:p w14:paraId="10C140D3" w14:textId="77777777" w:rsidR="008C707F" w:rsidRDefault="008C707F" w:rsidP="00D72BBC">
            <w:pPr>
              <w:pStyle w:val="08-Tabelageral"/>
              <w:jc w:val="center"/>
              <w:rPr>
                <w:color w:val="000000"/>
                <w:lang w:eastAsia="en-US"/>
              </w:rPr>
            </w:pPr>
            <w:r>
              <w:rPr>
                <w:lang w:eastAsia="en-US"/>
              </w:rPr>
              <w:t>67%</w:t>
            </w:r>
          </w:p>
        </w:tc>
        <w:tc>
          <w:tcPr>
            <w:tcW w:w="1858" w:type="dxa"/>
            <w:hideMark/>
          </w:tcPr>
          <w:p w14:paraId="60E0913A" w14:textId="77777777" w:rsidR="008C707F" w:rsidRDefault="008C707F" w:rsidP="00D72BBC">
            <w:pPr>
              <w:pStyle w:val="08-Tabelageral"/>
              <w:jc w:val="center"/>
              <w:rPr>
                <w:lang w:eastAsia="en-US"/>
              </w:rPr>
            </w:pPr>
            <w:r>
              <w:rPr>
                <w:lang w:eastAsia="en-US"/>
              </w:rPr>
              <w:t>66%</w:t>
            </w:r>
          </w:p>
        </w:tc>
      </w:tr>
      <w:tr w:rsidR="008C707F" w:rsidRPr="002F6C78" w14:paraId="0AA8329F" w14:textId="77777777" w:rsidTr="002F6C78">
        <w:trPr>
          <w:trHeight w:hRule="exact" w:val="238"/>
        </w:trPr>
        <w:tc>
          <w:tcPr>
            <w:tcW w:w="4063" w:type="dxa"/>
            <w:hideMark/>
          </w:tcPr>
          <w:p w14:paraId="325BAF19" w14:textId="77777777" w:rsidR="008C707F" w:rsidRPr="002F6C78" w:rsidRDefault="008C707F" w:rsidP="00D72BBC">
            <w:pPr>
              <w:pStyle w:val="08-Tabelageral"/>
              <w:jc w:val="left"/>
              <w:rPr>
                <w:rFonts w:cs="Arial"/>
                <w:b/>
                <w:bCs/>
                <w:snapToGrid w:val="0"/>
                <w:color w:val="000000"/>
                <w:lang w:eastAsia="en-US"/>
              </w:rPr>
            </w:pPr>
            <w:r w:rsidRPr="002F6C78">
              <w:rPr>
                <w:b/>
                <w:bCs/>
                <w:color w:val="000000"/>
                <w:lang w:eastAsia="en-US"/>
              </w:rPr>
              <w:t>Education leve</w:t>
            </w:r>
          </w:p>
        </w:tc>
        <w:tc>
          <w:tcPr>
            <w:tcW w:w="1859" w:type="dxa"/>
          </w:tcPr>
          <w:p w14:paraId="02591BD1" w14:textId="77777777" w:rsidR="008C707F" w:rsidRPr="002F6C78" w:rsidRDefault="008C707F" w:rsidP="00D72BBC">
            <w:pPr>
              <w:pStyle w:val="08-Tabelageral"/>
              <w:jc w:val="center"/>
              <w:rPr>
                <w:b/>
                <w:bCs/>
                <w:lang w:eastAsia="en-US"/>
              </w:rPr>
            </w:pPr>
          </w:p>
        </w:tc>
        <w:tc>
          <w:tcPr>
            <w:tcW w:w="1859" w:type="dxa"/>
          </w:tcPr>
          <w:p w14:paraId="2F8CCA36" w14:textId="77777777" w:rsidR="008C707F" w:rsidRPr="002F6C78" w:rsidRDefault="008C707F" w:rsidP="00D72BBC">
            <w:pPr>
              <w:pStyle w:val="08-Tabelageral"/>
              <w:jc w:val="center"/>
              <w:rPr>
                <w:b/>
                <w:bCs/>
                <w:color w:val="000000"/>
                <w:lang w:eastAsia="en-US"/>
              </w:rPr>
            </w:pPr>
          </w:p>
        </w:tc>
        <w:tc>
          <w:tcPr>
            <w:tcW w:w="1858" w:type="dxa"/>
          </w:tcPr>
          <w:p w14:paraId="473656AE" w14:textId="77777777" w:rsidR="008C707F" w:rsidRPr="002F6C78" w:rsidRDefault="008C707F" w:rsidP="00D72BBC">
            <w:pPr>
              <w:pStyle w:val="08-Tabelageral"/>
              <w:jc w:val="center"/>
              <w:rPr>
                <w:b/>
                <w:bCs/>
                <w:lang w:eastAsia="en-US"/>
              </w:rPr>
            </w:pPr>
          </w:p>
        </w:tc>
      </w:tr>
      <w:tr w:rsidR="008C707F" w14:paraId="3764955F" w14:textId="77777777" w:rsidTr="002F6C78">
        <w:trPr>
          <w:trHeight w:hRule="exact" w:val="238"/>
        </w:trPr>
        <w:tc>
          <w:tcPr>
            <w:tcW w:w="4063" w:type="dxa"/>
            <w:hideMark/>
          </w:tcPr>
          <w:p w14:paraId="71AAB654" w14:textId="77777777" w:rsidR="008C707F" w:rsidRDefault="008C707F" w:rsidP="00D72BBC">
            <w:pPr>
              <w:pStyle w:val="08-Tabelageral"/>
              <w:ind w:left="113"/>
              <w:jc w:val="left"/>
              <w:rPr>
                <w:rFonts w:cs="Arial"/>
                <w:b/>
                <w:snapToGrid w:val="0"/>
                <w:color w:val="000000"/>
                <w:lang w:eastAsia="en-US"/>
              </w:rPr>
            </w:pPr>
            <w:r>
              <w:rPr>
                <w:color w:val="000000"/>
                <w:lang w:eastAsia="en-US"/>
              </w:rPr>
              <w:t>PhD</w:t>
            </w:r>
          </w:p>
        </w:tc>
        <w:tc>
          <w:tcPr>
            <w:tcW w:w="1859" w:type="dxa"/>
            <w:hideMark/>
          </w:tcPr>
          <w:p w14:paraId="3D21BA0A" w14:textId="77777777" w:rsidR="008C707F" w:rsidRPr="00732C30" w:rsidRDefault="008C707F" w:rsidP="00D72BBC">
            <w:pPr>
              <w:pStyle w:val="08-Tabelageral"/>
              <w:jc w:val="center"/>
              <w:rPr>
                <w:lang w:eastAsia="en-US"/>
              </w:rPr>
            </w:pPr>
            <w:r w:rsidRPr="00732C30">
              <w:rPr>
                <w:bCs/>
                <w:lang w:eastAsia="en-US"/>
              </w:rPr>
              <w:t>1%</w:t>
            </w:r>
          </w:p>
        </w:tc>
        <w:tc>
          <w:tcPr>
            <w:tcW w:w="1859" w:type="dxa"/>
            <w:hideMark/>
          </w:tcPr>
          <w:p w14:paraId="51EADF7C" w14:textId="77777777" w:rsidR="008C707F" w:rsidRDefault="008C707F" w:rsidP="00D72BBC">
            <w:pPr>
              <w:pStyle w:val="08-Tabelageral"/>
              <w:jc w:val="center"/>
              <w:rPr>
                <w:color w:val="000000"/>
                <w:lang w:eastAsia="en-US"/>
              </w:rPr>
            </w:pPr>
            <w:r w:rsidRPr="00AE2463">
              <w:rPr>
                <w:bCs/>
                <w:color w:val="000000"/>
                <w:lang w:eastAsia="en-US"/>
              </w:rPr>
              <w:t>3%</w:t>
            </w:r>
          </w:p>
        </w:tc>
        <w:tc>
          <w:tcPr>
            <w:tcW w:w="1858" w:type="dxa"/>
            <w:hideMark/>
          </w:tcPr>
          <w:p w14:paraId="3A8C6752" w14:textId="77777777" w:rsidR="008C707F" w:rsidRDefault="008C707F" w:rsidP="00D72BBC">
            <w:pPr>
              <w:pStyle w:val="08-Tabelageral"/>
              <w:jc w:val="center"/>
              <w:rPr>
                <w:lang w:eastAsia="en-US"/>
              </w:rPr>
            </w:pPr>
            <w:r w:rsidRPr="00AE2463">
              <w:rPr>
                <w:bCs/>
                <w:color w:val="000000"/>
                <w:lang w:eastAsia="en-US"/>
              </w:rPr>
              <w:t>3%</w:t>
            </w:r>
          </w:p>
        </w:tc>
      </w:tr>
      <w:tr w:rsidR="008C707F" w14:paraId="4493C1A3" w14:textId="77777777" w:rsidTr="002F6C78">
        <w:trPr>
          <w:trHeight w:hRule="exact" w:val="238"/>
        </w:trPr>
        <w:tc>
          <w:tcPr>
            <w:tcW w:w="4063" w:type="dxa"/>
          </w:tcPr>
          <w:p w14:paraId="28C33C86" w14:textId="77777777" w:rsidR="008C707F" w:rsidRPr="00732C30" w:rsidRDefault="008C707F" w:rsidP="00D72BBC">
            <w:pPr>
              <w:pStyle w:val="08-Tabelageral"/>
              <w:ind w:left="113"/>
              <w:jc w:val="left"/>
              <w:rPr>
                <w:b/>
                <w:bCs/>
                <w:color w:val="000000"/>
                <w:lang w:eastAsia="en-US"/>
              </w:rPr>
            </w:pPr>
            <w:r>
              <w:rPr>
                <w:color w:val="000000"/>
                <w:lang w:eastAsia="en-US"/>
              </w:rPr>
              <w:t>Master</w:t>
            </w:r>
          </w:p>
        </w:tc>
        <w:tc>
          <w:tcPr>
            <w:tcW w:w="1859" w:type="dxa"/>
          </w:tcPr>
          <w:p w14:paraId="64F5A071" w14:textId="77777777" w:rsidR="008C707F" w:rsidRPr="00732C30" w:rsidRDefault="008C707F" w:rsidP="00D72BBC">
            <w:pPr>
              <w:pStyle w:val="08-Tabelageral"/>
              <w:jc w:val="center"/>
              <w:rPr>
                <w:lang w:eastAsia="en-US"/>
              </w:rPr>
            </w:pPr>
            <w:r w:rsidRPr="00732C30">
              <w:rPr>
                <w:bCs/>
                <w:lang w:eastAsia="en-US"/>
              </w:rPr>
              <w:t>15%</w:t>
            </w:r>
          </w:p>
        </w:tc>
        <w:tc>
          <w:tcPr>
            <w:tcW w:w="1859" w:type="dxa"/>
          </w:tcPr>
          <w:p w14:paraId="3E18FEFE" w14:textId="77777777" w:rsidR="008C707F" w:rsidRDefault="008C707F" w:rsidP="00D72BBC">
            <w:pPr>
              <w:pStyle w:val="08-Tabelageral"/>
              <w:jc w:val="center"/>
              <w:rPr>
                <w:lang w:eastAsia="en-US"/>
              </w:rPr>
            </w:pPr>
            <w:r w:rsidRPr="00AE2463">
              <w:rPr>
                <w:bCs/>
                <w:color w:val="000000"/>
                <w:lang w:eastAsia="en-US"/>
              </w:rPr>
              <w:t>13%</w:t>
            </w:r>
          </w:p>
        </w:tc>
        <w:tc>
          <w:tcPr>
            <w:tcW w:w="1858" w:type="dxa"/>
          </w:tcPr>
          <w:p w14:paraId="5FFB3E59" w14:textId="77777777" w:rsidR="008C707F" w:rsidRDefault="008C707F" w:rsidP="00D72BBC">
            <w:pPr>
              <w:pStyle w:val="08-Tabelageral"/>
              <w:jc w:val="center"/>
              <w:rPr>
                <w:lang w:eastAsia="en-US"/>
              </w:rPr>
            </w:pPr>
            <w:r w:rsidRPr="00AE2463">
              <w:rPr>
                <w:bCs/>
                <w:color w:val="000000"/>
                <w:lang w:eastAsia="en-US"/>
              </w:rPr>
              <w:t>15%</w:t>
            </w:r>
          </w:p>
        </w:tc>
      </w:tr>
      <w:tr w:rsidR="008C707F" w14:paraId="7376BC34" w14:textId="77777777" w:rsidTr="002F6C78">
        <w:trPr>
          <w:trHeight w:hRule="exact" w:val="238"/>
        </w:trPr>
        <w:tc>
          <w:tcPr>
            <w:tcW w:w="4063" w:type="dxa"/>
          </w:tcPr>
          <w:p w14:paraId="737853DE" w14:textId="77777777" w:rsidR="008C707F" w:rsidRPr="00732C30" w:rsidRDefault="008C707F" w:rsidP="00D72BBC">
            <w:pPr>
              <w:pStyle w:val="08-Tabelageral"/>
              <w:ind w:left="113"/>
              <w:jc w:val="left"/>
              <w:rPr>
                <w:b/>
                <w:bCs/>
                <w:color w:val="000000"/>
                <w:lang w:eastAsia="en-US"/>
              </w:rPr>
            </w:pPr>
            <w:r>
              <w:rPr>
                <w:color w:val="000000"/>
                <w:lang w:eastAsia="en-US"/>
              </w:rPr>
              <w:t>Undergraduate</w:t>
            </w:r>
          </w:p>
        </w:tc>
        <w:tc>
          <w:tcPr>
            <w:tcW w:w="1859" w:type="dxa"/>
          </w:tcPr>
          <w:p w14:paraId="6A365AB1" w14:textId="77777777" w:rsidR="008C707F" w:rsidRPr="00732C30" w:rsidRDefault="008C707F" w:rsidP="00D72BBC">
            <w:pPr>
              <w:pStyle w:val="08-Tabelageral"/>
              <w:jc w:val="center"/>
              <w:rPr>
                <w:lang w:eastAsia="en-US"/>
              </w:rPr>
            </w:pPr>
            <w:r w:rsidRPr="00732C30">
              <w:rPr>
                <w:lang w:eastAsia="en-US"/>
              </w:rPr>
              <w:t>66%</w:t>
            </w:r>
          </w:p>
        </w:tc>
        <w:tc>
          <w:tcPr>
            <w:tcW w:w="1859" w:type="dxa"/>
          </w:tcPr>
          <w:p w14:paraId="424219A2" w14:textId="77777777" w:rsidR="008C707F" w:rsidRDefault="008C707F" w:rsidP="00D72BBC">
            <w:pPr>
              <w:pStyle w:val="08-Tabelageral"/>
              <w:jc w:val="center"/>
              <w:rPr>
                <w:lang w:eastAsia="en-US"/>
              </w:rPr>
            </w:pPr>
            <w:r>
              <w:rPr>
                <w:lang w:eastAsia="en-US"/>
              </w:rPr>
              <w:t>67%</w:t>
            </w:r>
          </w:p>
        </w:tc>
        <w:tc>
          <w:tcPr>
            <w:tcW w:w="1858" w:type="dxa"/>
          </w:tcPr>
          <w:p w14:paraId="7CDE33D0" w14:textId="77777777" w:rsidR="008C707F" w:rsidRDefault="008C707F" w:rsidP="00D72BBC">
            <w:pPr>
              <w:pStyle w:val="08-Tabelageral"/>
              <w:jc w:val="center"/>
              <w:rPr>
                <w:lang w:eastAsia="en-US"/>
              </w:rPr>
            </w:pPr>
            <w:r>
              <w:rPr>
                <w:lang w:eastAsia="en-US"/>
              </w:rPr>
              <w:t>63%</w:t>
            </w:r>
          </w:p>
        </w:tc>
      </w:tr>
      <w:tr w:rsidR="008C707F" w14:paraId="5F017A3D" w14:textId="77777777" w:rsidTr="002F6C78">
        <w:trPr>
          <w:trHeight w:hRule="exact" w:val="279"/>
        </w:trPr>
        <w:tc>
          <w:tcPr>
            <w:tcW w:w="4063" w:type="dxa"/>
            <w:hideMark/>
          </w:tcPr>
          <w:p w14:paraId="2D1F0AA8" w14:textId="77777777" w:rsidR="008C707F" w:rsidRDefault="008C707F" w:rsidP="00D72BBC">
            <w:pPr>
              <w:pStyle w:val="08-Tabelageral"/>
              <w:ind w:left="113"/>
              <w:jc w:val="left"/>
              <w:rPr>
                <w:rFonts w:cs="Arial"/>
                <w:b/>
                <w:snapToGrid w:val="0"/>
                <w:color w:val="000000"/>
                <w:lang w:eastAsia="en-US"/>
              </w:rPr>
            </w:pPr>
            <w:r>
              <w:rPr>
                <w:color w:val="000000"/>
                <w:lang w:eastAsia="en-US"/>
              </w:rPr>
              <w:t>Bachelor degree</w:t>
            </w:r>
          </w:p>
        </w:tc>
        <w:tc>
          <w:tcPr>
            <w:tcW w:w="1859" w:type="dxa"/>
            <w:hideMark/>
          </w:tcPr>
          <w:p w14:paraId="1AE89AF0" w14:textId="77777777" w:rsidR="008C707F" w:rsidRPr="00732C30" w:rsidRDefault="008C707F" w:rsidP="00D72BBC">
            <w:pPr>
              <w:pStyle w:val="08-Tabelageral"/>
              <w:jc w:val="center"/>
              <w:rPr>
                <w:lang w:eastAsia="en-US"/>
              </w:rPr>
            </w:pPr>
            <w:r w:rsidRPr="00732C30">
              <w:rPr>
                <w:lang w:eastAsia="en-US"/>
              </w:rPr>
              <w:t>11%</w:t>
            </w:r>
          </w:p>
        </w:tc>
        <w:tc>
          <w:tcPr>
            <w:tcW w:w="1859" w:type="dxa"/>
            <w:hideMark/>
          </w:tcPr>
          <w:p w14:paraId="688C9CBC" w14:textId="77777777" w:rsidR="008C707F" w:rsidRDefault="008C707F" w:rsidP="00D72BBC">
            <w:pPr>
              <w:pStyle w:val="08-Tabelageral"/>
              <w:jc w:val="center"/>
              <w:rPr>
                <w:lang w:eastAsia="en-US"/>
              </w:rPr>
            </w:pPr>
            <w:r>
              <w:rPr>
                <w:lang w:eastAsia="en-US"/>
              </w:rPr>
              <w:t>15%</w:t>
            </w:r>
          </w:p>
        </w:tc>
        <w:tc>
          <w:tcPr>
            <w:tcW w:w="1858" w:type="dxa"/>
            <w:hideMark/>
          </w:tcPr>
          <w:p w14:paraId="7565D74C" w14:textId="77777777" w:rsidR="008C707F" w:rsidRDefault="008C707F" w:rsidP="00D72BBC">
            <w:pPr>
              <w:pStyle w:val="08-Tabelageral"/>
              <w:jc w:val="center"/>
              <w:rPr>
                <w:lang w:eastAsia="en-US"/>
              </w:rPr>
            </w:pPr>
            <w:r>
              <w:rPr>
                <w:lang w:eastAsia="en-US"/>
              </w:rPr>
              <w:t>14%</w:t>
            </w:r>
          </w:p>
        </w:tc>
      </w:tr>
      <w:tr w:rsidR="008C707F" w14:paraId="3925B8E2" w14:textId="77777777" w:rsidTr="002F6C78">
        <w:trPr>
          <w:trHeight w:hRule="exact" w:val="284"/>
        </w:trPr>
        <w:tc>
          <w:tcPr>
            <w:tcW w:w="4063" w:type="dxa"/>
            <w:hideMark/>
          </w:tcPr>
          <w:p w14:paraId="56BB6B46" w14:textId="77777777" w:rsidR="008C707F" w:rsidRDefault="008C707F" w:rsidP="00D72BBC">
            <w:pPr>
              <w:pStyle w:val="08-Tabelageral"/>
              <w:ind w:left="113"/>
              <w:jc w:val="left"/>
              <w:rPr>
                <w:rFonts w:cs="Arial"/>
                <w:b/>
                <w:snapToGrid w:val="0"/>
                <w:color w:val="000000"/>
                <w:vertAlign w:val="superscript"/>
                <w:lang w:eastAsia="en-US"/>
              </w:rPr>
            </w:pPr>
            <w:r>
              <w:rPr>
                <w:color w:val="000000"/>
                <w:lang w:eastAsia="en-US"/>
              </w:rPr>
              <w:t>High School</w:t>
            </w:r>
          </w:p>
        </w:tc>
        <w:tc>
          <w:tcPr>
            <w:tcW w:w="1859" w:type="dxa"/>
            <w:hideMark/>
          </w:tcPr>
          <w:p w14:paraId="6F0F3298" w14:textId="77777777" w:rsidR="008C707F" w:rsidRPr="00732C30" w:rsidRDefault="008C707F" w:rsidP="00D72BBC">
            <w:pPr>
              <w:pStyle w:val="08-Tabelageral"/>
              <w:jc w:val="center"/>
              <w:rPr>
                <w:lang w:eastAsia="en-US"/>
              </w:rPr>
            </w:pPr>
            <w:r w:rsidRPr="00732C30">
              <w:rPr>
                <w:lang w:eastAsia="en-US"/>
              </w:rPr>
              <w:t>7%</w:t>
            </w:r>
          </w:p>
        </w:tc>
        <w:tc>
          <w:tcPr>
            <w:tcW w:w="1859" w:type="dxa"/>
            <w:hideMark/>
          </w:tcPr>
          <w:p w14:paraId="3514ED14" w14:textId="77777777" w:rsidR="008C707F" w:rsidRDefault="008C707F" w:rsidP="00D72BBC">
            <w:pPr>
              <w:pStyle w:val="08-Tabelageral"/>
              <w:jc w:val="center"/>
              <w:rPr>
                <w:color w:val="000000"/>
                <w:lang w:eastAsia="en-US"/>
              </w:rPr>
            </w:pPr>
            <w:r>
              <w:rPr>
                <w:lang w:eastAsia="en-US"/>
              </w:rPr>
              <w:t>2%</w:t>
            </w:r>
          </w:p>
        </w:tc>
        <w:tc>
          <w:tcPr>
            <w:tcW w:w="1858" w:type="dxa"/>
            <w:hideMark/>
          </w:tcPr>
          <w:p w14:paraId="7ED7D57B" w14:textId="77777777" w:rsidR="008C707F" w:rsidRDefault="008C707F" w:rsidP="00D72BBC">
            <w:pPr>
              <w:pStyle w:val="08-Tabelageral"/>
              <w:jc w:val="center"/>
              <w:rPr>
                <w:lang w:eastAsia="en-US"/>
              </w:rPr>
            </w:pPr>
            <w:r>
              <w:rPr>
                <w:lang w:eastAsia="en-US"/>
              </w:rPr>
              <w:t>5%</w:t>
            </w:r>
          </w:p>
        </w:tc>
      </w:tr>
      <w:tr w:rsidR="008C707F" w:rsidRPr="002F6C78" w14:paraId="033CB5AA" w14:textId="77777777" w:rsidTr="002F6C78">
        <w:trPr>
          <w:trHeight w:hRule="exact" w:val="238"/>
        </w:trPr>
        <w:tc>
          <w:tcPr>
            <w:tcW w:w="4063" w:type="dxa"/>
            <w:hideMark/>
          </w:tcPr>
          <w:p w14:paraId="773290D6" w14:textId="77777777" w:rsidR="008C707F" w:rsidRPr="002F6C78" w:rsidRDefault="008C707F" w:rsidP="00D72BBC">
            <w:pPr>
              <w:pStyle w:val="08-Tabelageral"/>
              <w:jc w:val="left"/>
              <w:rPr>
                <w:rFonts w:cs="Arial"/>
                <w:b/>
                <w:bCs/>
                <w:snapToGrid w:val="0"/>
                <w:color w:val="000000"/>
                <w:lang w:eastAsia="en-US"/>
              </w:rPr>
            </w:pPr>
            <w:r w:rsidRPr="002F6C78">
              <w:rPr>
                <w:b/>
                <w:bCs/>
                <w:color w:val="000000"/>
                <w:lang w:eastAsia="en-US"/>
              </w:rPr>
              <w:t>Age range</w:t>
            </w:r>
          </w:p>
        </w:tc>
        <w:tc>
          <w:tcPr>
            <w:tcW w:w="1859" w:type="dxa"/>
          </w:tcPr>
          <w:p w14:paraId="69EB60AB" w14:textId="77777777" w:rsidR="008C707F" w:rsidRPr="002F6C78" w:rsidRDefault="008C707F" w:rsidP="00D72BBC">
            <w:pPr>
              <w:pStyle w:val="08-Tabelageral"/>
              <w:jc w:val="center"/>
              <w:rPr>
                <w:b/>
                <w:bCs/>
                <w:lang w:eastAsia="en-US"/>
              </w:rPr>
            </w:pPr>
          </w:p>
        </w:tc>
        <w:tc>
          <w:tcPr>
            <w:tcW w:w="1859" w:type="dxa"/>
          </w:tcPr>
          <w:p w14:paraId="05E874F0" w14:textId="77777777" w:rsidR="008C707F" w:rsidRPr="002F6C78" w:rsidRDefault="008C707F" w:rsidP="00D72BBC">
            <w:pPr>
              <w:pStyle w:val="08-Tabelageral"/>
              <w:jc w:val="center"/>
              <w:rPr>
                <w:b/>
                <w:bCs/>
                <w:color w:val="000000"/>
                <w:lang w:eastAsia="en-US"/>
              </w:rPr>
            </w:pPr>
          </w:p>
        </w:tc>
        <w:tc>
          <w:tcPr>
            <w:tcW w:w="1858" w:type="dxa"/>
          </w:tcPr>
          <w:p w14:paraId="41DAD57B" w14:textId="77777777" w:rsidR="008C707F" w:rsidRPr="002F6C78" w:rsidRDefault="008C707F" w:rsidP="00D72BBC">
            <w:pPr>
              <w:pStyle w:val="08-Tabelageral"/>
              <w:jc w:val="center"/>
              <w:rPr>
                <w:b/>
                <w:bCs/>
                <w:lang w:eastAsia="en-US"/>
              </w:rPr>
            </w:pPr>
          </w:p>
        </w:tc>
      </w:tr>
      <w:tr w:rsidR="008C707F" w14:paraId="373EA156" w14:textId="77777777" w:rsidTr="002F6C78">
        <w:trPr>
          <w:trHeight w:hRule="exact" w:val="238"/>
        </w:trPr>
        <w:tc>
          <w:tcPr>
            <w:tcW w:w="4063" w:type="dxa"/>
            <w:hideMark/>
          </w:tcPr>
          <w:p w14:paraId="4B11F666" w14:textId="77777777" w:rsidR="008C707F" w:rsidRDefault="008C707F" w:rsidP="00284F3E">
            <w:pPr>
              <w:pStyle w:val="08-Tabelageral"/>
              <w:ind w:left="113"/>
              <w:jc w:val="left"/>
              <w:rPr>
                <w:rFonts w:cs="Arial"/>
                <w:b/>
                <w:snapToGrid w:val="0"/>
                <w:color w:val="000000"/>
                <w:vertAlign w:val="superscript"/>
                <w:lang w:eastAsia="en-US"/>
              </w:rPr>
            </w:pPr>
            <w:r>
              <w:rPr>
                <w:color w:val="000000"/>
                <w:lang w:val="en-US" w:eastAsia="en-US"/>
              </w:rPr>
              <w:t>Below 30 years of age</w:t>
            </w:r>
          </w:p>
        </w:tc>
        <w:tc>
          <w:tcPr>
            <w:tcW w:w="1859" w:type="dxa"/>
            <w:hideMark/>
          </w:tcPr>
          <w:p w14:paraId="0B269761" w14:textId="77777777" w:rsidR="008C707F" w:rsidRPr="00732C30" w:rsidRDefault="008C707F" w:rsidP="00284F3E">
            <w:pPr>
              <w:pStyle w:val="08-Tabelageral"/>
              <w:jc w:val="center"/>
              <w:rPr>
                <w:lang w:eastAsia="en-US"/>
              </w:rPr>
            </w:pPr>
            <w:r w:rsidRPr="00732C30">
              <w:rPr>
                <w:lang w:eastAsia="en-US"/>
              </w:rPr>
              <w:t>8%</w:t>
            </w:r>
          </w:p>
        </w:tc>
        <w:tc>
          <w:tcPr>
            <w:tcW w:w="1859" w:type="dxa"/>
            <w:hideMark/>
          </w:tcPr>
          <w:p w14:paraId="628A1311" w14:textId="77777777" w:rsidR="008C707F" w:rsidRDefault="008C707F" w:rsidP="00284F3E">
            <w:pPr>
              <w:pStyle w:val="08-Tabelageral"/>
              <w:jc w:val="center"/>
              <w:rPr>
                <w:lang w:eastAsia="en-US"/>
              </w:rPr>
            </w:pPr>
            <w:r>
              <w:rPr>
                <w:lang w:eastAsia="en-US"/>
              </w:rPr>
              <w:t>7%</w:t>
            </w:r>
          </w:p>
        </w:tc>
        <w:tc>
          <w:tcPr>
            <w:tcW w:w="1858" w:type="dxa"/>
            <w:hideMark/>
          </w:tcPr>
          <w:p w14:paraId="660A612B" w14:textId="77777777" w:rsidR="008C707F" w:rsidRDefault="008C707F" w:rsidP="00284F3E">
            <w:pPr>
              <w:pStyle w:val="08-Tabelageral"/>
              <w:jc w:val="center"/>
              <w:rPr>
                <w:lang w:eastAsia="en-US"/>
              </w:rPr>
            </w:pPr>
            <w:r>
              <w:rPr>
                <w:lang w:eastAsia="en-US"/>
              </w:rPr>
              <w:t>11%</w:t>
            </w:r>
          </w:p>
        </w:tc>
      </w:tr>
      <w:tr w:rsidR="008C707F" w14:paraId="77903811" w14:textId="77777777" w:rsidTr="002F6C78">
        <w:trPr>
          <w:trHeight w:hRule="exact" w:val="238"/>
        </w:trPr>
        <w:tc>
          <w:tcPr>
            <w:tcW w:w="4063" w:type="dxa"/>
            <w:hideMark/>
          </w:tcPr>
          <w:p w14:paraId="78C03D9A" w14:textId="77777777" w:rsidR="008C707F" w:rsidRPr="00284F3E" w:rsidRDefault="008C707F" w:rsidP="00284F3E">
            <w:pPr>
              <w:pStyle w:val="08-Tabelageral"/>
              <w:ind w:left="113"/>
              <w:jc w:val="left"/>
              <w:rPr>
                <w:rFonts w:cs="Arial"/>
                <w:b/>
                <w:snapToGrid w:val="0"/>
                <w:color w:val="000000"/>
                <w:lang w:val="en-US" w:eastAsia="en-US"/>
              </w:rPr>
            </w:pPr>
            <w:r>
              <w:rPr>
                <w:color w:val="000000"/>
                <w:lang w:val="en-US" w:eastAsia="en-US"/>
              </w:rPr>
              <w:t>Between 30 and 50 years of age</w:t>
            </w:r>
          </w:p>
        </w:tc>
        <w:tc>
          <w:tcPr>
            <w:tcW w:w="1859" w:type="dxa"/>
            <w:hideMark/>
          </w:tcPr>
          <w:p w14:paraId="0208233A" w14:textId="77777777" w:rsidR="008C707F" w:rsidRPr="00732C30" w:rsidRDefault="008C707F" w:rsidP="00284F3E">
            <w:pPr>
              <w:pStyle w:val="08-Tabelageral"/>
              <w:jc w:val="center"/>
              <w:rPr>
                <w:b/>
                <w:lang w:eastAsia="en-US"/>
              </w:rPr>
            </w:pPr>
            <w:r w:rsidRPr="00732C30">
              <w:rPr>
                <w:bCs/>
                <w:lang w:eastAsia="en-US"/>
              </w:rPr>
              <w:t>83%</w:t>
            </w:r>
          </w:p>
        </w:tc>
        <w:tc>
          <w:tcPr>
            <w:tcW w:w="1859" w:type="dxa"/>
            <w:hideMark/>
          </w:tcPr>
          <w:p w14:paraId="0D3C194D" w14:textId="77777777" w:rsidR="008C707F" w:rsidRDefault="008C707F" w:rsidP="00284F3E">
            <w:pPr>
              <w:pStyle w:val="08-Tabelageral"/>
              <w:jc w:val="center"/>
              <w:rPr>
                <w:b/>
                <w:color w:val="000000"/>
                <w:lang w:eastAsia="en-US"/>
              </w:rPr>
            </w:pPr>
            <w:r>
              <w:rPr>
                <w:lang w:eastAsia="en-US"/>
              </w:rPr>
              <w:t>82%</w:t>
            </w:r>
          </w:p>
        </w:tc>
        <w:tc>
          <w:tcPr>
            <w:tcW w:w="1858" w:type="dxa"/>
            <w:hideMark/>
          </w:tcPr>
          <w:p w14:paraId="55A35F6A" w14:textId="77777777" w:rsidR="008C707F" w:rsidRDefault="008C707F" w:rsidP="00284F3E">
            <w:pPr>
              <w:pStyle w:val="08-Tabelageral"/>
              <w:jc w:val="center"/>
              <w:rPr>
                <w:lang w:eastAsia="en-US"/>
              </w:rPr>
            </w:pPr>
            <w:r>
              <w:rPr>
                <w:lang w:eastAsia="en-US"/>
              </w:rPr>
              <w:t>80%</w:t>
            </w:r>
          </w:p>
        </w:tc>
      </w:tr>
      <w:tr w:rsidR="008C707F" w14:paraId="5B343D71" w14:textId="77777777" w:rsidTr="002F6C78">
        <w:trPr>
          <w:trHeight w:hRule="exact" w:val="238"/>
        </w:trPr>
        <w:tc>
          <w:tcPr>
            <w:tcW w:w="4063" w:type="dxa"/>
            <w:hideMark/>
          </w:tcPr>
          <w:p w14:paraId="72C3DB89" w14:textId="77777777" w:rsidR="008C707F" w:rsidRDefault="008C707F" w:rsidP="00284F3E">
            <w:pPr>
              <w:pStyle w:val="08-Tabelageral"/>
              <w:ind w:left="113"/>
              <w:jc w:val="left"/>
              <w:rPr>
                <w:rFonts w:cs="Arial"/>
                <w:b/>
                <w:snapToGrid w:val="0"/>
                <w:color w:val="000000"/>
                <w:lang w:eastAsia="en-US"/>
              </w:rPr>
            </w:pPr>
            <w:r>
              <w:rPr>
                <w:color w:val="000000"/>
                <w:lang w:val="en-US" w:eastAsia="en-US"/>
              </w:rPr>
              <w:t>Over 50 years of age</w:t>
            </w:r>
          </w:p>
        </w:tc>
        <w:tc>
          <w:tcPr>
            <w:tcW w:w="1859" w:type="dxa"/>
            <w:hideMark/>
          </w:tcPr>
          <w:p w14:paraId="5EC9FE3E" w14:textId="77777777" w:rsidR="008C707F" w:rsidRPr="00732C30" w:rsidRDefault="008C707F" w:rsidP="00284F3E">
            <w:pPr>
              <w:pStyle w:val="08-Tabelageral"/>
              <w:jc w:val="center"/>
              <w:rPr>
                <w:lang w:eastAsia="en-US"/>
              </w:rPr>
            </w:pPr>
            <w:r w:rsidRPr="00732C30">
              <w:rPr>
                <w:lang w:eastAsia="en-US"/>
              </w:rPr>
              <w:t>9%</w:t>
            </w:r>
          </w:p>
        </w:tc>
        <w:tc>
          <w:tcPr>
            <w:tcW w:w="1859" w:type="dxa"/>
            <w:hideMark/>
          </w:tcPr>
          <w:p w14:paraId="062B8AE3" w14:textId="77777777" w:rsidR="008C707F" w:rsidRDefault="008C707F" w:rsidP="00284F3E">
            <w:pPr>
              <w:pStyle w:val="08-Tabelageral"/>
              <w:jc w:val="center"/>
              <w:rPr>
                <w:lang w:eastAsia="en-US"/>
              </w:rPr>
            </w:pPr>
            <w:r>
              <w:rPr>
                <w:lang w:eastAsia="en-US"/>
              </w:rPr>
              <w:t>11%</w:t>
            </w:r>
          </w:p>
        </w:tc>
        <w:tc>
          <w:tcPr>
            <w:tcW w:w="1858" w:type="dxa"/>
            <w:hideMark/>
          </w:tcPr>
          <w:p w14:paraId="4F7BCB54" w14:textId="77777777" w:rsidR="008C707F" w:rsidRDefault="008C707F" w:rsidP="00284F3E">
            <w:pPr>
              <w:pStyle w:val="08-Tabelageral"/>
              <w:jc w:val="center"/>
              <w:rPr>
                <w:lang w:eastAsia="en-US"/>
              </w:rPr>
            </w:pPr>
            <w:r>
              <w:rPr>
                <w:lang w:eastAsia="en-US"/>
              </w:rPr>
              <w:t>9%</w:t>
            </w:r>
          </w:p>
        </w:tc>
      </w:tr>
    </w:tbl>
    <w:p w14:paraId="7E25EF6A" w14:textId="77777777" w:rsidR="008C707F" w:rsidRDefault="008C707F" w:rsidP="008C707F">
      <w:pPr>
        <w:pStyle w:val="07-Legenda"/>
        <w:numPr>
          <w:ilvl w:val="0"/>
          <w:numId w:val="45"/>
        </w:numPr>
        <w:ind w:left="0" w:firstLine="0"/>
        <w:rPr>
          <w:color w:val="000000"/>
        </w:rPr>
      </w:pPr>
      <w:r>
        <w:rPr>
          <w:color w:val="000000"/>
        </w:rPr>
        <w:t>Including the executive officers</w:t>
      </w:r>
    </w:p>
    <w:p w14:paraId="105EADC5" w14:textId="77777777" w:rsidR="008C707F" w:rsidRPr="00284F3E" w:rsidRDefault="008C707F" w:rsidP="008C707F">
      <w:pPr>
        <w:pStyle w:val="07-Legenda"/>
        <w:numPr>
          <w:ilvl w:val="0"/>
          <w:numId w:val="45"/>
        </w:numPr>
        <w:ind w:left="0" w:firstLine="0"/>
        <w:rPr>
          <w:color w:val="000000"/>
          <w:lang w:val="en-US"/>
        </w:rPr>
      </w:pPr>
      <w:r w:rsidRPr="00284F3E">
        <w:rPr>
          <w:color w:val="000000"/>
          <w:lang w:val="en-US"/>
        </w:rPr>
        <w:t>The percentages referring to gender, education level and age range were calculated based on the total number of associates (employees, contractors, interns and board members).</w:t>
      </w:r>
    </w:p>
    <w:p w14:paraId="1B3D2693" w14:textId="77777777" w:rsidR="008C707F" w:rsidRPr="00284F3E" w:rsidRDefault="008C707F" w:rsidP="00EF771D">
      <w:pPr>
        <w:spacing w:before="120" w:after="120"/>
        <w:jc w:val="both"/>
        <w:rPr>
          <w:rFonts w:cs="Arial"/>
          <w:color w:val="000000"/>
          <w:szCs w:val="18"/>
          <w:lang w:val="en-US"/>
        </w:rPr>
      </w:pPr>
    </w:p>
    <w:p w14:paraId="13FD9E3C" w14:textId="77777777" w:rsidR="008C707F" w:rsidRPr="00284F3E" w:rsidRDefault="008C707F" w:rsidP="00EF771D">
      <w:pPr>
        <w:spacing w:before="120" w:after="120"/>
        <w:jc w:val="both"/>
        <w:rPr>
          <w:rFonts w:cs="Arial"/>
          <w:color w:val="000000"/>
          <w:szCs w:val="18"/>
          <w:lang w:val="en-US"/>
        </w:rPr>
      </w:pPr>
    </w:p>
    <w:p w14:paraId="48B56064" w14:textId="77777777" w:rsidR="008C707F" w:rsidRDefault="008C707F" w:rsidP="004830F0">
      <w:pPr>
        <w:pStyle w:val="03-SubttulodeNota"/>
        <w:spacing w:line="276" w:lineRule="auto"/>
        <w:rPr>
          <w:b w:val="0"/>
          <w:bCs/>
          <w:color w:val="000000" w:themeColor="text1"/>
          <w:sz w:val="18"/>
          <w:szCs w:val="18"/>
          <w:u w:val="single"/>
          <w:lang w:val="en-US"/>
        </w:rPr>
      </w:pPr>
    </w:p>
    <w:p w14:paraId="34000403" w14:textId="77777777" w:rsidR="008C707F" w:rsidRDefault="008C707F" w:rsidP="004830F0">
      <w:pPr>
        <w:pStyle w:val="03-SubttulodeNota"/>
        <w:spacing w:line="276" w:lineRule="auto"/>
        <w:rPr>
          <w:b w:val="0"/>
          <w:bCs/>
          <w:color w:val="000000" w:themeColor="text1"/>
          <w:sz w:val="18"/>
          <w:szCs w:val="18"/>
          <w:u w:val="single"/>
          <w:lang w:val="en-US"/>
        </w:rPr>
      </w:pPr>
    </w:p>
    <w:p w14:paraId="03AC2C8E" w14:textId="713FB497" w:rsidR="008C707F" w:rsidRPr="00776837" w:rsidRDefault="008C707F" w:rsidP="004830F0">
      <w:pPr>
        <w:pStyle w:val="03-SubttulodeNota"/>
        <w:spacing w:line="276" w:lineRule="auto"/>
        <w:rPr>
          <w:b w:val="0"/>
          <w:bCs/>
          <w:color w:val="000000" w:themeColor="text1"/>
          <w:sz w:val="18"/>
          <w:szCs w:val="18"/>
          <w:u w:val="single"/>
          <w:lang w:val="en-US"/>
        </w:rPr>
      </w:pPr>
      <w:r w:rsidRPr="00776837">
        <w:rPr>
          <w:b w:val="0"/>
          <w:bCs/>
          <w:color w:val="000000" w:themeColor="text1"/>
          <w:sz w:val="18"/>
          <w:szCs w:val="18"/>
          <w:u w:val="single"/>
          <w:lang w:val="en-US"/>
        </w:rPr>
        <w:lastRenderedPageBreak/>
        <w:t>Recruitment and Selection</w:t>
      </w:r>
    </w:p>
    <w:p w14:paraId="7F36055F" w14:textId="77777777" w:rsidR="008C707F" w:rsidRPr="00776837" w:rsidRDefault="008C707F" w:rsidP="00DB0B4F">
      <w:pPr>
        <w:tabs>
          <w:tab w:val="left" w:pos="1175"/>
        </w:tabs>
        <w:spacing w:before="120" w:after="120"/>
        <w:jc w:val="both"/>
        <w:rPr>
          <w:rFonts w:cs="Arial"/>
          <w:color w:val="000000"/>
          <w:szCs w:val="18"/>
          <w:lang w:val="en-US"/>
        </w:rPr>
      </w:pPr>
      <w:r w:rsidRPr="00776837">
        <w:rPr>
          <w:rFonts w:cs="Arial"/>
          <w:color w:val="000000"/>
          <w:szCs w:val="18"/>
          <w:lang w:val="en-US"/>
        </w:rPr>
        <w:t xml:space="preserve">During 2022, forty (40) employees joined the Company </w:t>
      </w:r>
      <w:r>
        <w:rPr>
          <w:rFonts w:cs="Arial"/>
          <w:color w:val="000000"/>
          <w:szCs w:val="18"/>
          <w:lang w:val="en-US"/>
        </w:rPr>
        <w:t>ceded</w:t>
      </w:r>
      <w:r w:rsidRPr="00776837">
        <w:rPr>
          <w:rFonts w:cs="Arial"/>
          <w:color w:val="000000"/>
          <w:szCs w:val="18"/>
          <w:lang w:val="en-US"/>
        </w:rPr>
        <w:t xml:space="preserve"> by Banco do Brasil. Internally, there were twenty-four (24) promotions of employees. All these activities occurred in accordance with the Internal Rules for Attraction and Selection, </w:t>
      </w:r>
      <w:r>
        <w:rPr>
          <w:rFonts w:cs="Arial"/>
          <w:color w:val="000000"/>
          <w:szCs w:val="18"/>
          <w:lang w:val="en-US"/>
        </w:rPr>
        <w:t>via</w:t>
      </w:r>
      <w:r w:rsidRPr="00776837">
        <w:rPr>
          <w:rFonts w:cs="Arial"/>
          <w:color w:val="000000"/>
          <w:szCs w:val="18"/>
          <w:lang w:val="en-US"/>
        </w:rPr>
        <w:t xml:space="preserve"> simplified or full recruitment and selection.</w:t>
      </w:r>
    </w:p>
    <w:p w14:paraId="5678F9C8" w14:textId="77777777" w:rsidR="008C707F" w:rsidRPr="00776837" w:rsidRDefault="008C707F" w:rsidP="00DB0B4F">
      <w:pPr>
        <w:spacing w:before="120" w:after="120"/>
        <w:jc w:val="both"/>
        <w:rPr>
          <w:rFonts w:cs="Arial"/>
          <w:iCs/>
          <w:color w:val="000000"/>
          <w:szCs w:val="18"/>
          <w:lang w:val="en-US"/>
        </w:rPr>
      </w:pPr>
    </w:p>
    <w:p w14:paraId="7A1359A0" w14:textId="77777777" w:rsidR="008C707F" w:rsidRPr="00776837" w:rsidRDefault="008C707F" w:rsidP="00DB0B4F">
      <w:pPr>
        <w:pStyle w:val="03-SubttulodeNota"/>
        <w:spacing w:line="276" w:lineRule="auto"/>
        <w:rPr>
          <w:b w:val="0"/>
          <w:bCs/>
          <w:color w:val="000000" w:themeColor="text1"/>
          <w:sz w:val="18"/>
          <w:szCs w:val="18"/>
          <w:u w:val="single"/>
          <w:lang w:val="en-US"/>
        </w:rPr>
      </w:pPr>
      <w:r w:rsidRPr="00776837">
        <w:rPr>
          <w:b w:val="0"/>
          <w:bCs/>
          <w:color w:val="000000" w:themeColor="text1"/>
          <w:sz w:val="18"/>
          <w:szCs w:val="18"/>
          <w:u w:val="single"/>
          <w:lang w:val="en-US"/>
        </w:rPr>
        <w:t>Organizational Climate</w:t>
      </w:r>
    </w:p>
    <w:p w14:paraId="53624583" w14:textId="77777777" w:rsidR="008C707F" w:rsidRPr="00776837" w:rsidRDefault="008C707F" w:rsidP="00DB0B4F">
      <w:pPr>
        <w:spacing w:before="120" w:after="120"/>
        <w:jc w:val="both"/>
        <w:rPr>
          <w:rFonts w:cs="Arial"/>
          <w:color w:val="000000"/>
          <w:szCs w:val="18"/>
          <w:lang w:val="en-US"/>
        </w:rPr>
      </w:pPr>
      <w:r w:rsidRPr="00776837">
        <w:rPr>
          <w:rFonts w:cs="Arial"/>
          <w:color w:val="000000"/>
          <w:szCs w:val="18"/>
          <w:lang w:val="en-US"/>
        </w:rPr>
        <w:t>BB Seguridade carries out climate and satisfaction survey</w:t>
      </w:r>
      <w:r w:rsidRPr="00776837">
        <w:rPr>
          <w:rFonts w:cs="Arial"/>
          <w:strike/>
          <w:color w:val="000000"/>
          <w:szCs w:val="18"/>
          <w:lang w:val="en-US"/>
        </w:rPr>
        <w:t>s</w:t>
      </w:r>
      <w:r w:rsidRPr="00776837">
        <w:rPr>
          <w:rFonts w:cs="Arial"/>
          <w:color w:val="000000"/>
          <w:szCs w:val="18"/>
          <w:lang w:val="en-US"/>
        </w:rPr>
        <w:t xml:space="preserve"> once a year</w:t>
      </w:r>
      <w:r>
        <w:rPr>
          <w:rFonts w:cs="Arial"/>
          <w:color w:val="000000"/>
          <w:szCs w:val="18"/>
          <w:lang w:val="en-US"/>
        </w:rPr>
        <w:t xml:space="preserve"> </w:t>
      </w:r>
      <w:r w:rsidRPr="00776837">
        <w:rPr>
          <w:rFonts w:cs="Arial"/>
          <w:color w:val="000000"/>
          <w:szCs w:val="18"/>
          <w:lang w:val="en-US"/>
        </w:rPr>
        <w:t>through the Great Place to Work (GPTW) company</w:t>
      </w:r>
      <w:r>
        <w:rPr>
          <w:rFonts w:cs="Arial"/>
          <w:color w:val="000000"/>
          <w:szCs w:val="18"/>
          <w:lang w:val="en-US"/>
        </w:rPr>
        <w:t xml:space="preserve">, which </w:t>
      </w:r>
      <w:r w:rsidRPr="00776837">
        <w:rPr>
          <w:rFonts w:cs="Arial"/>
          <w:color w:val="000000"/>
          <w:szCs w:val="18"/>
          <w:lang w:val="en-US"/>
        </w:rPr>
        <w:t>uses the Trust Index methodology, to diagnose the points to be improved and address them through actions related to people management practices.</w:t>
      </w:r>
    </w:p>
    <w:p w14:paraId="7C118C20" w14:textId="77777777" w:rsidR="008C707F" w:rsidRPr="00776837" w:rsidRDefault="008C707F" w:rsidP="00DB0B4F">
      <w:pPr>
        <w:spacing w:before="120" w:after="120"/>
        <w:jc w:val="both"/>
        <w:rPr>
          <w:rFonts w:cs="Arial"/>
          <w:color w:val="000000"/>
          <w:szCs w:val="18"/>
          <w:lang w:val="en-US"/>
        </w:rPr>
      </w:pPr>
      <w:r w:rsidRPr="00776837">
        <w:rPr>
          <w:rFonts w:cs="Arial"/>
          <w:color w:val="000000"/>
          <w:szCs w:val="18"/>
          <w:lang w:val="en-US"/>
        </w:rPr>
        <w:t>In 2022, a quarterly Climate Pulse survey was applied, which is composed of the e-NPS (</w:t>
      </w:r>
      <w:r w:rsidRPr="00776837">
        <w:rPr>
          <w:rFonts w:cs="Arial"/>
          <w:i/>
          <w:color w:val="000000"/>
          <w:szCs w:val="18"/>
          <w:lang w:val="en-US"/>
        </w:rPr>
        <w:t>associate Net Promoter Score</w:t>
      </w:r>
      <w:r w:rsidRPr="00776837">
        <w:rPr>
          <w:rFonts w:cs="Arial"/>
          <w:color w:val="000000"/>
          <w:szCs w:val="18"/>
          <w:lang w:val="en-US"/>
        </w:rPr>
        <w:t xml:space="preserve">) question and, additionally, the Climor methodology questionnaire, a test to assess the organizational climate, defined as a set of stable characteristics resulting from the interaction between </w:t>
      </w:r>
      <w:r>
        <w:rPr>
          <w:rFonts w:cs="Arial"/>
          <w:color w:val="000000"/>
          <w:szCs w:val="18"/>
          <w:lang w:val="en-US"/>
        </w:rPr>
        <w:t>employees</w:t>
      </w:r>
      <w:r w:rsidRPr="00776837">
        <w:rPr>
          <w:rFonts w:cs="Arial"/>
          <w:color w:val="000000"/>
          <w:szCs w:val="18"/>
          <w:lang w:val="en-US"/>
        </w:rPr>
        <w:t xml:space="preserve"> (individual perception), their colleagues (microenvironment) and the organization (macroenvironment). These actions aim to identify, in the short term, the possible factors of employee</w:t>
      </w:r>
      <w:r>
        <w:rPr>
          <w:rFonts w:cs="Arial"/>
          <w:color w:val="000000"/>
          <w:szCs w:val="18"/>
          <w:lang w:val="en-US"/>
        </w:rPr>
        <w:t>s’</w:t>
      </w:r>
      <w:r w:rsidRPr="00776837">
        <w:rPr>
          <w:rFonts w:cs="Arial"/>
          <w:color w:val="000000"/>
          <w:szCs w:val="18"/>
          <w:lang w:val="en-US"/>
        </w:rPr>
        <w:t xml:space="preserve"> satisfaction and/or dissatisfaction and address them.</w:t>
      </w:r>
    </w:p>
    <w:p w14:paraId="4839AA26" w14:textId="77777777" w:rsidR="008C707F" w:rsidRPr="00776837" w:rsidRDefault="008C707F" w:rsidP="00DB0B4F">
      <w:pPr>
        <w:spacing w:before="120" w:after="120"/>
        <w:jc w:val="both"/>
        <w:rPr>
          <w:rFonts w:cs="Arial"/>
          <w:color w:val="000000"/>
          <w:szCs w:val="18"/>
          <w:lang w:val="en-US"/>
        </w:rPr>
      </w:pPr>
      <w:r w:rsidRPr="00776837">
        <w:rPr>
          <w:rFonts w:cs="Arial"/>
          <w:color w:val="000000"/>
          <w:szCs w:val="18"/>
          <w:lang w:val="en-US"/>
        </w:rPr>
        <w:t>Based on the employees’ perception</w:t>
      </w:r>
      <w:r>
        <w:rPr>
          <w:rFonts w:cs="Arial"/>
          <w:color w:val="000000"/>
          <w:szCs w:val="18"/>
          <w:lang w:val="en-US"/>
        </w:rPr>
        <w:t xml:space="preserve"> collected</w:t>
      </w:r>
      <w:r w:rsidRPr="00776837">
        <w:rPr>
          <w:rFonts w:cs="Arial"/>
          <w:color w:val="000000"/>
          <w:szCs w:val="18"/>
          <w:lang w:val="en-US"/>
        </w:rPr>
        <w:t xml:space="preserve"> through these instruments, the Company has been carrying out actions to raise engagement and organizational climate, such as periodic meetings with directors, managers, and technical staff for alignment.</w:t>
      </w:r>
    </w:p>
    <w:p w14:paraId="67415DD3" w14:textId="77777777" w:rsidR="008C707F" w:rsidRPr="00776837" w:rsidRDefault="008C707F" w:rsidP="00DB0B4F">
      <w:pPr>
        <w:spacing w:before="120" w:after="120"/>
        <w:jc w:val="both"/>
        <w:rPr>
          <w:color w:val="FF0000"/>
          <w:lang w:val="en-US"/>
        </w:rPr>
      </w:pPr>
      <w:r w:rsidRPr="00776837">
        <w:rPr>
          <w:rFonts w:cs="Arial"/>
          <w:color w:val="000000"/>
          <w:szCs w:val="18"/>
          <w:lang w:val="en-US"/>
        </w:rPr>
        <w:t xml:space="preserve">In 2022, the turnover, </w:t>
      </w:r>
      <w:r>
        <w:rPr>
          <w:rFonts w:cs="Arial"/>
          <w:color w:val="000000"/>
          <w:szCs w:val="18"/>
          <w:lang w:val="en-US"/>
        </w:rPr>
        <w:t xml:space="preserve">which considers employees </w:t>
      </w:r>
      <w:r w:rsidRPr="00776837">
        <w:rPr>
          <w:rFonts w:cs="Arial"/>
          <w:color w:val="000000"/>
          <w:szCs w:val="18"/>
          <w:lang w:val="en-US"/>
        </w:rPr>
        <w:t>who return</w:t>
      </w:r>
      <w:r>
        <w:rPr>
          <w:rFonts w:cs="Arial"/>
          <w:color w:val="000000"/>
          <w:szCs w:val="18"/>
          <w:lang w:val="en-US"/>
        </w:rPr>
        <w:t>ed</w:t>
      </w:r>
      <w:r w:rsidRPr="00776837">
        <w:rPr>
          <w:rFonts w:cs="Arial"/>
          <w:color w:val="000000"/>
          <w:szCs w:val="18"/>
          <w:lang w:val="en-US"/>
        </w:rPr>
        <w:t xml:space="preserve"> to Banco do Brasil, </w:t>
      </w:r>
      <w:r>
        <w:rPr>
          <w:rFonts w:cs="Arial"/>
          <w:color w:val="000000"/>
          <w:szCs w:val="18"/>
          <w:lang w:val="en-US"/>
        </w:rPr>
        <w:t>reached</w:t>
      </w:r>
      <w:r w:rsidRPr="00776837">
        <w:rPr>
          <w:rFonts w:cs="Arial"/>
          <w:color w:val="000000"/>
          <w:szCs w:val="18"/>
          <w:lang w:val="en-US"/>
        </w:rPr>
        <w:t xml:space="preserve"> 19.38%, an increase of 12.8 p.p. </w:t>
      </w:r>
      <w:r>
        <w:rPr>
          <w:rFonts w:cs="Arial"/>
          <w:color w:val="000000"/>
          <w:szCs w:val="18"/>
          <w:lang w:val="en-US"/>
        </w:rPr>
        <w:t>on</w:t>
      </w:r>
      <w:r w:rsidRPr="00776837">
        <w:rPr>
          <w:rFonts w:cs="Arial"/>
          <w:color w:val="000000"/>
          <w:szCs w:val="18"/>
          <w:lang w:val="en-US"/>
        </w:rPr>
        <w:t xml:space="preserve"> 2021, influenced mainly by the increase in the Company's staff, approved by the Board of Directors in February 2022, </w:t>
      </w:r>
      <w:r w:rsidRPr="00776837">
        <w:rPr>
          <w:rFonts w:cs="Arial"/>
          <w:szCs w:val="18"/>
          <w:lang w:val="en-US"/>
        </w:rPr>
        <w:t xml:space="preserve">as well as by </w:t>
      </w:r>
      <w:r w:rsidRPr="00776837">
        <w:rPr>
          <w:rFonts w:cs="Arial"/>
          <w:color w:val="000000"/>
          <w:szCs w:val="18"/>
          <w:lang w:val="en-US"/>
        </w:rPr>
        <w:t>the filling of open positions</w:t>
      </w:r>
      <w:r w:rsidRPr="00776837">
        <w:rPr>
          <w:rFonts w:cs="Arial"/>
          <w:szCs w:val="18"/>
          <w:lang w:val="en-US"/>
        </w:rPr>
        <w:t>.</w:t>
      </w:r>
    </w:p>
    <w:p w14:paraId="51B968AE" w14:textId="77777777" w:rsidR="008C707F" w:rsidRPr="00776837" w:rsidRDefault="008C707F" w:rsidP="00C81A16">
      <w:pPr>
        <w:pStyle w:val="01-Textonormal"/>
        <w:rPr>
          <w:lang w:val="en-US"/>
        </w:rPr>
      </w:pPr>
    </w:p>
    <w:p w14:paraId="50F1ACCF" w14:textId="77777777" w:rsidR="008C707F" w:rsidRPr="00776837" w:rsidRDefault="008C707F" w:rsidP="004830F0">
      <w:pPr>
        <w:pStyle w:val="03-SubttulodeNota"/>
        <w:spacing w:line="276" w:lineRule="auto"/>
        <w:rPr>
          <w:color w:val="1F4E79" w:themeColor="accent1" w:themeShade="80"/>
          <w:lang w:val="en-US"/>
        </w:rPr>
      </w:pPr>
      <w:r w:rsidRPr="00776837">
        <w:rPr>
          <w:color w:val="1F4E79" w:themeColor="accent1" w:themeShade="80"/>
          <w:lang w:val="en-US"/>
        </w:rPr>
        <w:t>Social and Environmental Responsibility</w:t>
      </w:r>
    </w:p>
    <w:p w14:paraId="627F539E" w14:textId="77777777" w:rsidR="008C707F" w:rsidRPr="00776837" w:rsidRDefault="008C707F" w:rsidP="00C81A16">
      <w:pPr>
        <w:spacing w:before="120" w:after="120"/>
        <w:jc w:val="both"/>
        <w:rPr>
          <w:rFonts w:eastAsia="Times New Roman" w:cs="Arial"/>
          <w:spacing w:val="-2"/>
          <w:szCs w:val="18"/>
          <w:lang w:val="en-US" w:eastAsia="pt-BR"/>
        </w:rPr>
      </w:pPr>
      <w:r w:rsidRPr="00776837">
        <w:rPr>
          <w:rFonts w:eastAsia="Times New Roman" w:cs="Arial"/>
          <w:spacing w:val="-2"/>
          <w:szCs w:val="18"/>
          <w:lang w:val="en-US" w:eastAsia="pt-BR"/>
        </w:rPr>
        <w:t>Below are the main sustainability practices adopted by BB Seguridade</w:t>
      </w:r>
      <w:r>
        <w:rPr>
          <w:rFonts w:eastAsia="Times New Roman" w:cs="Arial"/>
          <w:spacing w:val="-2"/>
          <w:szCs w:val="18"/>
          <w:lang w:val="en-US" w:eastAsia="pt-BR"/>
        </w:rPr>
        <w:t>’s</w:t>
      </w:r>
      <w:r w:rsidRPr="00776837">
        <w:rPr>
          <w:rFonts w:eastAsia="Times New Roman" w:cs="Arial"/>
          <w:spacing w:val="-2"/>
          <w:szCs w:val="18"/>
          <w:lang w:val="en-US" w:eastAsia="pt-BR"/>
        </w:rPr>
        <w:t xml:space="preserve"> companies in 2022.</w:t>
      </w:r>
    </w:p>
    <w:p w14:paraId="49B7CD1C" w14:textId="77777777" w:rsidR="008C707F" w:rsidRPr="00776837" w:rsidRDefault="008C707F" w:rsidP="00C81A16">
      <w:pPr>
        <w:spacing w:before="120" w:after="120"/>
        <w:jc w:val="both"/>
        <w:rPr>
          <w:rFonts w:eastAsia="Times New Roman" w:cs="Arial"/>
          <w:spacing w:val="-2"/>
          <w:szCs w:val="18"/>
          <w:lang w:val="en-US" w:eastAsia="pt-BR"/>
        </w:rPr>
      </w:pPr>
    </w:p>
    <w:p w14:paraId="2B44768D" w14:textId="77777777" w:rsidR="008C707F" w:rsidRPr="00776837" w:rsidRDefault="008C707F" w:rsidP="009A417F">
      <w:pPr>
        <w:pStyle w:val="03-SubttulodeNota"/>
        <w:spacing w:line="276" w:lineRule="auto"/>
        <w:rPr>
          <w:b w:val="0"/>
          <w:bCs/>
          <w:sz w:val="18"/>
          <w:szCs w:val="18"/>
          <w:u w:val="single"/>
          <w:lang w:val="en-US"/>
        </w:rPr>
      </w:pPr>
      <w:r w:rsidRPr="00776837">
        <w:rPr>
          <w:b w:val="0"/>
          <w:bCs/>
          <w:sz w:val="18"/>
          <w:szCs w:val="18"/>
          <w:u w:val="single"/>
          <w:lang w:val="en-US"/>
        </w:rPr>
        <w:t>BB Corretora</w:t>
      </w:r>
    </w:p>
    <w:p w14:paraId="7C84CEB8" w14:textId="77777777" w:rsidR="008C707F" w:rsidRPr="00776837" w:rsidRDefault="008C707F" w:rsidP="008C707F">
      <w:pPr>
        <w:pStyle w:val="05-Textonormal"/>
        <w:numPr>
          <w:ilvl w:val="0"/>
          <w:numId w:val="41"/>
        </w:numPr>
        <w:rPr>
          <w:rFonts w:cs="Arial"/>
          <w:bCs/>
          <w:lang w:val="en-US"/>
        </w:rPr>
      </w:pPr>
      <w:r>
        <w:rPr>
          <w:rFonts w:cs="Arial"/>
          <w:b/>
          <w:lang w:val="en-US"/>
        </w:rPr>
        <w:t>Social Investments</w:t>
      </w:r>
      <w:r w:rsidRPr="00776837">
        <w:rPr>
          <w:rFonts w:cs="Arial"/>
          <w:b/>
          <w:lang w:val="en-US"/>
        </w:rPr>
        <w:t>:</w:t>
      </w:r>
      <w:r w:rsidRPr="00776837">
        <w:rPr>
          <w:rFonts w:cs="Arial"/>
          <w:bCs/>
          <w:lang w:val="en-US"/>
        </w:rPr>
        <w:t xml:space="preserve"> in 2022, </w:t>
      </w:r>
      <w:r>
        <w:rPr>
          <w:rFonts w:cs="Arial"/>
          <w:bCs/>
          <w:lang w:val="en-US"/>
        </w:rPr>
        <w:t>15</w:t>
      </w:r>
      <w:r w:rsidRPr="00776837">
        <w:rPr>
          <w:rFonts w:cs="Arial"/>
          <w:bCs/>
          <w:lang w:val="en-US"/>
        </w:rPr>
        <w:t xml:space="preserve"> social projects were supported </w:t>
      </w:r>
      <w:r>
        <w:rPr>
          <w:rFonts w:cs="Arial"/>
          <w:bCs/>
          <w:lang w:val="en-US"/>
        </w:rPr>
        <w:t>via</w:t>
      </w:r>
      <w:r w:rsidRPr="00776837">
        <w:rPr>
          <w:rFonts w:cs="Arial"/>
          <w:bCs/>
          <w:lang w:val="en-US"/>
        </w:rPr>
        <w:t xml:space="preserve"> the Childhood and Adolescence Fund and the Elderly Fund, reaching more than R$</w:t>
      </w:r>
      <w:r>
        <w:rPr>
          <w:rFonts w:cs="Arial"/>
          <w:bCs/>
          <w:lang w:val="en-US"/>
        </w:rPr>
        <w:t>10</w:t>
      </w:r>
      <w:r w:rsidRPr="00776837">
        <w:rPr>
          <w:rFonts w:cs="Arial"/>
          <w:bCs/>
          <w:lang w:val="en-US"/>
        </w:rPr>
        <w:t xml:space="preserve"> million in contributions.</w:t>
      </w:r>
    </w:p>
    <w:p w14:paraId="0DFB5E56" w14:textId="77777777" w:rsidR="008C707F" w:rsidRPr="00776837" w:rsidRDefault="008C707F" w:rsidP="00C81A16">
      <w:pPr>
        <w:spacing w:before="120" w:after="120"/>
        <w:jc w:val="both"/>
        <w:rPr>
          <w:rFonts w:eastAsia="Times New Roman" w:cs="Arial"/>
          <w:spacing w:val="-2"/>
          <w:szCs w:val="18"/>
          <w:lang w:val="en-US" w:eastAsia="pt-BR"/>
        </w:rPr>
      </w:pPr>
    </w:p>
    <w:p w14:paraId="7F5EB585" w14:textId="77777777" w:rsidR="008C707F" w:rsidRPr="00776837" w:rsidRDefault="008C707F" w:rsidP="000838E1">
      <w:pPr>
        <w:pStyle w:val="03-SubttulodeNota"/>
        <w:spacing w:line="276" w:lineRule="auto"/>
        <w:rPr>
          <w:b w:val="0"/>
          <w:bCs/>
          <w:sz w:val="18"/>
          <w:szCs w:val="18"/>
          <w:u w:val="single"/>
          <w:lang w:val="en-US"/>
        </w:rPr>
      </w:pPr>
      <w:r w:rsidRPr="00776837">
        <w:rPr>
          <w:b w:val="0"/>
          <w:bCs/>
          <w:sz w:val="18"/>
          <w:szCs w:val="18"/>
          <w:u w:val="single"/>
          <w:lang w:val="en-US"/>
        </w:rPr>
        <w:t>Brasilseg</w:t>
      </w:r>
    </w:p>
    <w:p w14:paraId="6F66BCEE" w14:textId="77777777" w:rsidR="008C707F" w:rsidRPr="00776837" w:rsidRDefault="008C707F" w:rsidP="008C707F">
      <w:pPr>
        <w:pStyle w:val="05-Textonormal"/>
        <w:numPr>
          <w:ilvl w:val="0"/>
          <w:numId w:val="41"/>
        </w:numPr>
        <w:rPr>
          <w:rFonts w:cs="Arial"/>
          <w:b/>
          <w:lang w:val="en-US"/>
        </w:rPr>
      </w:pPr>
      <w:r w:rsidRPr="00776837">
        <w:rPr>
          <w:rFonts w:cs="Arial"/>
          <w:b/>
          <w:lang w:val="en-US"/>
        </w:rPr>
        <w:t xml:space="preserve">ISO 14001:2015: </w:t>
      </w:r>
      <w:r w:rsidRPr="00776837">
        <w:rPr>
          <w:rFonts w:cs="Arial"/>
          <w:bCs/>
          <w:lang w:val="en-US"/>
        </w:rPr>
        <w:t>Brasilseg is ISO 14001:2015 certified, which attests the international standard of the company's Environmental Management System (SGA). This system is based on the analysis of significant environmental aspects and impacts, direct and indirect, associated with the processes at the company's head</w:t>
      </w:r>
      <w:r>
        <w:rPr>
          <w:rFonts w:cs="Arial"/>
          <w:bCs/>
          <w:lang w:val="en-US"/>
        </w:rPr>
        <w:t>quarter</w:t>
      </w:r>
      <w:r w:rsidRPr="00776837">
        <w:rPr>
          <w:rFonts w:cs="Arial"/>
          <w:bCs/>
          <w:lang w:val="en-US"/>
        </w:rPr>
        <w:t xml:space="preserve">. </w:t>
      </w:r>
      <w:r>
        <w:rPr>
          <w:rFonts w:cs="Arial"/>
          <w:bCs/>
          <w:lang w:val="en-US"/>
        </w:rPr>
        <w:t xml:space="preserve">Taking care of </w:t>
      </w:r>
      <w:r w:rsidRPr="00776837">
        <w:rPr>
          <w:rFonts w:cs="Arial"/>
          <w:bCs/>
          <w:lang w:val="en-US"/>
        </w:rPr>
        <w:t>the environment is a daily practice at the company, which determines goals and challenges in its sustainable management, with an impact on the entire value chain.</w:t>
      </w:r>
    </w:p>
    <w:p w14:paraId="536ADBFD" w14:textId="77777777" w:rsidR="008C707F" w:rsidRPr="00776837" w:rsidRDefault="008C707F" w:rsidP="008C707F">
      <w:pPr>
        <w:pStyle w:val="05-Textonormal"/>
        <w:numPr>
          <w:ilvl w:val="0"/>
          <w:numId w:val="41"/>
        </w:numPr>
        <w:rPr>
          <w:rFonts w:cs="Arial"/>
          <w:bCs/>
          <w:lang w:val="en-US"/>
        </w:rPr>
      </w:pPr>
      <w:r w:rsidRPr="00776837">
        <w:rPr>
          <w:rFonts w:cs="Arial"/>
          <w:b/>
          <w:bCs/>
          <w:lang w:val="en-US"/>
        </w:rPr>
        <w:t>Global Compact Brazil Network:</w:t>
      </w:r>
      <w:r w:rsidRPr="00776837">
        <w:rPr>
          <w:rFonts w:cs="Arial"/>
          <w:lang w:val="en-US"/>
        </w:rPr>
        <w:t xml:space="preserve"> Brasilseg </w:t>
      </w:r>
      <w:r>
        <w:rPr>
          <w:rFonts w:cs="Arial"/>
          <w:lang w:val="en-US"/>
        </w:rPr>
        <w:t>is</w:t>
      </w:r>
      <w:r w:rsidRPr="00776837">
        <w:rPr>
          <w:rFonts w:cs="Arial"/>
          <w:lang w:val="en-US"/>
        </w:rPr>
        <w:t xml:space="preserve"> signatory of the Global Compact, contributing to a more inclusive and equitable global market. </w:t>
      </w:r>
    </w:p>
    <w:p w14:paraId="4586578B" w14:textId="77777777" w:rsidR="008C707F" w:rsidRPr="00776837" w:rsidRDefault="008C707F" w:rsidP="008C707F">
      <w:pPr>
        <w:pStyle w:val="05-Textonormal"/>
        <w:numPr>
          <w:ilvl w:val="0"/>
          <w:numId w:val="41"/>
        </w:numPr>
        <w:rPr>
          <w:rFonts w:cs="Arial"/>
          <w:bCs/>
          <w:lang w:val="en-US"/>
        </w:rPr>
      </w:pPr>
      <w:r w:rsidRPr="00776837">
        <w:rPr>
          <w:rFonts w:cs="Arial"/>
          <w:b/>
          <w:bCs/>
          <w:lang w:val="en-US"/>
        </w:rPr>
        <w:t xml:space="preserve">Brazilian GHG Protocol Program: </w:t>
      </w:r>
      <w:r w:rsidRPr="00776837">
        <w:rPr>
          <w:rFonts w:cs="Arial"/>
          <w:lang w:val="en-US"/>
        </w:rPr>
        <w:t>The company measures greenhouse gas emissions at its administrative head</w:t>
      </w:r>
      <w:r>
        <w:rPr>
          <w:rFonts w:cs="Arial"/>
          <w:lang w:val="en-US"/>
        </w:rPr>
        <w:t xml:space="preserve">quarter </w:t>
      </w:r>
      <w:r w:rsidRPr="00776837">
        <w:rPr>
          <w:rFonts w:cs="Arial"/>
          <w:lang w:val="en-US"/>
        </w:rPr>
        <w:t xml:space="preserve">and in </w:t>
      </w:r>
      <w:r>
        <w:rPr>
          <w:rFonts w:cs="Arial"/>
          <w:lang w:val="en-US"/>
        </w:rPr>
        <w:t>the contact center building</w:t>
      </w:r>
      <w:r w:rsidRPr="00776837">
        <w:rPr>
          <w:rFonts w:cs="Arial"/>
          <w:lang w:val="en-US"/>
        </w:rPr>
        <w:t xml:space="preserve">, through the </w:t>
      </w:r>
      <w:r w:rsidRPr="00776837">
        <w:rPr>
          <w:rFonts w:cs="Arial"/>
          <w:bCs/>
          <w:i/>
          <w:iCs/>
          <w:lang w:val="en-US"/>
        </w:rPr>
        <w:t>GHG Protocol</w:t>
      </w:r>
      <w:r w:rsidRPr="00776837">
        <w:rPr>
          <w:rFonts w:cs="Arial"/>
          <w:lang w:val="en-US"/>
        </w:rPr>
        <w:t xml:space="preserve"> Carbon Management Tool, to offset emissions. The process covers all </w:t>
      </w:r>
      <w:r>
        <w:rPr>
          <w:rFonts w:cs="Arial"/>
          <w:lang w:val="en-US"/>
        </w:rPr>
        <w:t>associates</w:t>
      </w:r>
      <w:r w:rsidRPr="00776837">
        <w:rPr>
          <w:rFonts w:cs="Arial"/>
          <w:lang w:val="en-US"/>
        </w:rPr>
        <w:t xml:space="preserve"> and, in the calculation of emissions, considers energy consumption, waste generated, the </w:t>
      </w:r>
      <w:r>
        <w:rPr>
          <w:rFonts w:cs="Arial"/>
          <w:lang w:val="en-US"/>
        </w:rPr>
        <w:t xml:space="preserve">transport </w:t>
      </w:r>
      <w:r w:rsidRPr="00776837">
        <w:rPr>
          <w:rFonts w:cs="Arial"/>
          <w:lang w:val="en-US"/>
        </w:rPr>
        <w:t>of associates</w:t>
      </w:r>
      <w:r>
        <w:rPr>
          <w:rFonts w:cs="Arial"/>
          <w:lang w:val="en-US"/>
        </w:rPr>
        <w:t xml:space="preserve"> between house-work-house</w:t>
      </w:r>
      <w:r w:rsidRPr="00776837">
        <w:rPr>
          <w:rFonts w:cs="Arial"/>
          <w:lang w:val="en-US"/>
        </w:rPr>
        <w:t xml:space="preserve"> and </w:t>
      </w:r>
      <w:r>
        <w:rPr>
          <w:rFonts w:cs="Arial"/>
          <w:lang w:val="en-US"/>
        </w:rPr>
        <w:t>the business trips</w:t>
      </w:r>
      <w:r w:rsidRPr="00776837">
        <w:rPr>
          <w:rFonts w:cs="Arial"/>
          <w:lang w:val="en-US"/>
        </w:rPr>
        <w:t xml:space="preserve">. </w:t>
      </w:r>
    </w:p>
    <w:p w14:paraId="4DD95925" w14:textId="77777777" w:rsidR="008C707F" w:rsidRPr="00776837" w:rsidRDefault="008C707F" w:rsidP="008C707F">
      <w:pPr>
        <w:pStyle w:val="PargrafodaLista"/>
        <w:numPr>
          <w:ilvl w:val="0"/>
          <w:numId w:val="41"/>
        </w:numPr>
        <w:spacing w:before="120" w:after="120"/>
        <w:jc w:val="both"/>
        <w:rPr>
          <w:rFonts w:ascii="Arial" w:eastAsia="Times New Roman" w:hAnsi="Arial" w:cs="Arial"/>
          <w:bCs/>
          <w:spacing w:val="-2"/>
          <w:sz w:val="18"/>
          <w:szCs w:val="18"/>
          <w:lang w:val="en-US" w:eastAsia="pt-BR"/>
        </w:rPr>
      </w:pPr>
      <w:r w:rsidRPr="00776837">
        <w:rPr>
          <w:rFonts w:ascii="Arial" w:eastAsia="Times New Roman" w:hAnsi="Arial" w:cs="Arial"/>
          <w:b/>
          <w:bCs/>
          <w:spacing w:val="-2"/>
          <w:sz w:val="18"/>
          <w:szCs w:val="18"/>
          <w:lang w:val="en-US" w:eastAsia="pt-BR"/>
        </w:rPr>
        <w:t xml:space="preserve">Sustainable Development Goals – </w:t>
      </w:r>
      <w:r>
        <w:rPr>
          <w:rFonts w:ascii="Arial" w:eastAsia="Times New Roman" w:hAnsi="Arial" w:cs="Arial"/>
          <w:b/>
          <w:bCs/>
          <w:spacing w:val="-2"/>
          <w:sz w:val="18"/>
          <w:szCs w:val="18"/>
          <w:lang w:val="en-US" w:eastAsia="pt-BR"/>
        </w:rPr>
        <w:t>SDG</w:t>
      </w:r>
      <w:r w:rsidRPr="00776837">
        <w:rPr>
          <w:rFonts w:ascii="Arial" w:eastAsia="Times New Roman" w:hAnsi="Arial" w:cs="Arial"/>
          <w:b/>
          <w:bCs/>
          <w:spacing w:val="-2"/>
          <w:sz w:val="18"/>
          <w:szCs w:val="18"/>
          <w:lang w:val="en-US" w:eastAsia="pt-BR"/>
        </w:rPr>
        <w:t xml:space="preserve">: </w:t>
      </w:r>
      <w:r w:rsidRPr="00776837">
        <w:rPr>
          <w:rFonts w:ascii="Arial" w:eastAsia="Times New Roman" w:hAnsi="Arial" w:cs="Arial"/>
          <w:bCs/>
          <w:spacing w:val="-2"/>
          <w:sz w:val="18"/>
          <w:szCs w:val="18"/>
          <w:lang w:val="en-US" w:eastAsia="pt-BR"/>
        </w:rPr>
        <w:t xml:space="preserve"> Brasilseg operates in line with the </w:t>
      </w:r>
      <w:r>
        <w:rPr>
          <w:rFonts w:ascii="Arial" w:eastAsia="Times New Roman" w:hAnsi="Arial" w:cs="Arial"/>
          <w:bCs/>
          <w:spacing w:val="-2"/>
          <w:sz w:val="18"/>
          <w:szCs w:val="18"/>
          <w:lang w:val="en-US" w:eastAsia="pt-BR"/>
        </w:rPr>
        <w:t>SDGs</w:t>
      </w:r>
      <w:r w:rsidRPr="00776837">
        <w:rPr>
          <w:rFonts w:ascii="Arial" w:eastAsia="Times New Roman" w:hAnsi="Arial" w:cs="Arial"/>
          <w:bCs/>
          <w:spacing w:val="-2"/>
          <w:sz w:val="18"/>
          <w:szCs w:val="18"/>
          <w:lang w:val="en-US" w:eastAsia="pt-BR"/>
        </w:rPr>
        <w:t xml:space="preserve"> through a set of commitments, programs and goals in areas such as diversity, inclusion, client relationship, and compliance. Additionally, it promotes employee engagement with the cause through educational actions within the company itself. </w:t>
      </w:r>
    </w:p>
    <w:p w14:paraId="263DBEA1" w14:textId="77777777" w:rsidR="008C707F" w:rsidRPr="00776837" w:rsidRDefault="008C707F" w:rsidP="008C707F">
      <w:pPr>
        <w:pStyle w:val="05-Textonormal"/>
        <w:numPr>
          <w:ilvl w:val="0"/>
          <w:numId w:val="41"/>
        </w:numPr>
        <w:rPr>
          <w:rFonts w:cs="Arial"/>
          <w:bCs/>
          <w:lang w:val="en-US"/>
        </w:rPr>
      </w:pPr>
      <w:r w:rsidRPr="00776837">
        <w:rPr>
          <w:rFonts w:cs="Arial"/>
          <w:b/>
          <w:lang w:val="en-US"/>
        </w:rPr>
        <w:t>Principles for Sustainable Insurance (PSI):</w:t>
      </w:r>
      <w:r w:rsidRPr="00776837">
        <w:rPr>
          <w:rFonts w:cs="Arial"/>
          <w:bCs/>
          <w:lang w:val="en-US"/>
        </w:rPr>
        <w:t xml:space="preserve"> the company has formally signed the PSI and has been developing actions, projects and investments to comply with them.</w:t>
      </w:r>
    </w:p>
    <w:p w14:paraId="29C6E654" w14:textId="77777777" w:rsidR="008C707F" w:rsidRPr="00776837" w:rsidRDefault="008C707F" w:rsidP="008C707F">
      <w:pPr>
        <w:pStyle w:val="05-Textonormal"/>
        <w:numPr>
          <w:ilvl w:val="0"/>
          <w:numId w:val="41"/>
        </w:numPr>
        <w:rPr>
          <w:rFonts w:cs="Arial"/>
          <w:bCs/>
          <w:lang w:val="en-US"/>
        </w:rPr>
      </w:pPr>
      <w:r>
        <w:rPr>
          <w:rFonts w:cs="Arial"/>
          <w:b/>
          <w:lang w:val="en-US"/>
        </w:rPr>
        <w:t>Social Investments</w:t>
      </w:r>
      <w:r w:rsidRPr="00776837">
        <w:rPr>
          <w:rFonts w:cs="Arial"/>
          <w:bCs/>
          <w:lang w:val="en-US"/>
        </w:rPr>
        <w:t xml:space="preserve">: in 2022, 26 projects were sponsored </w:t>
      </w:r>
      <w:r>
        <w:rPr>
          <w:rFonts w:cs="Arial"/>
          <w:bCs/>
          <w:lang w:val="en-US"/>
        </w:rPr>
        <w:t>via</w:t>
      </w:r>
      <w:r w:rsidRPr="00776837">
        <w:rPr>
          <w:rFonts w:cs="Arial"/>
          <w:bCs/>
          <w:lang w:val="en-US"/>
        </w:rPr>
        <w:t xml:space="preserve"> the Culture Incentive</w:t>
      </w:r>
      <w:r>
        <w:rPr>
          <w:rFonts w:cs="Arial"/>
          <w:bCs/>
          <w:lang w:val="en-US"/>
        </w:rPr>
        <w:t>s</w:t>
      </w:r>
      <w:r w:rsidRPr="00776837">
        <w:rPr>
          <w:rFonts w:cs="Arial"/>
          <w:bCs/>
          <w:lang w:val="en-US"/>
        </w:rPr>
        <w:t xml:space="preserve"> Law, the Sports Incentive</w:t>
      </w:r>
      <w:r>
        <w:rPr>
          <w:rFonts w:cs="Arial"/>
          <w:bCs/>
          <w:lang w:val="en-US"/>
        </w:rPr>
        <w:t>s</w:t>
      </w:r>
      <w:r w:rsidRPr="00776837">
        <w:rPr>
          <w:rFonts w:cs="Arial"/>
          <w:bCs/>
          <w:lang w:val="en-US"/>
        </w:rPr>
        <w:t xml:space="preserve"> Law, the Childhood and Adolescence Fund, and the Elderly Fund, benefiting more than 600,000 people.</w:t>
      </w:r>
    </w:p>
    <w:p w14:paraId="4E7EF510" w14:textId="77777777" w:rsidR="008C707F" w:rsidRPr="00776837" w:rsidRDefault="008C707F" w:rsidP="00C81A16">
      <w:pPr>
        <w:pStyle w:val="05-Textonormal"/>
        <w:rPr>
          <w:lang w:val="en-US"/>
        </w:rPr>
      </w:pPr>
      <w:r w:rsidRPr="00776837">
        <w:rPr>
          <w:rFonts w:cs="Arial"/>
          <w:bCs/>
          <w:lang w:val="en-US"/>
        </w:rPr>
        <w:t xml:space="preserve">Information related to the topic is available at </w:t>
      </w:r>
      <w:r w:rsidRPr="00776837">
        <w:rPr>
          <w:u w:val="single"/>
          <w:lang w:val="en-US"/>
        </w:rPr>
        <w:t>https://www.bbseguros.com.br/seguros/sustentabilidade.</w:t>
      </w:r>
    </w:p>
    <w:p w14:paraId="778C4AC4" w14:textId="77777777" w:rsidR="008C707F" w:rsidRPr="00776837" w:rsidRDefault="008C707F" w:rsidP="00C81A16">
      <w:pPr>
        <w:spacing w:line="256" w:lineRule="auto"/>
        <w:rPr>
          <w:rFonts w:eastAsia="Times New Roman" w:cs="Arial"/>
          <w:bCs/>
          <w:color w:val="FF0000"/>
          <w:spacing w:val="-2"/>
          <w:szCs w:val="18"/>
          <w:highlight w:val="yellow"/>
          <w:lang w:val="en-US" w:eastAsia="pt-BR"/>
        </w:rPr>
      </w:pPr>
    </w:p>
    <w:p w14:paraId="5C1D26E1" w14:textId="77777777" w:rsidR="008C707F" w:rsidRPr="00776837" w:rsidRDefault="008C707F" w:rsidP="000838E1">
      <w:pPr>
        <w:pStyle w:val="03-SubttulodeNota"/>
        <w:spacing w:line="276" w:lineRule="auto"/>
        <w:rPr>
          <w:b w:val="0"/>
          <w:bCs/>
          <w:sz w:val="18"/>
          <w:szCs w:val="18"/>
          <w:u w:val="single"/>
          <w:lang w:val="en-US"/>
        </w:rPr>
      </w:pPr>
      <w:r w:rsidRPr="00776837">
        <w:rPr>
          <w:b w:val="0"/>
          <w:bCs/>
          <w:sz w:val="18"/>
          <w:szCs w:val="18"/>
          <w:u w:val="single"/>
          <w:lang w:val="en-US"/>
        </w:rPr>
        <w:lastRenderedPageBreak/>
        <w:t>Brasilprev</w:t>
      </w:r>
    </w:p>
    <w:p w14:paraId="6569724F" w14:textId="77777777" w:rsidR="008C707F" w:rsidRPr="00776837" w:rsidRDefault="008C707F" w:rsidP="008C707F">
      <w:pPr>
        <w:pStyle w:val="05-Textonormal"/>
        <w:numPr>
          <w:ilvl w:val="0"/>
          <w:numId w:val="41"/>
        </w:numPr>
        <w:ind w:left="714" w:hanging="357"/>
        <w:rPr>
          <w:rFonts w:cs="Arial"/>
          <w:lang w:val="en-US"/>
        </w:rPr>
      </w:pPr>
      <w:r w:rsidRPr="00776837">
        <w:rPr>
          <w:rFonts w:cs="Arial"/>
          <w:b/>
          <w:lang w:val="en-US"/>
        </w:rPr>
        <w:t>Principles for Responsible Investment (PRI):</w:t>
      </w:r>
      <w:r w:rsidRPr="00776837">
        <w:rPr>
          <w:rFonts w:cs="Arial"/>
          <w:lang w:val="en-US"/>
        </w:rPr>
        <w:t xml:space="preserve"> Brasilprev</w:t>
      </w:r>
      <w:r>
        <w:rPr>
          <w:rFonts w:cs="Arial"/>
          <w:lang w:val="en-US"/>
        </w:rPr>
        <w:t xml:space="preserve"> has been</w:t>
      </w:r>
      <w:r w:rsidRPr="00776837">
        <w:rPr>
          <w:rFonts w:cs="Arial"/>
          <w:lang w:val="en-US"/>
        </w:rPr>
        <w:t xml:space="preserve"> </w:t>
      </w:r>
      <w:r>
        <w:rPr>
          <w:rFonts w:cs="Arial"/>
          <w:lang w:val="en-US"/>
        </w:rPr>
        <w:t xml:space="preserve">signatory of PRI since </w:t>
      </w:r>
      <w:r w:rsidRPr="00776837">
        <w:rPr>
          <w:rFonts w:cs="Arial"/>
          <w:lang w:val="en-US"/>
        </w:rPr>
        <w:t>2017. The PRI is recognized for setting global standards related to responsible investing, encouraging investors to incorporate environmental, social and governance (</w:t>
      </w:r>
      <w:r>
        <w:rPr>
          <w:rFonts w:cs="Arial"/>
          <w:lang w:val="en-US"/>
        </w:rPr>
        <w:t>ESG</w:t>
      </w:r>
      <w:r w:rsidRPr="00776837">
        <w:rPr>
          <w:rFonts w:cs="Arial"/>
          <w:lang w:val="en-US"/>
        </w:rPr>
        <w:t>) aspects into their investment processes.</w:t>
      </w:r>
    </w:p>
    <w:p w14:paraId="1953221C" w14:textId="4C349982" w:rsidR="008C707F" w:rsidRDefault="008C707F" w:rsidP="008C707F">
      <w:pPr>
        <w:numPr>
          <w:ilvl w:val="0"/>
          <w:numId w:val="41"/>
        </w:numPr>
        <w:spacing w:before="120" w:after="120" w:line="276" w:lineRule="auto"/>
        <w:jc w:val="both"/>
        <w:rPr>
          <w:rFonts w:eastAsia="Times New Roman" w:cs="Arial"/>
          <w:spacing w:val="-2"/>
          <w:szCs w:val="18"/>
          <w:lang w:val="en-US" w:eastAsia="pt-BR"/>
        </w:rPr>
      </w:pPr>
      <w:r w:rsidRPr="00776837">
        <w:rPr>
          <w:rFonts w:eastAsia="Times New Roman" w:cs="Arial"/>
          <w:b/>
          <w:bCs/>
          <w:spacing w:val="-2"/>
          <w:szCs w:val="18"/>
          <w:lang w:val="en-US" w:eastAsia="pt-BR"/>
        </w:rPr>
        <w:t>Green Bond Statement:</w:t>
      </w:r>
      <w:r w:rsidRPr="00776837">
        <w:rPr>
          <w:rFonts w:eastAsia="Times New Roman" w:cs="Arial"/>
          <w:spacing w:val="-2"/>
          <w:szCs w:val="18"/>
          <w:lang w:val="en-US" w:eastAsia="pt-BR"/>
        </w:rPr>
        <w:t xml:space="preserve"> Brasilprev has been a signatory since 2017, together with other investors representing </w:t>
      </w:r>
      <w:r>
        <w:rPr>
          <w:rFonts w:eastAsia="Times New Roman" w:cs="Arial"/>
          <w:spacing w:val="-2"/>
          <w:szCs w:val="18"/>
          <w:lang w:val="en-US" w:eastAsia="pt-BR"/>
        </w:rPr>
        <w:t>roughly</w:t>
      </w:r>
      <w:r w:rsidRPr="00776837">
        <w:rPr>
          <w:rFonts w:eastAsia="Times New Roman" w:cs="Arial"/>
          <w:spacing w:val="-2"/>
          <w:szCs w:val="18"/>
          <w:lang w:val="en-US" w:eastAsia="pt-BR"/>
        </w:rPr>
        <w:t xml:space="preserve"> R$ </w:t>
      </w:r>
      <w:r>
        <w:rPr>
          <w:rFonts w:eastAsia="Times New Roman" w:cs="Arial"/>
          <w:spacing w:val="-2"/>
          <w:szCs w:val="18"/>
          <w:lang w:val="en-US" w:eastAsia="pt-BR"/>
        </w:rPr>
        <w:t xml:space="preserve">1.8 trillion </w:t>
      </w:r>
      <w:r w:rsidRPr="00776837">
        <w:rPr>
          <w:rFonts w:eastAsia="Times New Roman" w:cs="Arial"/>
          <w:spacing w:val="-2"/>
          <w:szCs w:val="18"/>
          <w:lang w:val="en-US" w:eastAsia="pt-BR"/>
        </w:rPr>
        <w:t xml:space="preserve">in assets under management. </w:t>
      </w:r>
      <w:r>
        <w:rPr>
          <w:rFonts w:eastAsia="Times New Roman" w:cs="Arial"/>
          <w:spacing w:val="-2"/>
          <w:szCs w:val="18"/>
          <w:lang w:val="en-US" w:eastAsia="pt-BR"/>
        </w:rPr>
        <w:t>T</w:t>
      </w:r>
      <w:r w:rsidRPr="00776837">
        <w:rPr>
          <w:rFonts w:eastAsia="Times New Roman" w:cs="Arial"/>
          <w:spacing w:val="-2"/>
          <w:szCs w:val="18"/>
          <w:lang w:val="en-US" w:eastAsia="pt-BR"/>
        </w:rPr>
        <w:t xml:space="preserve">he signatories make a commitment to dialogue with entities, government or not, in order to stimulate the development of a robust Brazilian green bond market that truly contributes to addressing climate change. (Source: </w:t>
      </w:r>
      <w:r w:rsidRPr="00C74FB3">
        <w:rPr>
          <w:rFonts w:eastAsia="Times New Roman" w:cs="Arial"/>
          <w:spacing w:val="-2"/>
          <w:szCs w:val="18"/>
          <w:lang w:val="en-US" w:eastAsia="pt-BR"/>
        </w:rPr>
        <w:t>https://www.climatebonds.net/market/country/brasil/declaracao-de-investidores</w:t>
      </w:r>
      <w:r w:rsidRPr="00776837">
        <w:rPr>
          <w:rFonts w:eastAsia="Times New Roman" w:cs="Arial"/>
          <w:spacing w:val="-2"/>
          <w:szCs w:val="18"/>
          <w:lang w:val="en-US" w:eastAsia="pt-BR"/>
        </w:rPr>
        <w:t>)</w:t>
      </w:r>
      <w:r>
        <w:rPr>
          <w:rFonts w:eastAsia="Times New Roman" w:cs="Arial"/>
          <w:spacing w:val="-2"/>
          <w:szCs w:val="18"/>
          <w:lang w:val="en-US" w:eastAsia="pt-BR"/>
        </w:rPr>
        <w:t>.</w:t>
      </w:r>
    </w:p>
    <w:p w14:paraId="255044BF" w14:textId="77777777" w:rsidR="008C707F" w:rsidRDefault="008C707F" w:rsidP="008C707F">
      <w:pPr>
        <w:numPr>
          <w:ilvl w:val="0"/>
          <w:numId w:val="41"/>
        </w:numPr>
        <w:spacing w:before="120" w:after="120" w:line="276" w:lineRule="auto"/>
        <w:jc w:val="both"/>
        <w:rPr>
          <w:rFonts w:eastAsia="Times New Roman" w:cs="Arial"/>
          <w:spacing w:val="-2"/>
          <w:szCs w:val="18"/>
          <w:lang w:val="en-US" w:eastAsia="pt-BR"/>
        </w:rPr>
      </w:pPr>
      <w:r w:rsidRPr="00776837">
        <w:rPr>
          <w:rFonts w:eastAsia="Times New Roman" w:cs="Arial"/>
          <w:b/>
          <w:bCs/>
          <w:i/>
          <w:iCs/>
          <w:spacing w:val="-2"/>
          <w:szCs w:val="18"/>
          <w:lang w:val="en-US" w:eastAsia="pt-BR"/>
        </w:rPr>
        <w:t>Carbon Disclosure Project</w:t>
      </w:r>
      <w:r w:rsidRPr="00776837">
        <w:rPr>
          <w:rFonts w:eastAsia="Times New Roman" w:cs="Arial"/>
          <w:spacing w:val="-2"/>
          <w:szCs w:val="18"/>
          <w:lang w:val="en-US" w:eastAsia="pt-BR"/>
        </w:rPr>
        <w:t xml:space="preserve"> </w:t>
      </w:r>
      <w:r w:rsidRPr="00776837">
        <w:rPr>
          <w:rFonts w:eastAsia="Times New Roman" w:cs="Arial"/>
          <w:b/>
          <w:bCs/>
          <w:spacing w:val="-2"/>
          <w:szCs w:val="18"/>
          <w:lang w:val="en-US" w:eastAsia="pt-BR"/>
        </w:rPr>
        <w:t>(CDP):</w:t>
      </w:r>
      <w:r w:rsidRPr="00776837">
        <w:rPr>
          <w:rFonts w:eastAsia="Times New Roman" w:cs="Arial"/>
          <w:spacing w:val="-2"/>
          <w:szCs w:val="18"/>
          <w:lang w:val="en-US" w:eastAsia="pt-BR"/>
        </w:rPr>
        <w:t xml:space="preserve"> Brasilprev participates in the CDP as a signatory investor, having access to its global database with information about the commitment of companies, whether potential or already invested, in relation to carbon emissions and sustainability actions.</w:t>
      </w:r>
    </w:p>
    <w:p w14:paraId="136A0C2F" w14:textId="77777777" w:rsidR="008C707F" w:rsidRDefault="008C707F" w:rsidP="008C707F">
      <w:pPr>
        <w:numPr>
          <w:ilvl w:val="0"/>
          <w:numId w:val="41"/>
        </w:numPr>
        <w:spacing w:before="120" w:after="120" w:line="276" w:lineRule="auto"/>
        <w:jc w:val="both"/>
        <w:rPr>
          <w:rFonts w:eastAsia="Times New Roman" w:cs="Arial"/>
          <w:spacing w:val="-2"/>
          <w:szCs w:val="18"/>
          <w:lang w:val="en-US" w:eastAsia="pt-BR"/>
        </w:rPr>
      </w:pPr>
      <w:r>
        <w:rPr>
          <w:rFonts w:eastAsia="Times New Roman" w:cs="Arial"/>
          <w:b/>
          <w:bCs/>
          <w:spacing w:val="-2"/>
          <w:szCs w:val="18"/>
          <w:lang w:val="en-US" w:eastAsia="pt-BR"/>
        </w:rPr>
        <w:t>Sustainable Development Goals</w:t>
      </w:r>
      <w:r w:rsidRPr="008627DA">
        <w:rPr>
          <w:rFonts w:eastAsia="Times New Roman" w:cs="Arial"/>
          <w:b/>
          <w:bCs/>
          <w:spacing w:val="-2"/>
          <w:szCs w:val="18"/>
          <w:lang w:val="en-US" w:eastAsia="pt-BR"/>
        </w:rPr>
        <w:t xml:space="preserve"> – SDGs:</w:t>
      </w:r>
      <w:r>
        <w:rPr>
          <w:rFonts w:eastAsia="Times New Roman" w:cs="Arial"/>
          <w:b/>
          <w:bCs/>
          <w:spacing w:val="-2"/>
          <w:szCs w:val="18"/>
          <w:lang w:val="en-US" w:eastAsia="pt-BR"/>
        </w:rPr>
        <w:t xml:space="preserve"> </w:t>
      </w:r>
      <w:r>
        <w:rPr>
          <w:rFonts w:eastAsia="Times New Roman" w:cs="Arial"/>
          <w:spacing w:val="-2"/>
          <w:szCs w:val="18"/>
          <w:lang w:val="en-US" w:eastAsia="pt-BR"/>
        </w:rPr>
        <w:t>Brasilprev acts in accordance to the SDGs via a set of commitments and goals within ESG investments; relationship and client’s satisfaction; diversity and inclusion; integrity, ethics and transparency; environmental management and social responsibility.</w:t>
      </w:r>
    </w:p>
    <w:p w14:paraId="666234C6" w14:textId="77777777" w:rsidR="008C707F" w:rsidRPr="00420E9C" w:rsidRDefault="008C707F" w:rsidP="008C707F">
      <w:pPr>
        <w:numPr>
          <w:ilvl w:val="0"/>
          <w:numId w:val="41"/>
        </w:numPr>
        <w:spacing w:before="120" w:after="120" w:line="276" w:lineRule="auto"/>
        <w:jc w:val="both"/>
        <w:rPr>
          <w:rFonts w:eastAsia="Times New Roman" w:cs="Arial"/>
          <w:spacing w:val="-2"/>
          <w:szCs w:val="18"/>
          <w:lang w:val="en-US" w:eastAsia="pt-BR"/>
        </w:rPr>
      </w:pPr>
      <w:r w:rsidRPr="00420E9C">
        <w:rPr>
          <w:rFonts w:eastAsia="Times New Roman" w:cs="Arial"/>
          <w:b/>
          <w:bCs/>
          <w:spacing w:val="-2"/>
          <w:szCs w:val="18"/>
          <w:lang w:val="en-US" w:eastAsia="pt-BR"/>
        </w:rPr>
        <w:t xml:space="preserve">“Projeto de Vida na Ponta do Lápis”: </w:t>
      </w:r>
      <w:r w:rsidRPr="00420E9C">
        <w:rPr>
          <w:rFonts w:eastAsia="Times New Roman" w:cs="Arial"/>
          <w:spacing w:val="-2"/>
          <w:szCs w:val="18"/>
          <w:lang w:val="en-US" w:eastAsia="pt-BR"/>
        </w:rPr>
        <w:t>financial education initiative held by Brasilprev in partnership with Trevisan Schoo</w:t>
      </w:r>
      <w:r>
        <w:rPr>
          <w:rFonts w:eastAsia="Times New Roman" w:cs="Arial"/>
          <w:spacing w:val="-2"/>
          <w:szCs w:val="18"/>
          <w:lang w:val="en-US" w:eastAsia="pt-BR"/>
        </w:rPr>
        <w:t>l of Business, and funded by the Principal Foundation, to enhance the financial education of the population through lectures, tutorial, and online content. The project has already benefited 125,000 people.</w:t>
      </w:r>
    </w:p>
    <w:p w14:paraId="608F77A1" w14:textId="77777777" w:rsidR="008C707F" w:rsidRPr="00776837" w:rsidRDefault="008C707F" w:rsidP="008C707F">
      <w:pPr>
        <w:numPr>
          <w:ilvl w:val="0"/>
          <w:numId w:val="41"/>
        </w:numPr>
        <w:spacing w:before="120" w:after="120" w:line="276" w:lineRule="auto"/>
        <w:ind w:left="714" w:hanging="357"/>
        <w:jc w:val="both"/>
        <w:rPr>
          <w:rFonts w:eastAsia="Times New Roman" w:cs="Arial"/>
          <w:spacing w:val="-2"/>
          <w:szCs w:val="18"/>
          <w:lang w:val="en-US" w:eastAsia="pt-BR"/>
        </w:rPr>
      </w:pPr>
      <w:r>
        <w:rPr>
          <w:rFonts w:eastAsia="Times New Roman" w:cs="Arial"/>
          <w:b/>
          <w:spacing w:val="-2"/>
          <w:szCs w:val="18"/>
          <w:lang w:val="en-US" w:eastAsia="pt-BR"/>
        </w:rPr>
        <w:t>Social Investments</w:t>
      </w:r>
      <w:r w:rsidRPr="00776837">
        <w:rPr>
          <w:rFonts w:eastAsia="Times New Roman" w:cs="Arial"/>
          <w:b/>
          <w:spacing w:val="-2"/>
          <w:szCs w:val="18"/>
          <w:lang w:val="en-US" w:eastAsia="pt-BR"/>
        </w:rPr>
        <w:t xml:space="preserve">: </w:t>
      </w:r>
      <w:r w:rsidRPr="00776837">
        <w:rPr>
          <w:rFonts w:eastAsia="Times New Roman" w:cs="Arial"/>
          <w:spacing w:val="-2"/>
          <w:szCs w:val="18"/>
          <w:lang w:val="en-US" w:eastAsia="pt-BR"/>
        </w:rPr>
        <w:t>in 2022, 4 social projects were supported by means of Tax Incentive Laws (Elderly and Fumcad), which totaled R$</w:t>
      </w:r>
      <w:r>
        <w:rPr>
          <w:rFonts w:eastAsia="Times New Roman" w:cs="Arial"/>
          <w:spacing w:val="-2"/>
          <w:szCs w:val="18"/>
          <w:lang w:val="en-US" w:eastAsia="pt-BR"/>
        </w:rPr>
        <w:t>3.2</w:t>
      </w:r>
      <w:r w:rsidRPr="00776837">
        <w:rPr>
          <w:rFonts w:eastAsia="Times New Roman" w:cs="Arial"/>
          <w:spacing w:val="-2"/>
          <w:szCs w:val="18"/>
          <w:lang w:val="en-US" w:eastAsia="pt-BR"/>
        </w:rPr>
        <w:t xml:space="preserve"> million and benefited more than 56,000 people. </w:t>
      </w:r>
    </w:p>
    <w:p w14:paraId="7AED444F" w14:textId="5C3640EA" w:rsidR="008C707F" w:rsidRPr="00776837" w:rsidRDefault="008C707F" w:rsidP="003252A8">
      <w:pPr>
        <w:pStyle w:val="05-Textonormal"/>
        <w:spacing w:after="0" w:line="240" w:lineRule="auto"/>
        <w:rPr>
          <w:rFonts w:cs="Arial"/>
          <w:lang w:val="en-US"/>
        </w:rPr>
      </w:pPr>
      <w:r w:rsidRPr="00776837">
        <w:rPr>
          <w:rFonts w:cs="Arial"/>
          <w:lang w:val="en-US"/>
        </w:rPr>
        <w:t>Information related to the topic is available on the company's website</w:t>
      </w:r>
      <w:r w:rsidRPr="00C74FB3">
        <w:rPr>
          <w:rFonts w:cs="Arial"/>
          <w:lang w:val="en-US"/>
        </w:rPr>
        <w:t>(https://www1.brasilprev.com.br)</w:t>
      </w:r>
      <w:r w:rsidRPr="00776837">
        <w:rPr>
          <w:rFonts w:cs="Arial"/>
          <w:lang w:val="en-US"/>
        </w:rPr>
        <w:t>.</w:t>
      </w:r>
    </w:p>
    <w:p w14:paraId="7B628F52" w14:textId="77777777" w:rsidR="008C707F" w:rsidRPr="00776837" w:rsidRDefault="008C707F" w:rsidP="00C81A16">
      <w:pPr>
        <w:pStyle w:val="05-Textonormal"/>
        <w:spacing w:after="0" w:line="240" w:lineRule="auto"/>
        <w:rPr>
          <w:rFonts w:cs="Arial"/>
          <w:color w:val="FF0000"/>
          <w:highlight w:val="yellow"/>
          <w:lang w:val="en-US"/>
        </w:rPr>
      </w:pPr>
    </w:p>
    <w:p w14:paraId="0F212A1D" w14:textId="77777777" w:rsidR="008C707F" w:rsidRPr="00776837" w:rsidRDefault="008C707F" w:rsidP="000838E1">
      <w:pPr>
        <w:pStyle w:val="03-SubttulodeNota"/>
        <w:spacing w:line="276" w:lineRule="auto"/>
        <w:rPr>
          <w:b w:val="0"/>
          <w:bCs/>
          <w:sz w:val="18"/>
          <w:szCs w:val="18"/>
          <w:u w:val="single"/>
          <w:lang w:val="en-US"/>
        </w:rPr>
      </w:pPr>
      <w:r w:rsidRPr="00776837">
        <w:rPr>
          <w:b w:val="0"/>
          <w:bCs/>
          <w:sz w:val="18"/>
          <w:szCs w:val="18"/>
          <w:u w:val="single"/>
          <w:lang w:val="en-US"/>
        </w:rPr>
        <w:t>Brasilcap</w:t>
      </w:r>
    </w:p>
    <w:p w14:paraId="06594E9D" w14:textId="77777777" w:rsidR="008C707F" w:rsidRPr="00776837" w:rsidRDefault="008C707F" w:rsidP="008C707F">
      <w:pPr>
        <w:pStyle w:val="05-Textonormal"/>
        <w:numPr>
          <w:ilvl w:val="0"/>
          <w:numId w:val="40"/>
        </w:numPr>
        <w:spacing w:after="0" w:line="240" w:lineRule="auto"/>
        <w:ind w:left="709"/>
        <w:rPr>
          <w:bCs/>
          <w:lang w:val="en-US"/>
        </w:rPr>
      </w:pPr>
      <w:r w:rsidRPr="00776837">
        <w:rPr>
          <w:b/>
          <w:lang w:val="en-US"/>
        </w:rPr>
        <w:t xml:space="preserve">Principles for Sustainable Insurance (PSI): </w:t>
      </w:r>
      <w:r w:rsidRPr="00776837">
        <w:rPr>
          <w:bCs/>
          <w:lang w:val="en-US"/>
        </w:rPr>
        <w:t xml:space="preserve">Brasilcap was the first </w:t>
      </w:r>
      <w:r>
        <w:rPr>
          <w:bCs/>
          <w:lang w:val="en-US"/>
        </w:rPr>
        <w:t>premium bond</w:t>
      </w:r>
      <w:r w:rsidRPr="00776837">
        <w:rPr>
          <w:bCs/>
          <w:lang w:val="en-US"/>
        </w:rPr>
        <w:t xml:space="preserve"> company to become a signatory to PSI, </w:t>
      </w:r>
      <w:r>
        <w:rPr>
          <w:bCs/>
          <w:lang w:val="en-US"/>
        </w:rPr>
        <w:t xml:space="preserve">in </w:t>
      </w:r>
      <w:r w:rsidRPr="00776837">
        <w:rPr>
          <w:bCs/>
          <w:lang w:val="en-US"/>
        </w:rPr>
        <w:t xml:space="preserve">2015. This adhesion reinforces </w:t>
      </w:r>
      <w:r>
        <w:rPr>
          <w:bCs/>
          <w:lang w:val="en-US"/>
        </w:rPr>
        <w:t xml:space="preserve">the </w:t>
      </w:r>
      <w:r w:rsidRPr="00776837">
        <w:rPr>
          <w:bCs/>
          <w:lang w:val="en-US"/>
        </w:rPr>
        <w:t xml:space="preserve">commitment to being an important voice seeking a conscious and fair society, in addition to contributing to the evolution of </w:t>
      </w:r>
      <w:r>
        <w:rPr>
          <w:bCs/>
          <w:lang w:val="en-US"/>
        </w:rPr>
        <w:t>ESG</w:t>
      </w:r>
      <w:r w:rsidRPr="00776837">
        <w:rPr>
          <w:bCs/>
          <w:lang w:val="en-US"/>
        </w:rPr>
        <w:t xml:space="preserve"> issues, mitigating risks and providing </w:t>
      </w:r>
      <w:r>
        <w:rPr>
          <w:bCs/>
          <w:lang w:val="en-US"/>
        </w:rPr>
        <w:t>accountability to the stakeholders</w:t>
      </w:r>
      <w:r w:rsidRPr="00776837">
        <w:rPr>
          <w:bCs/>
          <w:lang w:val="en-US"/>
        </w:rPr>
        <w:t xml:space="preserve">. </w:t>
      </w:r>
    </w:p>
    <w:p w14:paraId="2B2999BB" w14:textId="77777777" w:rsidR="008C707F" w:rsidRPr="00776837" w:rsidRDefault="008C707F" w:rsidP="008C707F">
      <w:pPr>
        <w:pStyle w:val="05-Textonormal"/>
        <w:numPr>
          <w:ilvl w:val="0"/>
          <w:numId w:val="40"/>
        </w:numPr>
        <w:rPr>
          <w:rFonts w:cs="Arial"/>
          <w:lang w:val="en-US"/>
        </w:rPr>
      </w:pPr>
      <w:r w:rsidRPr="00776837">
        <w:rPr>
          <w:rFonts w:cs="Arial"/>
          <w:b/>
          <w:bCs/>
          <w:lang w:val="en-US"/>
        </w:rPr>
        <w:t xml:space="preserve">Ethos Business Pact for Integrity and Against Corruption: </w:t>
      </w:r>
      <w:r w:rsidRPr="00776837">
        <w:rPr>
          <w:rFonts w:cs="Arial"/>
          <w:lang w:val="en-US"/>
        </w:rPr>
        <w:t>Brasilcap already has widespread ethics, integrity, and anti-corruption practices via its Internal Control programs. Now, the company has made a public commitment by joining the Pact, the main requirement for joining the Pro-Ethics Seal.</w:t>
      </w:r>
    </w:p>
    <w:p w14:paraId="75FB535A" w14:textId="77777777" w:rsidR="008C707F" w:rsidRPr="00776837" w:rsidRDefault="008C707F" w:rsidP="008C707F">
      <w:pPr>
        <w:pStyle w:val="05-Textonormal"/>
        <w:numPr>
          <w:ilvl w:val="0"/>
          <w:numId w:val="40"/>
        </w:numPr>
        <w:rPr>
          <w:rFonts w:cs="Arial"/>
          <w:lang w:val="en-US"/>
        </w:rPr>
      </w:pPr>
      <w:r w:rsidRPr="00776837">
        <w:rPr>
          <w:rFonts w:cs="Arial"/>
          <w:b/>
          <w:bCs/>
          <w:lang w:val="en-US"/>
        </w:rPr>
        <w:t xml:space="preserve">UN Global </w:t>
      </w:r>
      <w:r>
        <w:rPr>
          <w:rFonts w:cs="Arial"/>
          <w:b/>
          <w:bCs/>
          <w:lang w:val="en-US"/>
        </w:rPr>
        <w:t>Comp</w:t>
      </w:r>
      <w:r w:rsidRPr="00776837">
        <w:rPr>
          <w:rFonts w:cs="Arial"/>
          <w:b/>
          <w:bCs/>
          <w:lang w:val="en-US"/>
        </w:rPr>
        <w:t>act:</w:t>
      </w:r>
      <w:r w:rsidRPr="00776837">
        <w:rPr>
          <w:rFonts w:cs="Arial"/>
          <w:lang w:val="en-US"/>
        </w:rPr>
        <w:t xml:space="preserve"> Brasilcap became an official member of the </w:t>
      </w:r>
      <w:r>
        <w:rPr>
          <w:rFonts w:cs="Arial"/>
          <w:lang w:val="en-US"/>
        </w:rPr>
        <w:t>compact</w:t>
      </w:r>
      <w:r w:rsidRPr="00776837">
        <w:rPr>
          <w:rFonts w:cs="Arial"/>
          <w:lang w:val="en-US"/>
        </w:rPr>
        <w:t xml:space="preserve"> with the commitment to actively participate in initiatives related to the Sustainable Development Goals, </w:t>
      </w:r>
      <w:r>
        <w:rPr>
          <w:rFonts w:cs="Arial"/>
          <w:lang w:val="en-US"/>
        </w:rPr>
        <w:t xml:space="preserve">in line with </w:t>
      </w:r>
      <w:r w:rsidRPr="00776837">
        <w:rPr>
          <w:rFonts w:cs="Arial"/>
          <w:lang w:val="en-US"/>
        </w:rPr>
        <w:t xml:space="preserve">the best market practices and trends in the sustainability agenda, reinforcing the inclusion of </w:t>
      </w:r>
      <w:r>
        <w:rPr>
          <w:rFonts w:cs="Arial"/>
          <w:lang w:val="en-US"/>
        </w:rPr>
        <w:t>E</w:t>
      </w:r>
      <w:r w:rsidRPr="00776837">
        <w:rPr>
          <w:rFonts w:cs="Arial"/>
          <w:lang w:val="en-US"/>
        </w:rPr>
        <w:t xml:space="preserve">SG </w:t>
      </w:r>
      <w:r>
        <w:rPr>
          <w:rFonts w:cs="Arial"/>
          <w:lang w:val="en-US"/>
        </w:rPr>
        <w:t xml:space="preserve">issues </w:t>
      </w:r>
      <w:r w:rsidRPr="00776837">
        <w:rPr>
          <w:rFonts w:cs="Arial"/>
          <w:lang w:val="en-US"/>
        </w:rPr>
        <w:t>in its strategies and the implementation of the ten principles of the Global Pact on Human Rights, Decent Work, Environment and Anti-Corruption in its activities.</w:t>
      </w:r>
    </w:p>
    <w:p w14:paraId="45B99B48" w14:textId="77777777" w:rsidR="008C707F" w:rsidRPr="00776837" w:rsidRDefault="008C707F" w:rsidP="008C707F">
      <w:pPr>
        <w:pStyle w:val="05-Textonormal"/>
        <w:numPr>
          <w:ilvl w:val="0"/>
          <w:numId w:val="40"/>
        </w:numPr>
        <w:rPr>
          <w:rFonts w:cs="Arial"/>
          <w:lang w:val="en-US"/>
        </w:rPr>
      </w:pPr>
      <w:r w:rsidRPr="00776837">
        <w:rPr>
          <w:rFonts w:cs="Arial"/>
          <w:b/>
          <w:bCs/>
          <w:i/>
          <w:iCs/>
          <w:lang w:val="en-US"/>
        </w:rPr>
        <w:t>"Green Building LEED® C&amp;"</w:t>
      </w:r>
      <w:r w:rsidRPr="00776837">
        <w:rPr>
          <w:rFonts w:cstheme="minorHAnsi"/>
          <w:lang w:val="en-US"/>
        </w:rPr>
        <w:t xml:space="preserve"> </w:t>
      </w:r>
      <w:r w:rsidRPr="00776837">
        <w:rPr>
          <w:rFonts w:cs="Arial"/>
          <w:b/>
          <w:bCs/>
          <w:lang w:val="en-US"/>
        </w:rPr>
        <w:t>Certification</w:t>
      </w:r>
      <w:r w:rsidRPr="00776837">
        <w:rPr>
          <w:rFonts w:cstheme="minorHAnsi"/>
          <w:b/>
          <w:bCs/>
          <w:lang w:val="en-US"/>
        </w:rPr>
        <w:t>:</w:t>
      </w:r>
      <w:r w:rsidRPr="00776837">
        <w:rPr>
          <w:rFonts w:cstheme="minorHAnsi"/>
          <w:lang w:val="en-US"/>
        </w:rPr>
        <w:t xml:space="preserve"> the company's new headquarter is a reference in </w:t>
      </w:r>
      <w:r w:rsidRPr="00776837">
        <w:rPr>
          <w:rFonts w:cstheme="minorHAnsi"/>
          <w:i/>
          <w:iCs/>
          <w:lang w:val="en-US"/>
        </w:rPr>
        <w:t>Green Building</w:t>
      </w:r>
      <w:r>
        <w:rPr>
          <w:rFonts w:cstheme="minorHAnsi"/>
          <w:lang w:val="en-US"/>
        </w:rPr>
        <w:t>.</w:t>
      </w:r>
    </w:p>
    <w:p w14:paraId="7C86EF18" w14:textId="77777777" w:rsidR="008C707F" w:rsidRPr="00776837" w:rsidRDefault="008C707F" w:rsidP="008C707F">
      <w:pPr>
        <w:pStyle w:val="05-Textonormal"/>
        <w:numPr>
          <w:ilvl w:val="0"/>
          <w:numId w:val="40"/>
        </w:numPr>
        <w:rPr>
          <w:rFonts w:cs="Arial"/>
          <w:bCs/>
          <w:lang w:val="en-US"/>
        </w:rPr>
      </w:pPr>
      <w:r>
        <w:rPr>
          <w:b/>
          <w:bCs/>
          <w:lang w:val="en-US"/>
        </w:rPr>
        <w:t>Social Investments</w:t>
      </w:r>
      <w:r w:rsidRPr="00776837">
        <w:rPr>
          <w:b/>
          <w:bCs/>
          <w:lang w:val="en-US"/>
        </w:rPr>
        <w:t>:</w:t>
      </w:r>
      <w:r w:rsidRPr="00776837">
        <w:rPr>
          <w:rFonts w:cs="Arial"/>
          <w:lang w:val="en-US"/>
        </w:rPr>
        <w:t xml:space="preserve"> with a metric that was specially developed to meet the company's </w:t>
      </w:r>
      <w:r>
        <w:rPr>
          <w:rFonts w:cs="Arial"/>
          <w:lang w:val="en-US"/>
        </w:rPr>
        <w:t>materiality</w:t>
      </w:r>
      <w:r w:rsidRPr="00776837">
        <w:rPr>
          <w:rFonts w:cs="Arial"/>
          <w:lang w:val="en-US"/>
        </w:rPr>
        <w:t xml:space="preserve">, 12 projects were selected, distributed among different states, supported by the Sports Law, the Children and Adolescents Fund, and the Elderly Law, benefiting around 36 thousand children and young people, and 125 thousand senior citizens directly, totaling R$ </w:t>
      </w:r>
      <w:r>
        <w:rPr>
          <w:rFonts w:cs="Arial"/>
          <w:lang w:val="en-US"/>
        </w:rPr>
        <w:t>1.2</w:t>
      </w:r>
      <w:r w:rsidRPr="00776837">
        <w:rPr>
          <w:rFonts w:cs="Arial"/>
          <w:lang w:val="en-US"/>
        </w:rPr>
        <w:t xml:space="preserve"> million</w:t>
      </w:r>
      <w:r>
        <w:rPr>
          <w:rFonts w:cs="Arial"/>
          <w:lang w:val="en-US"/>
        </w:rPr>
        <w:t xml:space="preserve"> invested</w:t>
      </w:r>
      <w:r w:rsidRPr="00776837">
        <w:rPr>
          <w:rFonts w:cs="Arial"/>
          <w:lang w:val="en-US"/>
        </w:rPr>
        <w:t>.</w:t>
      </w:r>
    </w:p>
    <w:p w14:paraId="5F8F7908" w14:textId="77777777" w:rsidR="008C707F" w:rsidRPr="00776837" w:rsidRDefault="008C707F" w:rsidP="00313C3B">
      <w:pPr>
        <w:pStyle w:val="05-Textonormal"/>
        <w:spacing w:after="0" w:line="240" w:lineRule="auto"/>
        <w:rPr>
          <w:rFonts w:cs="Arial"/>
          <w:lang w:val="en-US"/>
        </w:rPr>
      </w:pPr>
      <w:r w:rsidRPr="00776837">
        <w:rPr>
          <w:rFonts w:cs="Arial"/>
          <w:lang w:val="en-US"/>
        </w:rPr>
        <w:t>More information related to the topic is available on the company's website (https://www.brasilcap.com.br/brasilcap/brasilcap/responsabilidade-socioambiental/responsabilidade-socioambiental.html).</w:t>
      </w:r>
    </w:p>
    <w:p w14:paraId="1E2317ED" w14:textId="77777777" w:rsidR="008C707F" w:rsidRPr="00776837" w:rsidRDefault="008C707F" w:rsidP="00C81A16">
      <w:pPr>
        <w:pStyle w:val="05-Textonormal"/>
        <w:ind w:left="720"/>
        <w:rPr>
          <w:lang w:val="en-US"/>
        </w:rPr>
      </w:pPr>
    </w:p>
    <w:p w14:paraId="4359A7C7" w14:textId="77777777" w:rsidR="008C707F" w:rsidRPr="00776837" w:rsidRDefault="008C707F" w:rsidP="001A2EC3">
      <w:pPr>
        <w:pStyle w:val="01-TtulodeNota"/>
        <w:keepNext/>
        <w:keepLines/>
        <w:pageBreakBefore/>
        <w:numPr>
          <w:ilvl w:val="0"/>
          <w:numId w:val="44"/>
        </w:numPr>
        <w:ind w:left="357" w:hanging="357"/>
        <w:rPr>
          <w:color w:val="1F4E79" w:themeColor="accent1" w:themeShade="80"/>
          <w:lang w:val="en-US"/>
        </w:rPr>
      </w:pPr>
      <w:r w:rsidRPr="00776837">
        <w:rPr>
          <w:color w:val="1F4E79" w:themeColor="accent1" w:themeShade="80"/>
          <w:lang w:val="en-US"/>
        </w:rPr>
        <w:lastRenderedPageBreak/>
        <w:t xml:space="preserve">MAIN AWARDS </w:t>
      </w:r>
    </w:p>
    <w:p w14:paraId="61865E79" w14:textId="77777777" w:rsidR="008C707F" w:rsidRPr="00776837" w:rsidRDefault="008C707F" w:rsidP="00C81A16">
      <w:pPr>
        <w:pStyle w:val="PargrafodaLista"/>
        <w:spacing w:before="120" w:after="120"/>
        <w:ind w:left="0"/>
        <w:jc w:val="both"/>
        <w:rPr>
          <w:rFonts w:ascii="Arial" w:hAnsi="Arial" w:cs="Arial"/>
          <w:sz w:val="18"/>
          <w:szCs w:val="18"/>
          <w:lang w:val="en-US"/>
        </w:rPr>
      </w:pPr>
      <w:r w:rsidRPr="00776837">
        <w:rPr>
          <w:rFonts w:ascii="Arial" w:hAnsi="Arial" w:cs="Arial"/>
          <w:sz w:val="18"/>
          <w:szCs w:val="18"/>
          <w:lang w:val="en-US"/>
        </w:rPr>
        <w:t>Below are the main awards and recognitions received in 202</w:t>
      </w:r>
      <w:r>
        <w:rPr>
          <w:rFonts w:ascii="Arial" w:hAnsi="Arial" w:cs="Arial"/>
          <w:sz w:val="18"/>
          <w:szCs w:val="18"/>
          <w:lang w:val="en-US"/>
        </w:rPr>
        <w:t>2</w:t>
      </w:r>
      <w:r w:rsidRPr="00776837">
        <w:rPr>
          <w:rFonts w:ascii="Arial" w:hAnsi="Arial" w:cs="Arial"/>
          <w:sz w:val="18"/>
          <w:szCs w:val="18"/>
          <w:lang w:val="en-US"/>
        </w:rPr>
        <w:t xml:space="preserve"> by the companies that are part of the BB Seguridade Group:</w:t>
      </w:r>
    </w:p>
    <w:p w14:paraId="7AE33859" w14:textId="77777777" w:rsidR="008C707F" w:rsidRPr="00776837" w:rsidRDefault="008C707F" w:rsidP="00C81A16">
      <w:pPr>
        <w:pStyle w:val="PargrafodaLista"/>
        <w:spacing w:before="120" w:after="120"/>
        <w:ind w:left="0"/>
        <w:jc w:val="both"/>
        <w:rPr>
          <w:rFonts w:ascii="Arial" w:hAnsi="Arial" w:cs="Arial"/>
          <w:sz w:val="18"/>
          <w:szCs w:val="18"/>
          <w:lang w:val="en-US"/>
        </w:rPr>
      </w:pPr>
    </w:p>
    <w:p w14:paraId="79F599DA" w14:textId="77777777" w:rsidR="008C707F" w:rsidRPr="00776837" w:rsidRDefault="008C707F" w:rsidP="00D02DF5">
      <w:pPr>
        <w:pStyle w:val="03-SubttulodeNota"/>
        <w:spacing w:line="276" w:lineRule="auto"/>
        <w:rPr>
          <w:b w:val="0"/>
          <w:bCs/>
          <w:sz w:val="18"/>
          <w:szCs w:val="18"/>
          <w:u w:val="single"/>
          <w:lang w:val="en-US"/>
        </w:rPr>
      </w:pPr>
      <w:r w:rsidRPr="00776837">
        <w:rPr>
          <w:b w:val="0"/>
          <w:bCs/>
          <w:sz w:val="18"/>
          <w:szCs w:val="18"/>
          <w:u w:val="single"/>
          <w:lang w:val="en-US"/>
        </w:rPr>
        <w:t>BB Seguridade</w:t>
      </w:r>
    </w:p>
    <w:p w14:paraId="5E1C3335" w14:textId="77777777" w:rsidR="008C707F" w:rsidRPr="00776837" w:rsidRDefault="008C707F" w:rsidP="00D02DF5">
      <w:pPr>
        <w:pStyle w:val="PargrafodaLista"/>
        <w:spacing w:before="120" w:after="120"/>
        <w:ind w:left="360"/>
        <w:jc w:val="both"/>
        <w:rPr>
          <w:rFonts w:ascii="Arial" w:eastAsia="Times New Roman" w:hAnsi="Arial" w:cs="Arial"/>
          <w:b/>
          <w:sz w:val="18"/>
          <w:szCs w:val="18"/>
          <w:highlight w:val="yellow"/>
          <w:lang w:val="en-US" w:eastAsia="pt-BR"/>
        </w:rPr>
      </w:pPr>
    </w:p>
    <w:p w14:paraId="7AE5718F" w14:textId="77777777" w:rsidR="008C707F" w:rsidRPr="00776837" w:rsidRDefault="008C707F" w:rsidP="008C707F">
      <w:pPr>
        <w:pStyle w:val="PargrafodaLista"/>
        <w:numPr>
          <w:ilvl w:val="0"/>
          <w:numId w:val="43"/>
        </w:numPr>
        <w:spacing w:after="0"/>
        <w:ind w:left="714" w:hanging="357"/>
        <w:jc w:val="both"/>
        <w:rPr>
          <w:rFonts w:ascii="Arial" w:hAnsi="Arial" w:cs="Arial"/>
          <w:b/>
          <w:bCs/>
          <w:sz w:val="18"/>
          <w:szCs w:val="18"/>
          <w:lang w:val="en-US"/>
        </w:rPr>
      </w:pPr>
      <w:r w:rsidRPr="00776837">
        <w:rPr>
          <w:rFonts w:cs="Arial"/>
          <w:b/>
          <w:bCs/>
          <w:szCs w:val="18"/>
          <w:lang w:val="en-US"/>
        </w:rPr>
        <w:t xml:space="preserve">Institute of Internal Auditors of Brazil: </w:t>
      </w:r>
      <w:r w:rsidRPr="00776837">
        <w:rPr>
          <w:rFonts w:ascii="Arial" w:hAnsi="Arial" w:cs="Arial"/>
          <w:sz w:val="18"/>
          <w:szCs w:val="18"/>
          <w:lang w:val="en-US"/>
        </w:rPr>
        <w:t xml:space="preserve">BB Seguridade's internal audit area achieved the international </w:t>
      </w:r>
      <w:r w:rsidRPr="00776837">
        <w:rPr>
          <w:rFonts w:ascii="Arial" w:hAnsi="Arial" w:cs="Arial"/>
          <w:i/>
          <w:iCs/>
          <w:sz w:val="18"/>
          <w:szCs w:val="18"/>
          <w:lang w:val="en-US"/>
        </w:rPr>
        <w:t>Quality Assessment</w:t>
      </w:r>
      <w:r w:rsidRPr="00776837">
        <w:rPr>
          <w:rFonts w:ascii="Arial" w:hAnsi="Arial" w:cs="Arial"/>
          <w:sz w:val="18"/>
          <w:szCs w:val="18"/>
          <w:lang w:val="en-US"/>
        </w:rPr>
        <w:t xml:space="preserve"> certification, issued by the Institute of Internal Auditors of Brazil (IIA Brazil). The </w:t>
      </w:r>
      <w:r w:rsidRPr="00776837">
        <w:rPr>
          <w:rFonts w:ascii="Arial" w:hAnsi="Arial" w:cs="Arial"/>
          <w:i/>
          <w:iCs/>
          <w:sz w:val="18"/>
          <w:szCs w:val="18"/>
          <w:lang w:val="en-US"/>
        </w:rPr>
        <w:t>Quality Assessment</w:t>
      </w:r>
      <w:r w:rsidRPr="00776837">
        <w:rPr>
          <w:rFonts w:ascii="Arial" w:hAnsi="Arial" w:cs="Arial"/>
          <w:sz w:val="18"/>
          <w:szCs w:val="18"/>
          <w:lang w:val="en-US"/>
        </w:rPr>
        <w:t xml:space="preserve"> is the highest recognition that an internal audit can obtain regarding the quality of the work performed.</w:t>
      </w:r>
    </w:p>
    <w:p w14:paraId="4F427E13" w14:textId="77777777" w:rsidR="008C707F" w:rsidRPr="00776837" w:rsidRDefault="008C707F" w:rsidP="00C81A16">
      <w:pPr>
        <w:pStyle w:val="PargrafodaLista"/>
        <w:spacing w:before="120" w:after="120"/>
        <w:ind w:left="0"/>
        <w:jc w:val="both"/>
        <w:rPr>
          <w:rFonts w:ascii="Arial" w:hAnsi="Arial" w:cs="Arial"/>
          <w:sz w:val="18"/>
          <w:szCs w:val="18"/>
          <w:lang w:val="en-US"/>
        </w:rPr>
      </w:pPr>
    </w:p>
    <w:p w14:paraId="44EB73F2" w14:textId="77777777" w:rsidR="008C707F" w:rsidRPr="00776837" w:rsidRDefault="008C707F" w:rsidP="00C81A16">
      <w:pPr>
        <w:pStyle w:val="PargrafodaLista"/>
        <w:spacing w:before="120" w:after="120"/>
        <w:ind w:left="0"/>
        <w:jc w:val="both"/>
        <w:rPr>
          <w:rFonts w:ascii="Arial" w:eastAsia="Times New Roman" w:hAnsi="Arial" w:cs="Arial"/>
          <w:b/>
          <w:sz w:val="18"/>
          <w:szCs w:val="18"/>
          <w:highlight w:val="yellow"/>
          <w:lang w:val="en-US" w:eastAsia="pt-BR"/>
        </w:rPr>
      </w:pPr>
    </w:p>
    <w:p w14:paraId="17CBEAFA" w14:textId="77777777" w:rsidR="008C707F" w:rsidRPr="00776837" w:rsidRDefault="008C707F" w:rsidP="000838E1">
      <w:pPr>
        <w:pStyle w:val="03-SubttulodeNota"/>
        <w:spacing w:line="276" w:lineRule="auto"/>
        <w:rPr>
          <w:b w:val="0"/>
          <w:bCs/>
          <w:sz w:val="18"/>
          <w:szCs w:val="18"/>
          <w:u w:val="single"/>
          <w:lang w:val="en-US"/>
        </w:rPr>
      </w:pPr>
      <w:r w:rsidRPr="00776837">
        <w:rPr>
          <w:b w:val="0"/>
          <w:bCs/>
          <w:sz w:val="18"/>
          <w:szCs w:val="18"/>
          <w:u w:val="single"/>
          <w:lang w:val="en-US"/>
        </w:rPr>
        <w:t>Brasilseg</w:t>
      </w:r>
    </w:p>
    <w:p w14:paraId="0502270E" w14:textId="77777777" w:rsidR="008C707F" w:rsidRPr="00776837" w:rsidRDefault="008C707F" w:rsidP="00C81A16">
      <w:pPr>
        <w:pStyle w:val="PargrafodaLista"/>
        <w:spacing w:before="120" w:after="120"/>
        <w:ind w:left="360"/>
        <w:jc w:val="both"/>
        <w:rPr>
          <w:rFonts w:ascii="Arial" w:eastAsia="Times New Roman" w:hAnsi="Arial" w:cs="Arial"/>
          <w:b/>
          <w:sz w:val="18"/>
          <w:szCs w:val="18"/>
          <w:highlight w:val="yellow"/>
          <w:lang w:val="en-US" w:eastAsia="pt-BR"/>
        </w:rPr>
      </w:pPr>
    </w:p>
    <w:p w14:paraId="3EA0FA56" w14:textId="77777777" w:rsidR="008C707F" w:rsidRPr="00776837" w:rsidRDefault="008C707F" w:rsidP="008C707F">
      <w:pPr>
        <w:pStyle w:val="PargrafodaLista"/>
        <w:numPr>
          <w:ilvl w:val="0"/>
          <w:numId w:val="43"/>
        </w:numPr>
        <w:spacing w:after="0"/>
        <w:ind w:left="714" w:hanging="357"/>
        <w:jc w:val="both"/>
        <w:rPr>
          <w:rFonts w:ascii="Arial" w:hAnsi="Arial" w:cs="Arial"/>
          <w:b/>
          <w:bCs/>
          <w:sz w:val="18"/>
          <w:szCs w:val="18"/>
          <w:lang w:val="en-US"/>
        </w:rPr>
      </w:pPr>
      <w:r w:rsidRPr="00776837">
        <w:rPr>
          <w:rFonts w:cs="Arial"/>
          <w:b/>
          <w:bCs/>
          <w:szCs w:val="18"/>
          <w:lang w:val="en-US"/>
        </w:rPr>
        <w:t xml:space="preserve">Ranking 100 Open Startups: </w:t>
      </w:r>
      <w:r w:rsidRPr="00776837">
        <w:rPr>
          <w:rFonts w:ascii="Arial" w:hAnsi="Arial" w:cs="Arial"/>
          <w:sz w:val="18"/>
          <w:szCs w:val="18"/>
          <w:lang w:val="en-US"/>
        </w:rPr>
        <w:t>Brasilseg was recognized among the 100 companies that most innovate with startups and TOP 4 in Insurance. This rank was the result of the extensive work with open innovation that the company has been developing in recent years, especially with its "</w:t>
      </w:r>
      <w:r>
        <w:rPr>
          <w:rFonts w:ascii="Arial" w:hAnsi="Arial" w:cs="Arial"/>
          <w:sz w:val="18"/>
          <w:szCs w:val="18"/>
          <w:lang w:val="en-US"/>
        </w:rPr>
        <w:t xml:space="preserve">Impulso </w:t>
      </w:r>
      <w:r w:rsidRPr="00776837">
        <w:rPr>
          <w:rFonts w:ascii="Arial" w:hAnsi="Arial" w:cs="Arial"/>
          <w:sz w:val="18"/>
          <w:szCs w:val="18"/>
          <w:lang w:val="en-US"/>
        </w:rPr>
        <w:t>Open" program, which annually opens up to startups the possibility of developing solutions to challenges related to the company's strategic objectives - all related to the macro purpose of digital transformation of the operation.</w:t>
      </w:r>
    </w:p>
    <w:p w14:paraId="40B07C33" w14:textId="77777777" w:rsidR="008C707F" w:rsidRPr="00776837" w:rsidRDefault="008C707F" w:rsidP="00F86F99">
      <w:pPr>
        <w:pStyle w:val="PargrafodaLista"/>
        <w:rPr>
          <w:rFonts w:ascii="Arial" w:hAnsi="Arial" w:cs="Arial"/>
          <w:b/>
          <w:bCs/>
          <w:color w:val="FF0000"/>
          <w:sz w:val="18"/>
          <w:szCs w:val="18"/>
          <w:lang w:val="en-US"/>
        </w:rPr>
      </w:pPr>
    </w:p>
    <w:p w14:paraId="4D998AE4" w14:textId="77777777" w:rsidR="008C707F" w:rsidRPr="00776837" w:rsidRDefault="008C707F" w:rsidP="008C707F">
      <w:pPr>
        <w:pStyle w:val="PargrafodaLista"/>
        <w:numPr>
          <w:ilvl w:val="0"/>
          <w:numId w:val="43"/>
        </w:numPr>
        <w:spacing w:after="0"/>
        <w:ind w:left="714" w:hanging="357"/>
        <w:jc w:val="both"/>
        <w:rPr>
          <w:rFonts w:ascii="Arial" w:hAnsi="Arial" w:cs="Arial"/>
          <w:b/>
          <w:bCs/>
          <w:sz w:val="18"/>
          <w:szCs w:val="18"/>
          <w:lang w:val="en-US"/>
        </w:rPr>
      </w:pPr>
      <w:r w:rsidRPr="00776837">
        <w:rPr>
          <w:rFonts w:ascii="Arial" w:hAnsi="Arial" w:cs="Arial"/>
          <w:b/>
          <w:bCs/>
          <w:sz w:val="18"/>
          <w:szCs w:val="18"/>
          <w:lang w:val="en-US"/>
        </w:rPr>
        <w:t xml:space="preserve">ABT Award: </w:t>
      </w:r>
      <w:r w:rsidRPr="00776837">
        <w:rPr>
          <w:rFonts w:ascii="Arial" w:hAnsi="Arial" w:cs="Arial"/>
          <w:sz w:val="18"/>
          <w:szCs w:val="18"/>
          <w:lang w:val="en-US"/>
        </w:rPr>
        <w:t xml:space="preserve">Brasilseg was </w:t>
      </w:r>
      <w:r>
        <w:rPr>
          <w:rFonts w:ascii="Arial" w:hAnsi="Arial" w:cs="Arial"/>
          <w:sz w:val="18"/>
          <w:szCs w:val="18"/>
          <w:lang w:val="en-US"/>
        </w:rPr>
        <w:t>ranked</w:t>
      </w:r>
      <w:r w:rsidRPr="00776837">
        <w:rPr>
          <w:rFonts w:ascii="Arial" w:hAnsi="Arial" w:cs="Arial"/>
          <w:sz w:val="18"/>
          <w:szCs w:val="18"/>
          <w:lang w:val="en-US"/>
        </w:rPr>
        <w:t xml:space="preserve"> gold with the </w:t>
      </w:r>
      <w:r>
        <w:rPr>
          <w:rFonts w:ascii="Arial" w:hAnsi="Arial" w:cs="Arial"/>
          <w:sz w:val="18"/>
          <w:szCs w:val="18"/>
          <w:lang w:val="en-US"/>
        </w:rPr>
        <w:t xml:space="preserve">business case </w:t>
      </w:r>
      <w:r w:rsidRPr="00776837">
        <w:rPr>
          <w:rFonts w:ascii="Arial" w:hAnsi="Arial" w:cs="Arial"/>
          <w:sz w:val="18"/>
          <w:szCs w:val="18"/>
          <w:lang w:val="en-US"/>
        </w:rPr>
        <w:t xml:space="preserve">"Technological Modernization for the Improvement of client Experience"; silver with the "Lab Impulse", in the People Management category; and bronze with the "NPS Retraction – Detracting Clients", in the client Service Operations category. </w:t>
      </w:r>
    </w:p>
    <w:p w14:paraId="167228EB" w14:textId="77777777" w:rsidR="008C707F" w:rsidRPr="00776837" w:rsidRDefault="008C707F" w:rsidP="006D0F17">
      <w:pPr>
        <w:pStyle w:val="PargrafodaLista"/>
        <w:rPr>
          <w:rFonts w:ascii="Arial" w:hAnsi="Arial" w:cs="Arial"/>
          <w:color w:val="FF0000"/>
          <w:sz w:val="18"/>
          <w:szCs w:val="18"/>
          <w:lang w:val="en-US"/>
        </w:rPr>
      </w:pPr>
    </w:p>
    <w:p w14:paraId="34987BEA" w14:textId="77777777" w:rsidR="008C707F" w:rsidRPr="00776837" w:rsidRDefault="008C707F" w:rsidP="00F86F99">
      <w:pPr>
        <w:pStyle w:val="PargrafodaLista"/>
        <w:rPr>
          <w:rFonts w:ascii="Arial" w:hAnsi="Arial" w:cs="Arial"/>
          <w:color w:val="FF0000"/>
          <w:sz w:val="18"/>
          <w:szCs w:val="18"/>
          <w:lang w:val="en-US"/>
        </w:rPr>
      </w:pPr>
    </w:p>
    <w:p w14:paraId="58D690DB" w14:textId="77777777" w:rsidR="008C707F" w:rsidRPr="00776837" w:rsidRDefault="008C707F" w:rsidP="000838E1">
      <w:pPr>
        <w:pStyle w:val="03-SubttulodeNota"/>
        <w:spacing w:line="276" w:lineRule="auto"/>
        <w:rPr>
          <w:b w:val="0"/>
          <w:bCs/>
          <w:sz w:val="18"/>
          <w:szCs w:val="18"/>
          <w:u w:val="single"/>
          <w:lang w:val="en-US"/>
        </w:rPr>
      </w:pPr>
      <w:r w:rsidRPr="00776837">
        <w:rPr>
          <w:b w:val="0"/>
          <w:bCs/>
          <w:sz w:val="18"/>
          <w:szCs w:val="18"/>
          <w:u w:val="single"/>
          <w:lang w:val="en-US"/>
        </w:rPr>
        <w:t>Brasilprev</w:t>
      </w:r>
    </w:p>
    <w:p w14:paraId="3A7FFB06" w14:textId="77777777" w:rsidR="008C707F" w:rsidRPr="00776837" w:rsidRDefault="008C707F" w:rsidP="00F86F99">
      <w:pPr>
        <w:spacing w:after="0"/>
        <w:jc w:val="both"/>
        <w:rPr>
          <w:rFonts w:eastAsia="Times New Roman" w:cs="Times New Roman"/>
          <w:b/>
          <w:spacing w:val="-2"/>
          <w:sz w:val="20"/>
          <w:szCs w:val="20"/>
          <w:lang w:val="en-US" w:eastAsia="pt-BR"/>
        </w:rPr>
      </w:pPr>
    </w:p>
    <w:p w14:paraId="5ACDEA5F" w14:textId="77777777" w:rsidR="008C707F" w:rsidRPr="00776837" w:rsidRDefault="008C707F" w:rsidP="008C707F">
      <w:pPr>
        <w:pStyle w:val="PargrafodaLista"/>
        <w:numPr>
          <w:ilvl w:val="0"/>
          <w:numId w:val="46"/>
        </w:numPr>
        <w:jc w:val="both"/>
        <w:rPr>
          <w:rFonts w:ascii="Arial" w:hAnsi="Arial" w:cs="Arial"/>
          <w:sz w:val="18"/>
          <w:szCs w:val="18"/>
          <w:lang w:val="en-US"/>
        </w:rPr>
      </w:pPr>
      <w:r w:rsidRPr="00776837">
        <w:rPr>
          <w:rFonts w:ascii="Arial" w:hAnsi="Arial" w:cs="Arial"/>
          <w:b/>
          <w:bCs/>
          <w:sz w:val="18"/>
          <w:szCs w:val="18"/>
          <w:lang w:val="en-US"/>
        </w:rPr>
        <w:t>Pension Guide Valor/FGV 2022:</w:t>
      </w:r>
      <w:r w:rsidRPr="00776837">
        <w:rPr>
          <w:rFonts w:ascii="Arial" w:hAnsi="Arial" w:cs="Arial"/>
          <w:sz w:val="18"/>
          <w:szCs w:val="18"/>
          <w:lang w:val="en-US"/>
        </w:rPr>
        <w:t xml:space="preserve"> Brasilprev was recognized as the best </w:t>
      </w:r>
      <w:r>
        <w:rPr>
          <w:rFonts w:ascii="Arial" w:hAnsi="Arial" w:cs="Arial"/>
          <w:sz w:val="18"/>
          <w:szCs w:val="18"/>
          <w:lang w:val="en-US"/>
        </w:rPr>
        <w:t>t</w:t>
      </w:r>
      <w:r w:rsidRPr="00776837">
        <w:rPr>
          <w:rFonts w:ascii="Arial" w:hAnsi="Arial" w:cs="Arial"/>
          <w:sz w:val="18"/>
          <w:szCs w:val="18"/>
          <w:lang w:val="en-US"/>
        </w:rPr>
        <w:t xml:space="preserve">arget </w:t>
      </w:r>
      <w:r>
        <w:rPr>
          <w:rFonts w:ascii="Arial" w:hAnsi="Arial" w:cs="Arial"/>
          <w:sz w:val="18"/>
          <w:szCs w:val="18"/>
          <w:lang w:val="en-US"/>
        </w:rPr>
        <w:t>d</w:t>
      </w:r>
      <w:r w:rsidRPr="00776837">
        <w:rPr>
          <w:rFonts w:ascii="Arial" w:hAnsi="Arial" w:cs="Arial"/>
          <w:sz w:val="18"/>
          <w:szCs w:val="18"/>
          <w:lang w:val="en-US"/>
        </w:rPr>
        <w:t xml:space="preserve">ate fund manager in the special edition of the Pension Guide Valor/FGV 2022. The study is carried out by Valor Econômico </w:t>
      </w:r>
      <w:r>
        <w:rPr>
          <w:rFonts w:ascii="Arial" w:hAnsi="Arial" w:cs="Arial"/>
          <w:sz w:val="18"/>
          <w:szCs w:val="18"/>
          <w:lang w:val="en-US"/>
        </w:rPr>
        <w:t>newspaper</w:t>
      </w:r>
      <w:r w:rsidRPr="00776837">
        <w:rPr>
          <w:rFonts w:ascii="Arial" w:hAnsi="Arial" w:cs="Arial"/>
          <w:sz w:val="18"/>
          <w:szCs w:val="18"/>
          <w:lang w:val="en-US"/>
        </w:rPr>
        <w:t xml:space="preserve"> in partnership with Fundação Getúlio Vargas (FGV). </w:t>
      </w:r>
    </w:p>
    <w:p w14:paraId="28A52C82" w14:textId="77777777" w:rsidR="008C707F" w:rsidRPr="00776837" w:rsidRDefault="008C707F" w:rsidP="00BA7235">
      <w:pPr>
        <w:pStyle w:val="PargrafodaLista"/>
        <w:jc w:val="both"/>
        <w:rPr>
          <w:rFonts w:ascii="Arial" w:hAnsi="Arial" w:cs="Arial"/>
          <w:sz w:val="18"/>
          <w:szCs w:val="18"/>
          <w:lang w:val="en-US"/>
        </w:rPr>
      </w:pPr>
    </w:p>
    <w:p w14:paraId="63A94394" w14:textId="77777777" w:rsidR="008C707F" w:rsidRPr="00776837" w:rsidRDefault="008C707F" w:rsidP="008C707F">
      <w:pPr>
        <w:pStyle w:val="PargrafodaLista"/>
        <w:numPr>
          <w:ilvl w:val="0"/>
          <w:numId w:val="46"/>
        </w:numPr>
        <w:jc w:val="both"/>
        <w:rPr>
          <w:rFonts w:ascii="Arial" w:hAnsi="Arial" w:cs="Arial"/>
          <w:sz w:val="18"/>
          <w:szCs w:val="18"/>
          <w:lang w:val="en-US"/>
        </w:rPr>
      </w:pPr>
      <w:r w:rsidRPr="00776837">
        <w:rPr>
          <w:rFonts w:ascii="Arial" w:hAnsi="Arial" w:cs="Arial"/>
          <w:b/>
          <w:bCs/>
          <w:sz w:val="18"/>
          <w:szCs w:val="18"/>
          <w:lang w:val="en-US"/>
        </w:rPr>
        <w:t>Valor 1000:</w:t>
      </w:r>
      <w:r w:rsidRPr="00776837">
        <w:rPr>
          <w:rFonts w:ascii="Arial" w:hAnsi="Arial" w:cs="Arial"/>
          <w:sz w:val="18"/>
          <w:szCs w:val="18"/>
          <w:lang w:val="en-US"/>
        </w:rPr>
        <w:t xml:space="preserve"> Brasilprev took first place in the "Pension and Life" category in the Valor 1000 ranking. The annual publication, published by Valor Econômico, awards outstanding companies in their respective sectors.</w:t>
      </w:r>
    </w:p>
    <w:p w14:paraId="6F926220" w14:textId="77777777" w:rsidR="008C707F" w:rsidRPr="00776837" w:rsidRDefault="008C707F" w:rsidP="00BA7235">
      <w:pPr>
        <w:pStyle w:val="PargrafodaLista"/>
        <w:ind w:left="1692"/>
        <w:jc w:val="both"/>
        <w:rPr>
          <w:rFonts w:ascii="Arial" w:hAnsi="Arial" w:cs="Arial"/>
          <w:sz w:val="18"/>
          <w:szCs w:val="18"/>
          <w:lang w:val="en-US"/>
        </w:rPr>
      </w:pPr>
    </w:p>
    <w:p w14:paraId="5DCB4BE7" w14:textId="77777777" w:rsidR="008C707F" w:rsidRPr="00776837" w:rsidRDefault="008C707F" w:rsidP="008C707F">
      <w:pPr>
        <w:pStyle w:val="PargrafodaLista"/>
        <w:numPr>
          <w:ilvl w:val="0"/>
          <w:numId w:val="46"/>
        </w:numPr>
        <w:jc w:val="both"/>
        <w:rPr>
          <w:rFonts w:ascii="Arial" w:hAnsi="Arial" w:cs="Arial"/>
          <w:sz w:val="18"/>
          <w:szCs w:val="18"/>
          <w:lang w:val="en-US"/>
        </w:rPr>
      </w:pPr>
      <w:r w:rsidRPr="00776837">
        <w:rPr>
          <w:rFonts w:ascii="Arial" w:hAnsi="Arial" w:cs="Arial"/>
          <w:b/>
          <w:bCs/>
          <w:sz w:val="18"/>
          <w:szCs w:val="18"/>
          <w:lang w:val="en-US"/>
        </w:rPr>
        <w:t>The Best of Dinheiro 2022:</w:t>
      </w:r>
      <w:r w:rsidRPr="00776837">
        <w:rPr>
          <w:rFonts w:ascii="Arial" w:hAnsi="Arial" w:cs="Arial"/>
          <w:sz w:val="18"/>
          <w:szCs w:val="18"/>
          <w:lang w:val="en-US"/>
        </w:rPr>
        <w:t xml:space="preserve"> Brasilprev won </w:t>
      </w:r>
      <w:r>
        <w:rPr>
          <w:rFonts w:ascii="Arial" w:hAnsi="Arial" w:cs="Arial"/>
          <w:sz w:val="18"/>
          <w:szCs w:val="18"/>
          <w:lang w:val="en-US"/>
        </w:rPr>
        <w:t xml:space="preserve">the </w:t>
      </w:r>
      <w:r w:rsidRPr="00776837">
        <w:rPr>
          <w:rFonts w:ascii="Arial" w:hAnsi="Arial" w:cs="Arial"/>
          <w:sz w:val="18"/>
          <w:szCs w:val="18"/>
          <w:lang w:val="en-US"/>
        </w:rPr>
        <w:t xml:space="preserve">2nd place in the ranking of Insurance and Pension Funds, of The Best of Dinheiro Award, </w:t>
      </w:r>
      <w:r>
        <w:rPr>
          <w:rFonts w:ascii="Arial" w:hAnsi="Arial" w:cs="Arial"/>
          <w:sz w:val="18"/>
          <w:szCs w:val="18"/>
          <w:lang w:val="en-US"/>
        </w:rPr>
        <w:t xml:space="preserve">held by </w:t>
      </w:r>
      <w:r w:rsidRPr="00776837">
        <w:rPr>
          <w:rFonts w:ascii="Arial" w:hAnsi="Arial" w:cs="Arial"/>
          <w:sz w:val="18"/>
          <w:szCs w:val="18"/>
          <w:lang w:val="en-US"/>
        </w:rPr>
        <w:t>ISTOÉ Dinheiro magazine. The company ranked first in Social Responsibility and second in Financial Sustainability.</w:t>
      </w:r>
    </w:p>
    <w:p w14:paraId="5B2BB482" w14:textId="77777777" w:rsidR="008C707F" w:rsidRPr="00776837" w:rsidRDefault="008C707F" w:rsidP="00BA7235">
      <w:pPr>
        <w:pStyle w:val="PargrafodaLista"/>
        <w:jc w:val="both"/>
        <w:rPr>
          <w:rFonts w:ascii="Arial" w:hAnsi="Arial" w:cs="Arial"/>
          <w:sz w:val="18"/>
          <w:szCs w:val="18"/>
          <w:lang w:val="en-US"/>
        </w:rPr>
      </w:pPr>
    </w:p>
    <w:p w14:paraId="36B8C607" w14:textId="77777777" w:rsidR="008C707F" w:rsidRPr="00776837" w:rsidRDefault="008C707F" w:rsidP="008C707F">
      <w:pPr>
        <w:pStyle w:val="PargrafodaLista"/>
        <w:numPr>
          <w:ilvl w:val="0"/>
          <w:numId w:val="46"/>
        </w:numPr>
        <w:jc w:val="both"/>
        <w:rPr>
          <w:rFonts w:cs="Arial"/>
          <w:szCs w:val="18"/>
          <w:lang w:val="en-US"/>
        </w:rPr>
      </w:pPr>
      <w:r w:rsidRPr="00776837">
        <w:rPr>
          <w:rFonts w:ascii="Arial" w:hAnsi="Arial" w:cs="Arial"/>
          <w:b/>
          <w:bCs/>
          <w:sz w:val="18"/>
          <w:szCs w:val="18"/>
          <w:lang w:val="en-US"/>
        </w:rPr>
        <w:t>Empresas Mais 2022:</w:t>
      </w:r>
      <w:r w:rsidRPr="00776837">
        <w:rPr>
          <w:rFonts w:ascii="Arial" w:hAnsi="Arial" w:cs="Arial"/>
          <w:sz w:val="18"/>
          <w:szCs w:val="18"/>
          <w:lang w:val="en-US"/>
        </w:rPr>
        <w:t xml:space="preserve"> for the second consecutive year, Brasilprev was ranked first in the insurance segment of “Empresas Mais of Estadão”, an award that assesses the economic criteria and the performance of each company in Corporate Governance and Innovation, indicating the companies with the best management and results in the country. </w:t>
      </w:r>
    </w:p>
    <w:p w14:paraId="6991DC79" w14:textId="77777777" w:rsidR="008C707F" w:rsidRPr="00776837" w:rsidRDefault="008C707F" w:rsidP="000838E1">
      <w:pPr>
        <w:pStyle w:val="03-SubttulodeNota"/>
        <w:spacing w:line="276" w:lineRule="auto"/>
        <w:rPr>
          <w:b w:val="0"/>
          <w:bCs/>
          <w:sz w:val="18"/>
          <w:szCs w:val="18"/>
          <w:u w:val="single"/>
          <w:lang w:val="en-US"/>
        </w:rPr>
      </w:pPr>
      <w:r w:rsidRPr="00776837">
        <w:rPr>
          <w:b w:val="0"/>
          <w:bCs/>
          <w:sz w:val="18"/>
          <w:szCs w:val="18"/>
          <w:u w:val="single"/>
          <w:lang w:val="en-US"/>
        </w:rPr>
        <w:t>Brasilcap</w:t>
      </w:r>
    </w:p>
    <w:p w14:paraId="1BC3F74F" w14:textId="77777777" w:rsidR="008C707F" w:rsidRPr="00776837" w:rsidRDefault="008C707F" w:rsidP="00C81A16">
      <w:pPr>
        <w:pStyle w:val="PargrafodaLista"/>
        <w:spacing w:after="0" w:line="240" w:lineRule="auto"/>
        <w:jc w:val="both"/>
        <w:rPr>
          <w:rFonts w:ascii="Arial" w:hAnsi="Arial" w:cs="Arial"/>
          <w:b/>
          <w:bCs/>
          <w:color w:val="FF0000"/>
          <w:sz w:val="18"/>
          <w:szCs w:val="18"/>
          <w:highlight w:val="yellow"/>
          <w:lang w:val="en-US"/>
        </w:rPr>
      </w:pPr>
    </w:p>
    <w:p w14:paraId="47F35403" w14:textId="77777777" w:rsidR="008C707F" w:rsidRPr="00776837" w:rsidRDefault="008C707F" w:rsidP="008C707F">
      <w:pPr>
        <w:pStyle w:val="PargrafodaLista"/>
        <w:numPr>
          <w:ilvl w:val="0"/>
          <w:numId w:val="43"/>
        </w:numPr>
        <w:spacing w:after="0"/>
        <w:ind w:left="714" w:hanging="357"/>
        <w:jc w:val="both"/>
        <w:rPr>
          <w:rFonts w:ascii="Arial" w:hAnsi="Arial" w:cs="Arial"/>
          <w:sz w:val="18"/>
          <w:szCs w:val="18"/>
          <w:lang w:val="en-US"/>
        </w:rPr>
      </w:pPr>
      <w:r>
        <w:rPr>
          <w:rFonts w:ascii="Arial" w:hAnsi="Arial" w:cs="Arial"/>
          <w:b/>
          <w:bCs/>
          <w:sz w:val="18"/>
          <w:szCs w:val="18"/>
          <w:lang w:val="en-US"/>
        </w:rPr>
        <w:t>Selo Empresa Cidadã</w:t>
      </w:r>
      <w:r w:rsidRPr="00776837">
        <w:rPr>
          <w:rFonts w:ascii="Arial" w:hAnsi="Arial" w:cs="Arial"/>
          <w:b/>
          <w:bCs/>
          <w:sz w:val="18"/>
          <w:szCs w:val="18"/>
          <w:lang w:val="en-US"/>
        </w:rPr>
        <w:t>:</w:t>
      </w:r>
      <w:r w:rsidRPr="00776837">
        <w:rPr>
          <w:rFonts w:ascii="Arial" w:hAnsi="Arial" w:cs="Arial"/>
          <w:sz w:val="18"/>
          <w:szCs w:val="18"/>
          <w:lang w:val="en-US"/>
        </w:rPr>
        <w:t xml:space="preserve"> for the twelfth consecutive year, Brasilcap was awarded. In its 20th edition, the initiative of the Regional Accounting Council of Rio de Janeiro (CRCRJ) aims at encouraging excellence in the quality of accounting and socio-environmental information, published in the annual reports of companies of all sizes and segments in the country;</w:t>
      </w:r>
    </w:p>
    <w:p w14:paraId="5CEAC769" w14:textId="77777777" w:rsidR="008C707F" w:rsidRPr="00776837" w:rsidRDefault="008C707F" w:rsidP="00F86F99">
      <w:pPr>
        <w:spacing w:after="0"/>
        <w:ind w:left="714" w:hanging="357"/>
        <w:jc w:val="both"/>
        <w:rPr>
          <w:rFonts w:cs="Arial"/>
          <w:b/>
          <w:bCs/>
          <w:szCs w:val="18"/>
          <w:lang w:val="en-US"/>
        </w:rPr>
      </w:pPr>
    </w:p>
    <w:p w14:paraId="35F0FC8F" w14:textId="77777777" w:rsidR="008C707F" w:rsidRPr="00776837" w:rsidRDefault="008C707F" w:rsidP="008C707F">
      <w:pPr>
        <w:pStyle w:val="PargrafodaLista"/>
        <w:numPr>
          <w:ilvl w:val="0"/>
          <w:numId w:val="43"/>
        </w:numPr>
        <w:spacing w:after="0"/>
        <w:ind w:left="709" w:hanging="357"/>
        <w:jc w:val="both"/>
        <w:rPr>
          <w:rFonts w:ascii="Arial" w:hAnsi="Arial" w:cs="Arial"/>
          <w:sz w:val="18"/>
          <w:szCs w:val="18"/>
          <w:lang w:val="en-US"/>
        </w:rPr>
      </w:pPr>
      <w:r w:rsidRPr="00776837">
        <w:rPr>
          <w:rFonts w:ascii="Arial" w:hAnsi="Arial" w:cs="Arial"/>
          <w:b/>
          <w:bCs/>
          <w:sz w:val="18"/>
          <w:szCs w:val="18"/>
          <w:lang w:val="en-US"/>
        </w:rPr>
        <w:t xml:space="preserve">Consumidor Moderno Award: </w:t>
      </w:r>
      <w:r w:rsidRPr="00776837">
        <w:rPr>
          <w:rFonts w:ascii="Arial" w:hAnsi="Arial" w:cs="Arial"/>
          <w:sz w:val="18"/>
          <w:szCs w:val="18"/>
          <w:lang w:val="en-US"/>
        </w:rPr>
        <w:t xml:space="preserve">Brasilcap was the winner, for the third consecutive year, of the 23rd edition of the "Consumidor Moderno Award for Excellence in Client Service", in the Pension and </w:t>
      </w:r>
      <w:r>
        <w:rPr>
          <w:rFonts w:ascii="Arial" w:hAnsi="Arial" w:cs="Arial"/>
          <w:sz w:val="18"/>
          <w:szCs w:val="18"/>
          <w:lang w:val="en-US"/>
        </w:rPr>
        <w:t xml:space="preserve">Premium Bonds </w:t>
      </w:r>
      <w:r w:rsidRPr="00776837">
        <w:rPr>
          <w:rFonts w:ascii="Arial" w:hAnsi="Arial" w:cs="Arial"/>
          <w:sz w:val="18"/>
          <w:szCs w:val="18"/>
          <w:lang w:val="en-US"/>
        </w:rPr>
        <w:t>segment. The Award is an initiative of the Consumidor Moderno magazine and its objective is to recognize the companies committed to offering excellent client service.</w:t>
      </w:r>
    </w:p>
    <w:p w14:paraId="7915C5A0" w14:textId="77777777" w:rsidR="008C707F" w:rsidRPr="00776837" w:rsidRDefault="008C707F" w:rsidP="00F86F99">
      <w:pPr>
        <w:pStyle w:val="PargrafodaLista"/>
        <w:rPr>
          <w:rFonts w:ascii="Arial" w:hAnsi="Arial" w:cs="Arial"/>
          <w:color w:val="FF0000"/>
          <w:sz w:val="18"/>
          <w:szCs w:val="18"/>
          <w:lang w:val="en-US"/>
        </w:rPr>
      </w:pPr>
    </w:p>
    <w:p w14:paraId="534B767F" w14:textId="77777777" w:rsidR="008C707F" w:rsidRPr="00776837" w:rsidRDefault="008C707F" w:rsidP="008C707F">
      <w:pPr>
        <w:pStyle w:val="PargrafodaLista"/>
        <w:numPr>
          <w:ilvl w:val="0"/>
          <w:numId w:val="43"/>
        </w:numPr>
        <w:spacing w:after="150"/>
        <w:ind w:left="714" w:hanging="357"/>
        <w:jc w:val="both"/>
        <w:rPr>
          <w:rFonts w:ascii="Arial" w:hAnsi="Arial" w:cs="Arial"/>
          <w:sz w:val="18"/>
          <w:szCs w:val="18"/>
          <w:lang w:val="en-US"/>
        </w:rPr>
      </w:pPr>
      <w:r w:rsidRPr="00776837">
        <w:rPr>
          <w:rFonts w:ascii="Arial" w:hAnsi="Arial" w:cs="Arial"/>
          <w:b/>
          <w:bCs/>
          <w:sz w:val="18"/>
          <w:szCs w:val="18"/>
          <w:lang w:val="en-US"/>
        </w:rPr>
        <w:lastRenderedPageBreak/>
        <w:t xml:space="preserve">Segurador Brasil Award: </w:t>
      </w:r>
      <w:r w:rsidRPr="00776837">
        <w:rPr>
          <w:rFonts w:ascii="Arial" w:hAnsi="Arial" w:cs="Arial"/>
          <w:sz w:val="18"/>
          <w:szCs w:val="18"/>
          <w:lang w:val="en-US"/>
        </w:rPr>
        <w:t>Brasilcap received the Segurador Brasil Award 2022, in the "</w:t>
      </w:r>
      <w:r>
        <w:rPr>
          <w:rFonts w:ascii="Arial" w:hAnsi="Arial" w:cs="Arial"/>
          <w:sz w:val="18"/>
          <w:szCs w:val="18"/>
          <w:lang w:val="en-US"/>
        </w:rPr>
        <w:t>Premium Bond</w:t>
      </w:r>
      <w:r w:rsidRPr="00776837">
        <w:rPr>
          <w:rFonts w:ascii="Arial" w:hAnsi="Arial" w:cs="Arial"/>
          <w:sz w:val="18"/>
          <w:szCs w:val="18"/>
          <w:lang w:val="en-US"/>
        </w:rPr>
        <w:t xml:space="preserve"> Reference" category, from the Segurador Brasil magazine. The winners are determined from a technical analysis based on their accounting records. Among the performance indicators evaluated are dynamism and leadership, the latter measured by market share growth. </w:t>
      </w:r>
    </w:p>
    <w:p w14:paraId="110DCB38" w14:textId="77777777" w:rsidR="008C707F" w:rsidRPr="00776837" w:rsidRDefault="008C707F" w:rsidP="00C81A16">
      <w:pPr>
        <w:pStyle w:val="05-Textonormal"/>
        <w:rPr>
          <w:rFonts w:cs="Arial"/>
          <w:lang w:val="en-US"/>
        </w:rPr>
      </w:pPr>
    </w:p>
    <w:p w14:paraId="5939D818" w14:textId="77777777" w:rsidR="008C707F" w:rsidRDefault="008C707F" w:rsidP="008C707F">
      <w:pPr>
        <w:pStyle w:val="01-TtulodeNota"/>
        <w:numPr>
          <w:ilvl w:val="0"/>
          <w:numId w:val="44"/>
        </w:numPr>
        <w:ind w:left="357" w:hanging="357"/>
        <w:rPr>
          <w:color w:val="1F4E79" w:themeColor="accent1" w:themeShade="80"/>
        </w:rPr>
      </w:pPr>
      <w:r>
        <w:rPr>
          <w:color w:val="1F4E79" w:themeColor="accent1" w:themeShade="80"/>
        </w:rPr>
        <w:t>LEGAL INFORMATION</w:t>
      </w:r>
    </w:p>
    <w:p w14:paraId="1B23E5C4" w14:textId="77777777" w:rsidR="008C707F" w:rsidRDefault="008C707F" w:rsidP="00CA17B5">
      <w:pPr>
        <w:pStyle w:val="01-Textonormal"/>
      </w:pPr>
    </w:p>
    <w:p w14:paraId="4B3249E6" w14:textId="77777777" w:rsidR="008C707F" w:rsidRPr="003351A3" w:rsidRDefault="008C707F" w:rsidP="00CA17B5">
      <w:pPr>
        <w:pStyle w:val="05-Textonormal"/>
        <w:rPr>
          <w:rFonts w:cs="Arial"/>
          <w:lang w:val="en-US"/>
        </w:rPr>
      </w:pPr>
      <w:r w:rsidRPr="00DB0FF9">
        <w:rPr>
          <w:rFonts w:cs="Arial"/>
          <w:lang w:val="en-US"/>
        </w:rPr>
        <w:t>At the end of 202</w:t>
      </w:r>
      <w:r>
        <w:rPr>
          <w:rFonts w:cs="Arial"/>
          <w:lang w:val="en-US"/>
        </w:rPr>
        <w:t>2</w:t>
      </w:r>
      <w:r w:rsidRPr="00DB0FF9">
        <w:rPr>
          <w:rFonts w:cs="Arial"/>
          <w:lang w:val="en-US"/>
        </w:rPr>
        <w:t xml:space="preserve">, BB Seguridade did not record financial indebtedness in its financial statements. </w:t>
      </w:r>
      <w:r w:rsidRPr="003351A3">
        <w:rPr>
          <w:rFonts w:cs="Arial"/>
          <w:lang w:val="en-US"/>
        </w:rPr>
        <w:t>The source of funding consisted of shareholder’s equity.</w:t>
      </w:r>
    </w:p>
    <w:p w14:paraId="6349D126" w14:textId="77777777" w:rsidR="008C707F" w:rsidRPr="004B0E6D" w:rsidRDefault="008C707F" w:rsidP="00CA17B5">
      <w:pPr>
        <w:pStyle w:val="05-Textonormal"/>
        <w:rPr>
          <w:rFonts w:cs="Arial"/>
          <w:lang w:val="en-US"/>
        </w:rPr>
      </w:pPr>
      <w:r w:rsidRPr="00DB0FF9">
        <w:rPr>
          <w:rFonts w:cs="Arial"/>
          <w:lang w:val="en-US"/>
        </w:rPr>
        <w:t>The investments of its invested companies will follow their normal flow of execution, according to individual plans structured by each company.</w:t>
      </w:r>
    </w:p>
    <w:p w14:paraId="21E97B6B" w14:textId="77777777" w:rsidR="008C707F" w:rsidRPr="00CA17B5" w:rsidRDefault="008C707F" w:rsidP="00CA17B5">
      <w:pPr>
        <w:pStyle w:val="05-Textonormal"/>
        <w:rPr>
          <w:rFonts w:cs="Arial"/>
          <w:lang w:val="en-US"/>
        </w:rPr>
      </w:pPr>
      <w:r w:rsidRPr="00CA17B5">
        <w:rPr>
          <w:rFonts w:cs="Arial"/>
          <w:lang w:val="en-US"/>
        </w:rPr>
        <w:t xml:space="preserve">Pursuant to CVM Instruction No. 381/03 (revoked by CVM Resolution No. 162, valid from January 2, 2023), we inform that, throughout 2022, BB Seguridade used the independent audit services of Deloitte Touche Tohmatsu Auditores Independentes (“Deloitte”), </w:t>
      </w:r>
      <w:r w:rsidRPr="00DB0FF9">
        <w:rPr>
          <w:rFonts w:cs="Arial"/>
          <w:lang w:val="en-US"/>
        </w:rPr>
        <w:t>through a contract signed by its parent company, Banco do Brasil S.A</w:t>
      </w:r>
      <w:r w:rsidRPr="00CA17B5">
        <w:rPr>
          <w:rFonts w:cs="Arial"/>
          <w:lang w:val="en-US"/>
        </w:rPr>
        <w:t>.</w:t>
      </w:r>
      <w:r>
        <w:rPr>
          <w:rFonts w:cs="Arial"/>
          <w:lang w:val="en-US"/>
        </w:rPr>
        <w:t xml:space="preserve"> In 2022, BB Seguridade accounted for 6.3% of the total amount of Banco do Brasil’s contract.</w:t>
      </w:r>
    </w:p>
    <w:p w14:paraId="15307ED5" w14:textId="77777777" w:rsidR="008C707F" w:rsidRDefault="008C707F" w:rsidP="00CA17B5">
      <w:pPr>
        <w:pStyle w:val="05-Textonormal"/>
        <w:rPr>
          <w:rFonts w:cs="Arial"/>
          <w:lang w:val="en-US"/>
        </w:rPr>
      </w:pPr>
      <w:r w:rsidRPr="00DB0FF9">
        <w:rPr>
          <w:rFonts w:cs="Arial"/>
          <w:lang w:val="en-US"/>
        </w:rPr>
        <w:t>Also, BB Seguridade and its subsidiaries inform that Deloitte Touche Tohmatsu Auditores Independente did not provide, in 202</w:t>
      </w:r>
      <w:r>
        <w:rPr>
          <w:rFonts w:cs="Arial"/>
          <w:lang w:val="en-US"/>
        </w:rPr>
        <w:t>2</w:t>
      </w:r>
      <w:r w:rsidRPr="00DB0FF9">
        <w:rPr>
          <w:rFonts w:cs="Arial"/>
          <w:lang w:val="en-US"/>
        </w:rPr>
        <w:t>, services that could affect its independence in relation to the audit work, proven by means of a Letter of Independence presented to BB Seguridade.</w:t>
      </w:r>
    </w:p>
    <w:p w14:paraId="007E6562" w14:textId="77777777" w:rsidR="008C707F" w:rsidRPr="00CA17B5" w:rsidRDefault="008C707F" w:rsidP="00CA17B5">
      <w:pPr>
        <w:pStyle w:val="05-Textonormal"/>
        <w:rPr>
          <w:rFonts w:cs="Arial"/>
          <w:lang w:val="en-US"/>
        </w:rPr>
      </w:pPr>
      <w:r w:rsidRPr="00CA17B5">
        <w:rPr>
          <w:rFonts w:cs="Arial"/>
          <w:lang w:val="en-US"/>
        </w:rPr>
        <w:t>When contracting services not related to external audit, BB Seguridade adopts procedures that are based on the applicable legislation and internationally accepted principles that preserve the auditor's independence. These principles consist of: (i) the auditor must not audit its own work; and (ii) the auditor must not act managerially towards its client, nor promote its interests.</w:t>
      </w:r>
    </w:p>
    <w:p w14:paraId="0C041654" w14:textId="77777777" w:rsidR="008C707F" w:rsidRPr="004B0E6D" w:rsidRDefault="008C707F" w:rsidP="00CA17B5">
      <w:pPr>
        <w:pStyle w:val="05-Textonormal"/>
        <w:rPr>
          <w:rFonts w:cs="Arial"/>
          <w:lang w:val="en-US"/>
        </w:rPr>
      </w:pPr>
      <w:r w:rsidRPr="00CA17B5">
        <w:rPr>
          <w:rFonts w:cs="Arial"/>
          <w:lang w:val="en-US"/>
        </w:rPr>
        <w:t>The table below shows the list of service contracts that were in force during 202</w:t>
      </w:r>
      <w:r>
        <w:rPr>
          <w:rFonts w:cs="Arial"/>
          <w:lang w:val="en-US"/>
        </w:rPr>
        <w:t>2</w:t>
      </w:r>
      <w:r w:rsidRPr="00CA17B5">
        <w:rPr>
          <w:rFonts w:cs="Arial"/>
          <w:lang w:val="en-US"/>
        </w:rPr>
        <w:t xml:space="preserve"> between Deloitte and the invested companies and parent company of BB Seguridade:</w:t>
      </w:r>
      <w:r w:rsidRPr="00DB0FF9">
        <w:rPr>
          <w:rFonts w:cs="Arial"/>
          <w:lang w:val="en-US"/>
        </w:rPr>
        <w:t xml:space="preserve"> </w:t>
      </w:r>
    </w:p>
    <w:p w14:paraId="13D95110" w14:textId="77777777" w:rsidR="008C707F" w:rsidRPr="003351A3" w:rsidRDefault="008C707F" w:rsidP="00CA17B5">
      <w:pPr>
        <w:pStyle w:val="05-Textonormal"/>
        <w:rPr>
          <w:rFonts w:cs="Arial"/>
          <w:lang w:val="en-US"/>
        </w:rPr>
      </w:pPr>
    </w:p>
    <w:p w14:paraId="130788CD" w14:textId="0056147D" w:rsidR="008C707F" w:rsidRPr="004E3A69" w:rsidRDefault="008C707F" w:rsidP="004E3A69">
      <w:pPr>
        <w:spacing w:before="120" w:after="120"/>
        <w:jc w:val="both"/>
        <w:rPr>
          <w:rFonts w:cs="Arial"/>
          <w:color w:val="000000"/>
          <w:szCs w:val="18"/>
          <w:lang w:val="en-US"/>
        </w:rPr>
      </w:pPr>
      <w:r w:rsidRPr="004E3A69">
        <w:rPr>
          <w:rFonts w:cs="Arial"/>
          <w:sz w:val="14"/>
          <w:szCs w:val="14"/>
          <w:lang w:val="en-US"/>
        </w:rPr>
        <w:t xml:space="preserve">Table </w:t>
      </w:r>
      <w:r w:rsidR="00C35EEA">
        <w:rPr>
          <w:rFonts w:cs="Arial"/>
          <w:noProof/>
          <w:sz w:val="14"/>
          <w:szCs w:val="14"/>
          <w:lang w:val="en-US"/>
        </w:rPr>
        <w:t>6</w:t>
      </w:r>
      <w:r w:rsidRPr="004E3A69">
        <w:rPr>
          <w:sz w:val="14"/>
          <w:lang w:val="en-US"/>
        </w:rPr>
        <w:t xml:space="preserve"> – </w:t>
      </w:r>
      <w:r w:rsidRPr="004E3A69">
        <w:rPr>
          <w:rFonts w:cs="Arial"/>
          <w:sz w:val="14"/>
          <w:lang w:val="en-US"/>
        </w:rPr>
        <w:t>Audit and non-audit contra</w:t>
      </w:r>
      <w:r>
        <w:rPr>
          <w:rFonts w:cs="Arial"/>
          <w:sz w:val="14"/>
          <w:lang w:val="en-US"/>
        </w:rPr>
        <w:t>cts of the controlling shareholder and investees</w:t>
      </w:r>
    </w:p>
    <w:tbl>
      <w:tblPr>
        <w:tblW w:w="9638" w:type="dxa"/>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2693"/>
        <w:gridCol w:w="1015"/>
        <w:gridCol w:w="1016"/>
        <w:gridCol w:w="3640"/>
        <w:gridCol w:w="1274"/>
      </w:tblGrid>
      <w:tr w:rsidR="008C707F" w:rsidRPr="00960237" w14:paraId="0B9DF0F2" w14:textId="77777777" w:rsidTr="00D3472F">
        <w:trPr>
          <w:trHeight w:hRule="exact" w:val="283"/>
        </w:trPr>
        <w:tc>
          <w:tcPr>
            <w:tcW w:w="2693" w:type="dxa"/>
            <w:vMerge w:val="restart"/>
            <w:tcBorders>
              <w:top w:val="single" w:sz="2" w:space="0" w:color="1F4E79" w:themeColor="accent1" w:themeShade="80"/>
              <w:bottom w:val="nil"/>
            </w:tcBorders>
            <w:hideMark/>
          </w:tcPr>
          <w:p w14:paraId="2317E239" w14:textId="77777777" w:rsidR="008C707F" w:rsidRPr="002F6C78" w:rsidRDefault="008C707F" w:rsidP="0003725A">
            <w:pPr>
              <w:pStyle w:val="08-Tabelageral"/>
              <w:jc w:val="center"/>
              <w:rPr>
                <w:rFonts w:cs="Arial"/>
                <w:b/>
                <w:bCs/>
                <w:szCs w:val="14"/>
                <w:lang w:eastAsia="en-US"/>
              </w:rPr>
            </w:pPr>
            <w:r w:rsidRPr="002F6C78">
              <w:rPr>
                <w:rFonts w:cs="Arial"/>
                <w:b/>
                <w:bCs/>
                <w:szCs w:val="14"/>
                <w:lang w:val="en-US" w:eastAsia="en-US"/>
              </w:rPr>
              <w:t>Contracting Party</w:t>
            </w:r>
          </w:p>
        </w:tc>
        <w:tc>
          <w:tcPr>
            <w:tcW w:w="2031" w:type="dxa"/>
            <w:gridSpan w:val="2"/>
            <w:tcBorders>
              <w:top w:val="single" w:sz="2" w:space="0" w:color="1F4E79" w:themeColor="accent1" w:themeShade="80"/>
              <w:bottom w:val="nil"/>
            </w:tcBorders>
            <w:hideMark/>
          </w:tcPr>
          <w:p w14:paraId="664E7A50" w14:textId="77777777" w:rsidR="008C707F" w:rsidRPr="002F6C78" w:rsidRDefault="008C707F" w:rsidP="0003725A">
            <w:pPr>
              <w:pStyle w:val="08-Tabelageral"/>
              <w:ind w:right="-57"/>
              <w:jc w:val="center"/>
              <w:rPr>
                <w:rFonts w:cs="Arial"/>
                <w:b/>
                <w:bCs/>
                <w:szCs w:val="14"/>
                <w:lang w:eastAsia="en-US"/>
              </w:rPr>
            </w:pPr>
            <w:r w:rsidRPr="002F6C78">
              <w:rPr>
                <w:rFonts w:cs="Arial"/>
                <w:b/>
                <w:bCs/>
                <w:szCs w:val="14"/>
                <w:lang w:val="en-US" w:eastAsia="en-US"/>
              </w:rPr>
              <w:t>Contract Dates</w:t>
            </w:r>
          </w:p>
        </w:tc>
        <w:tc>
          <w:tcPr>
            <w:tcW w:w="3640" w:type="dxa"/>
            <w:vMerge w:val="restart"/>
            <w:tcBorders>
              <w:top w:val="single" w:sz="2" w:space="0" w:color="1F4E79" w:themeColor="accent1" w:themeShade="80"/>
              <w:bottom w:val="nil"/>
            </w:tcBorders>
            <w:hideMark/>
          </w:tcPr>
          <w:p w14:paraId="6BB729D6" w14:textId="77777777" w:rsidR="008C707F" w:rsidRPr="002F6C78" w:rsidRDefault="008C707F" w:rsidP="0003725A">
            <w:pPr>
              <w:pStyle w:val="08-Tabelageral"/>
              <w:ind w:right="-57"/>
              <w:jc w:val="center"/>
              <w:rPr>
                <w:rFonts w:cs="Arial"/>
                <w:b/>
                <w:bCs/>
                <w:szCs w:val="14"/>
                <w:lang w:eastAsia="en-US"/>
              </w:rPr>
            </w:pPr>
            <w:r w:rsidRPr="002F6C78">
              <w:rPr>
                <w:rFonts w:cs="Arial"/>
                <w:b/>
                <w:bCs/>
                <w:szCs w:val="14"/>
                <w:lang w:val="en-US" w:eastAsia="en-US"/>
              </w:rPr>
              <w:t>Nature of the Service</w:t>
            </w:r>
          </w:p>
        </w:tc>
        <w:tc>
          <w:tcPr>
            <w:tcW w:w="1274" w:type="dxa"/>
            <w:vMerge w:val="restart"/>
            <w:tcBorders>
              <w:top w:val="single" w:sz="2" w:space="0" w:color="1F4E79" w:themeColor="accent1" w:themeShade="80"/>
              <w:bottom w:val="nil"/>
            </w:tcBorders>
            <w:hideMark/>
          </w:tcPr>
          <w:p w14:paraId="6CCCE5EF" w14:textId="77777777" w:rsidR="008C707F" w:rsidRPr="002F6C78" w:rsidRDefault="008C707F" w:rsidP="0003725A">
            <w:pPr>
              <w:pStyle w:val="08-Tabelageral"/>
              <w:ind w:right="-57"/>
              <w:jc w:val="center"/>
              <w:rPr>
                <w:rFonts w:cs="Arial"/>
                <w:b/>
                <w:bCs/>
                <w:szCs w:val="14"/>
                <w:lang w:val="en-US" w:eastAsia="en-US"/>
              </w:rPr>
            </w:pPr>
            <w:r w:rsidRPr="002F6C78">
              <w:rPr>
                <w:rFonts w:cs="Arial"/>
                <w:b/>
                <w:bCs/>
                <w:szCs w:val="14"/>
                <w:lang w:val="en-US" w:eastAsia="en-US"/>
              </w:rPr>
              <w:t>Total amount of fees (R$)</w:t>
            </w:r>
          </w:p>
        </w:tc>
      </w:tr>
      <w:tr w:rsidR="008C707F" w:rsidRPr="000A0843" w14:paraId="7B750A9E" w14:textId="77777777" w:rsidTr="00D3472F">
        <w:trPr>
          <w:trHeight w:hRule="exact" w:val="238"/>
        </w:trPr>
        <w:tc>
          <w:tcPr>
            <w:tcW w:w="0" w:type="auto"/>
            <w:vMerge/>
            <w:tcBorders>
              <w:top w:val="nil"/>
              <w:bottom w:val="single" w:sz="2" w:space="0" w:color="1F4E79" w:themeColor="accent1" w:themeShade="80"/>
            </w:tcBorders>
            <w:hideMark/>
          </w:tcPr>
          <w:p w14:paraId="453135C7" w14:textId="77777777" w:rsidR="008C707F" w:rsidRPr="0003725A" w:rsidRDefault="008C707F" w:rsidP="00D72BBC">
            <w:pPr>
              <w:rPr>
                <w:rFonts w:eastAsia="Times New Roman" w:cs="Arial"/>
                <w:spacing w:val="-2"/>
                <w:sz w:val="14"/>
                <w:szCs w:val="14"/>
                <w:lang w:val="en-US"/>
              </w:rPr>
            </w:pPr>
          </w:p>
        </w:tc>
        <w:tc>
          <w:tcPr>
            <w:tcW w:w="1015" w:type="dxa"/>
            <w:tcBorders>
              <w:top w:val="nil"/>
              <w:bottom w:val="single" w:sz="2" w:space="0" w:color="1F4E79" w:themeColor="accent1" w:themeShade="80"/>
            </w:tcBorders>
            <w:hideMark/>
          </w:tcPr>
          <w:p w14:paraId="0BE8E02C" w14:textId="77777777" w:rsidR="008C707F" w:rsidRPr="00DE647D" w:rsidRDefault="008C707F" w:rsidP="00D72BBC">
            <w:pPr>
              <w:pStyle w:val="08-Tabelageral"/>
              <w:jc w:val="center"/>
              <w:rPr>
                <w:rFonts w:cs="Arial"/>
                <w:b/>
                <w:bCs/>
                <w:szCs w:val="14"/>
                <w:lang w:eastAsia="en-US"/>
              </w:rPr>
            </w:pPr>
            <w:r w:rsidRPr="00DE647D">
              <w:rPr>
                <w:rFonts w:cs="Arial"/>
                <w:b/>
                <w:szCs w:val="14"/>
                <w:lang w:eastAsia="en-US"/>
              </w:rPr>
              <w:t>Início</w:t>
            </w:r>
          </w:p>
        </w:tc>
        <w:tc>
          <w:tcPr>
            <w:tcW w:w="1016" w:type="dxa"/>
            <w:tcBorders>
              <w:top w:val="nil"/>
              <w:bottom w:val="single" w:sz="2" w:space="0" w:color="1F4E79" w:themeColor="accent1" w:themeShade="80"/>
            </w:tcBorders>
            <w:hideMark/>
          </w:tcPr>
          <w:p w14:paraId="7FECB965" w14:textId="77777777" w:rsidR="008C707F" w:rsidRPr="00DE647D" w:rsidRDefault="008C707F" w:rsidP="00D72BBC">
            <w:pPr>
              <w:pStyle w:val="08-Tabelageral"/>
              <w:ind w:right="-57"/>
              <w:jc w:val="center"/>
              <w:rPr>
                <w:rFonts w:cs="Arial"/>
                <w:b/>
                <w:szCs w:val="14"/>
                <w:lang w:eastAsia="en-US"/>
              </w:rPr>
            </w:pPr>
            <w:r w:rsidRPr="00DE647D">
              <w:rPr>
                <w:rFonts w:cs="Arial"/>
                <w:b/>
                <w:szCs w:val="14"/>
                <w:lang w:eastAsia="en-US"/>
              </w:rPr>
              <w:t>Fim</w:t>
            </w:r>
          </w:p>
        </w:tc>
        <w:tc>
          <w:tcPr>
            <w:tcW w:w="0" w:type="auto"/>
            <w:vMerge/>
            <w:tcBorders>
              <w:top w:val="nil"/>
              <w:bottom w:val="single" w:sz="2" w:space="0" w:color="1F4E79" w:themeColor="accent1" w:themeShade="80"/>
            </w:tcBorders>
            <w:hideMark/>
          </w:tcPr>
          <w:p w14:paraId="3791477C" w14:textId="77777777" w:rsidR="008C707F" w:rsidRPr="00DE647D" w:rsidRDefault="008C707F" w:rsidP="00D72BBC">
            <w:pPr>
              <w:rPr>
                <w:rFonts w:eastAsia="Times New Roman" w:cs="Arial"/>
                <w:b/>
                <w:bCs/>
                <w:spacing w:val="-2"/>
                <w:sz w:val="14"/>
                <w:szCs w:val="14"/>
              </w:rPr>
            </w:pPr>
          </w:p>
        </w:tc>
        <w:tc>
          <w:tcPr>
            <w:tcW w:w="0" w:type="auto"/>
            <w:vMerge/>
            <w:tcBorders>
              <w:top w:val="nil"/>
              <w:bottom w:val="single" w:sz="2" w:space="0" w:color="1F4E79" w:themeColor="accent1" w:themeShade="80"/>
            </w:tcBorders>
            <w:hideMark/>
          </w:tcPr>
          <w:p w14:paraId="5B703A2F" w14:textId="77777777" w:rsidR="008C707F" w:rsidRPr="00DE647D" w:rsidRDefault="008C707F" w:rsidP="00D72BBC">
            <w:pPr>
              <w:rPr>
                <w:rFonts w:eastAsia="Times New Roman" w:cs="Arial"/>
                <w:b/>
                <w:bCs/>
                <w:spacing w:val="-2"/>
                <w:sz w:val="14"/>
                <w:szCs w:val="14"/>
              </w:rPr>
            </w:pPr>
          </w:p>
        </w:tc>
      </w:tr>
      <w:tr w:rsidR="008C707F" w:rsidRPr="000A0843" w14:paraId="7B646508" w14:textId="77777777" w:rsidTr="002F6C78">
        <w:trPr>
          <w:trHeight w:hRule="exact" w:val="1177"/>
        </w:trPr>
        <w:tc>
          <w:tcPr>
            <w:tcW w:w="2693" w:type="dxa"/>
            <w:tcBorders>
              <w:top w:val="single" w:sz="2" w:space="0" w:color="1F4E79" w:themeColor="accent1" w:themeShade="80"/>
              <w:bottom w:val="nil"/>
            </w:tcBorders>
            <w:hideMark/>
          </w:tcPr>
          <w:p w14:paraId="54253EAB" w14:textId="77777777" w:rsidR="008C707F" w:rsidRPr="00DE647D" w:rsidRDefault="008C707F" w:rsidP="00D72BBC">
            <w:pPr>
              <w:pStyle w:val="08-Tabelageral"/>
              <w:jc w:val="left"/>
              <w:rPr>
                <w:rFonts w:cs="Arial"/>
                <w:b/>
                <w:snapToGrid w:val="0"/>
                <w:szCs w:val="14"/>
                <w:lang w:eastAsia="en-US"/>
              </w:rPr>
            </w:pPr>
            <w:r w:rsidRPr="00DE647D">
              <w:rPr>
                <w:rFonts w:cs="Arial"/>
                <w:szCs w:val="14"/>
                <w:lang w:eastAsia="en-US"/>
              </w:rPr>
              <w:t>Banco do Brasil S.A.</w:t>
            </w:r>
          </w:p>
        </w:tc>
        <w:tc>
          <w:tcPr>
            <w:tcW w:w="1015" w:type="dxa"/>
            <w:tcBorders>
              <w:top w:val="single" w:sz="2" w:space="0" w:color="1F4E79" w:themeColor="accent1" w:themeShade="80"/>
              <w:bottom w:val="nil"/>
            </w:tcBorders>
            <w:hideMark/>
          </w:tcPr>
          <w:p w14:paraId="33E1F5EC" w14:textId="77777777" w:rsidR="008C707F" w:rsidRPr="00DE647D" w:rsidRDefault="008C707F" w:rsidP="00D72BBC">
            <w:pPr>
              <w:pStyle w:val="08-Tabelageral"/>
              <w:jc w:val="center"/>
              <w:rPr>
                <w:rFonts w:cs="Arial"/>
                <w:szCs w:val="14"/>
                <w:lang w:eastAsia="en-US"/>
              </w:rPr>
            </w:pPr>
            <w:r w:rsidRPr="00DE647D">
              <w:rPr>
                <w:rFonts w:cs="Arial"/>
                <w:szCs w:val="14"/>
                <w:lang w:eastAsia="en-US"/>
              </w:rPr>
              <w:t>03/</w:t>
            </w:r>
            <w:r>
              <w:rPr>
                <w:rFonts w:cs="Arial"/>
                <w:szCs w:val="14"/>
                <w:lang w:eastAsia="en-US"/>
              </w:rPr>
              <w:t>22/</w:t>
            </w:r>
            <w:r w:rsidRPr="00DE647D">
              <w:rPr>
                <w:rFonts w:cs="Arial"/>
                <w:szCs w:val="14"/>
                <w:lang w:eastAsia="en-US"/>
              </w:rPr>
              <w:t>2019</w:t>
            </w:r>
          </w:p>
        </w:tc>
        <w:tc>
          <w:tcPr>
            <w:tcW w:w="1016" w:type="dxa"/>
            <w:tcBorders>
              <w:top w:val="single" w:sz="2" w:space="0" w:color="1F4E79" w:themeColor="accent1" w:themeShade="80"/>
              <w:bottom w:val="nil"/>
            </w:tcBorders>
            <w:hideMark/>
          </w:tcPr>
          <w:p w14:paraId="7EA4235D" w14:textId="77777777" w:rsidR="008C707F" w:rsidRPr="00DE647D" w:rsidRDefault="008C707F" w:rsidP="00D72BBC">
            <w:pPr>
              <w:pStyle w:val="08-Tabelageral"/>
              <w:jc w:val="center"/>
              <w:rPr>
                <w:rFonts w:cs="Arial"/>
                <w:szCs w:val="14"/>
                <w:lang w:eastAsia="en-US"/>
              </w:rPr>
            </w:pPr>
            <w:r w:rsidRPr="00DE647D">
              <w:rPr>
                <w:rFonts w:cs="Arial"/>
                <w:szCs w:val="14"/>
                <w:lang w:eastAsia="en-US"/>
              </w:rPr>
              <w:t>03/</w:t>
            </w:r>
            <w:r>
              <w:rPr>
                <w:rFonts w:cs="Arial"/>
                <w:szCs w:val="14"/>
                <w:lang w:eastAsia="en-US"/>
              </w:rPr>
              <w:t>22/</w:t>
            </w:r>
            <w:r w:rsidRPr="00DE647D">
              <w:rPr>
                <w:rFonts w:cs="Arial"/>
                <w:szCs w:val="14"/>
                <w:lang w:eastAsia="en-US"/>
              </w:rPr>
              <w:t>202</w:t>
            </w:r>
            <w:r>
              <w:rPr>
                <w:rFonts w:cs="Arial"/>
                <w:szCs w:val="14"/>
                <w:lang w:eastAsia="en-US"/>
              </w:rPr>
              <w:t>3</w:t>
            </w:r>
          </w:p>
        </w:tc>
        <w:tc>
          <w:tcPr>
            <w:tcW w:w="3640" w:type="dxa"/>
            <w:tcBorders>
              <w:top w:val="single" w:sz="2" w:space="0" w:color="1F4E79" w:themeColor="accent1" w:themeShade="80"/>
              <w:bottom w:val="nil"/>
            </w:tcBorders>
            <w:hideMark/>
          </w:tcPr>
          <w:p w14:paraId="79EDB5AC" w14:textId="77777777" w:rsidR="008C707F" w:rsidRPr="0003725A" w:rsidRDefault="008C707F" w:rsidP="00D72BBC">
            <w:pPr>
              <w:pStyle w:val="08-Tabelageral"/>
              <w:jc w:val="center"/>
              <w:rPr>
                <w:rFonts w:cs="Arial"/>
                <w:szCs w:val="14"/>
                <w:lang w:val="en-US" w:eastAsia="en-US"/>
              </w:rPr>
            </w:pPr>
            <w:r w:rsidRPr="00DE647D">
              <w:rPr>
                <w:rFonts w:cs="Arial"/>
                <w:szCs w:val="14"/>
                <w:lang w:val="en-US" w:eastAsia="en-US"/>
              </w:rPr>
              <w:t>Accounting audit services on the financial statements of the Banco do Brasil Conglomerate, prepared in accordance with accounting practices adopted in Brazil and with international financial reporting standards (IFRS) and other related services</w:t>
            </w:r>
          </w:p>
        </w:tc>
        <w:tc>
          <w:tcPr>
            <w:tcW w:w="1274" w:type="dxa"/>
            <w:tcBorders>
              <w:top w:val="single" w:sz="2" w:space="0" w:color="1F4E79" w:themeColor="accent1" w:themeShade="80"/>
              <w:bottom w:val="nil"/>
            </w:tcBorders>
            <w:hideMark/>
          </w:tcPr>
          <w:p w14:paraId="2F5F704F" w14:textId="77777777" w:rsidR="008C707F" w:rsidRPr="00DE647D" w:rsidRDefault="008C707F" w:rsidP="00D72BBC">
            <w:pPr>
              <w:spacing w:before="40" w:after="40"/>
              <w:jc w:val="right"/>
              <w:rPr>
                <w:rFonts w:cs="Arial"/>
                <w:sz w:val="14"/>
                <w:szCs w:val="14"/>
              </w:rPr>
            </w:pPr>
            <w:r w:rsidRPr="00177905">
              <w:rPr>
                <w:rFonts w:cs="Arial"/>
                <w:sz w:val="14"/>
                <w:szCs w:val="14"/>
              </w:rPr>
              <w:t>21</w:t>
            </w:r>
            <w:r>
              <w:rPr>
                <w:rFonts w:cs="Arial"/>
                <w:sz w:val="14"/>
                <w:szCs w:val="14"/>
              </w:rPr>
              <w:t>,</w:t>
            </w:r>
            <w:r w:rsidRPr="00177905">
              <w:rPr>
                <w:rFonts w:cs="Arial"/>
                <w:sz w:val="14"/>
                <w:szCs w:val="14"/>
              </w:rPr>
              <w:t>435</w:t>
            </w:r>
            <w:r>
              <w:rPr>
                <w:rFonts w:cs="Arial"/>
                <w:sz w:val="14"/>
                <w:szCs w:val="14"/>
              </w:rPr>
              <w:t>,</w:t>
            </w:r>
            <w:r w:rsidRPr="00177905">
              <w:rPr>
                <w:rFonts w:cs="Arial"/>
                <w:sz w:val="14"/>
                <w:szCs w:val="14"/>
              </w:rPr>
              <w:t>276</w:t>
            </w:r>
            <w:r>
              <w:rPr>
                <w:rFonts w:cs="Arial"/>
                <w:sz w:val="14"/>
                <w:szCs w:val="14"/>
              </w:rPr>
              <w:t>.</w:t>
            </w:r>
            <w:r w:rsidRPr="00177905">
              <w:rPr>
                <w:rFonts w:cs="Arial"/>
                <w:sz w:val="14"/>
                <w:szCs w:val="14"/>
              </w:rPr>
              <w:t>7</w:t>
            </w:r>
            <w:r>
              <w:rPr>
                <w:rFonts w:cs="Arial"/>
                <w:sz w:val="14"/>
                <w:szCs w:val="14"/>
              </w:rPr>
              <w:t>8</w:t>
            </w:r>
          </w:p>
        </w:tc>
      </w:tr>
      <w:tr w:rsidR="008C707F" w:rsidRPr="00DE647D" w14:paraId="4CE42DAC" w14:textId="77777777" w:rsidTr="002F6C78">
        <w:trPr>
          <w:trHeight w:hRule="exact" w:val="456"/>
        </w:trPr>
        <w:tc>
          <w:tcPr>
            <w:tcW w:w="2693" w:type="dxa"/>
            <w:tcBorders>
              <w:top w:val="nil"/>
            </w:tcBorders>
            <w:hideMark/>
          </w:tcPr>
          <w:p w14:paraId="5584D80B" w14:textId="77777777" w:rsidR="008C707F" w:rsidRPr="00DE647D" w:rsidRDefault="008C707F" w:rsidP="0003725A">
            <w:pPr>
              <w:pStyle w:val="08-Tabelageral"/>
              <w:jc w:val="left"/>
              <w:rPr>
                <w:rFonts w:cs="Arial"/>
                <w:b/>
                <w:snapToGrid w:val="0"/>
                <w:szCs w:val="14"/>
                <w:lang w:eastAsia="en-US"/>
              </w:rPr>
            </w:pPr>
            <w:r w:rsidRPr="00DE647D">
              <w:rPr>
                <w:rFonts w:cs="Arial"/>
                <w:szCs w:val="14"/>
                <w:lang w:eastAsia="en-US"/>
              </w:rPr>
              <w:t>Brasilcap Capitalização S.A.</w:t>
            </w:r>
          </w:p>
        </w:tc>
        <w:tc>
          <w:tcPr>
            <w:tcW w:w="1015" w:type="dxa"/>
            <w:tcBorders>
              <w:top w:val="nil"/>
            </w:tcBorders>
            <w:hideMark/>
          </w:tcPr>
          <w:p w14:paraId="64610CD0" w14:textId="77777777" w:rsidR="008C707F" w:rsidRPr="00DE647D" w:rsidRDefault="008C707F" w:rsidP="0003725A">
            <w:pPr>
              <w:pStyle w:val="08-Tabelageral"/>
              <w:jc w:val="center"/>
              <w:rPr>
                <w:rFonts w:cs="Arial"/>
                <w:szCs w:val="14"/>
                <w:lang w:eastAsia="en-US"/>
              </w:rPr>
            </w:pPr>
            <w:r w:rsidRPr="00DE647D">
              <w:rPr>
                <w:rFonts w:cs="Arial"/>
                <w:szCs w:val="14"/>
                <w:lang w:eastAsia="en-US"/>
              </w:rPr>
              <w:t>04/</w:t>
            </w:r>
            <w:r>
              <w:rPr>
                <w:rFonts w:cs="Arial"/>
                <w:szCs w:val="14"/>
                <w:lang w:eastAsia="en-US"/>
              </w:rPr>
              <w:t>26/</w:t>
            </w:r>
            <w:r w:rsidRPr="00DE647D">
              <w:rPr>
                <w:rFonts w:cs="Arial"/>
                <w:szCs w:val="14"/>
                <w:lang w:eastAsia="en-US"/>
              </w:rPr>
              <w:t>2021</w:t>
            </w:r>
          </w:p>
        </w:tc>
        <w:tc>
          <w:tcPr>
            <w:tcW w:w="1016" w:type="dxa"/>
            <w:tcBorders>
              <w:top w:val="nil"/>
            </w:tcBorders>
            <w:hideMark/>
          </w:tcPr>
          <w:p w14:paraId="7A357A33" w14:textId="77777777" w:rsidR="008C707F" w:rsidRPr="00DE647D" w:rsidRDefault="008C707F" w:rsidP="0003725A">
            <w:pPr>
              <w:pStyle w:val="08-Tabelageral"/>
              <w:jc w:val="center"/>
              <w:rPr>
                <w:rFonts w:cs="Arial"/>
                <w:szCs w:val="14"/>
                <w:lang w:eastAsia="en-US"/>
              </w:rPr>
            </w:pPr>
            <w:r w:rsidRPr="00DE647D">
              <w:rPr>
                <w:rFonts w:cs="Arial"/>
                <w:szCs w:val="14"/>
                <w:lang w:eastAsia="en-US"/>
              </w:rPr>
              <w:t>04/</w:t>
            </w:r>
            <w:r>
              <w:rPr>
                <w:rFonts w:cs="Arial"/>
                <w:szCs w:val="14"/>
                <w:lang w:eastAsia="en-US"/>
              </w:rPr>
              <w:t>25/</w:t>
            </w:r>
            <w:r w:rsidRPr="00DE647D">
              <w:rPr>
                <w:rFonts w:cs="Arial"/>
                <w:szCs w:val="14"/>
                <w:lang w:eastAsia="en-US"/>
              </w:rPr>
              <w:t>2023</w:t>
            </w:r>
          </w:p>
        </w:tc>
        <w:tc>
          <w:tcPr>
            <w:tcW w:w="3640" w:type="dxa"/>
            <w:tcBorders>
              <w:top w:val="nil"/>
            </w:tcBorders>
            <w:hideMark/>
          </w:tcPr>
          <w:p w14:paraId="709DF348" w14:textId="77777777" w:rsidR="008C707F" w:rsidRPr="0003725A" w:rsidRDefault="008C707F" w:rsidP="0003725A">
            <w:pPr>
              <w:pStyle w:val="08-Tabelageral"/>
              <w:jc w:val="center"/>
              <w:rPr>
                <w:rFonts w:cs="Arial"/>
                <w:color w:val="000000"/>
                <w:szCs w:val="14"/>
                <w:lang w:val="en-US" w:eastAsia="en-US"/>
              </w:rPr>
            </w:pPr>
            <w:r w:rsidRPr="00DE647D">
              <w:rPr>
                <w:rFonts w:cs="Arial"/>
                <w:color w:val="000000"/>
                <w:szCs w:val="14"/>
                <w:lang w:val="en-US" w:eastAsia="en-US"/>
              </w:rPr>
              <w:t>Accounting audit on the financial statements for the 2021 and 2022 fiscal years</w:t>
            </w:r>
          </w:p>
        </w:tc>
        <w:tc>
          <w:tcPr>
            <w:tcW w:w="1274" w:type="dxa"/>
            <w:tcBorders>
              <w:top w:val="nil"/>
            </w:tcBorders>
            <w:hideMark/>
          </w:tcPr>
          <w:p w14:paraId="768AFBA0" w14:textId="77777777" w:rsidR="008C707F" w:rsidRPr="00DE647D" w:rsidRDefault="008C707F" w:rsidP="0003725A">
            <w:pPr>
              <w:spacing w:before="40" w:after="40"/>
              <w:jc w:val="right"/>
              <w:rPr>
                <w:rFonts w:cs="Arial"/>
                <w:sz w:val="14"/>
                <w:szCs w:val="14"/>
              </w:rPr>
            </w:pPr>
            <w:r w:rsidRPr="00DE647D">
              <w:rPr>
                <w:rFonts w:cs="Arial"/>
                <w:sz w:val="14"/>
                <w:szCs w:val="14"/>
              </w:rPr>
              <w:t>814</w:t>
            </w:r>
            <w:r>
              <w:rPr>
                <w:rFonts w:cs="Arial"/>
                <w:sz w:val="14"/>
                <w:szCs w:val="14"/>
              </w:rPr>
              <w:t>,</w:t>
            </w:r>
            <w:r w:rsidRPr="00DE647D">
              <w:rPr>
                <w:rFonts w:cs="Arial"/>
                <w:sz w:val="14"/>
                <w:szCs w:val="14"/>
              </w:rPr>
              <w:t>000</w:t>
            </w:r>
            <w:r>
              <w:rPr>
                <w:rFonts w:cs="Arial"/>
                <w:sz w:val="14"/>
                <w:szCs w:val="14"/>
              </w:rPr>
              <w:t>.</w:t>
            </w:r>
            <w:r w:rsidRPr="00DE647D">
              <w:rPr>
                <w:rFonts w:cs="Arial"/>
                <w:sz w:val="14"/>
                <w:szCs w:val="14"/>
              </w:rPr>
              <w:t>00</w:t>
            </w:r>
          </w:p>
        </w:tc>
      </w:tr>
      <w:tr w:rsidR="008C707F" w:rsidRPr="000A0843" w14:paraId="236D1D64" w14:textId="77777777" w:rsidTr="002F6C78">
        <w:trPr>
          <w:trHeight w:hRule="exact" w:val="454"/>
        </w:trPr>
        <w:tc>
          <w:tcPr>
            <w:tcW w:w="2693" w:type="dxa"/>
          </w:tcPr>
          <w:p w14:paraId="68B905C2" w14:textId="77777777" w:rsidR="008C707F" w:rsidRPr="00B953D1" w:rsidRDefault="008C707F" w:rsidP="00D72BBC">
            <w:pPr>
              <w:pStyle w:val="08-Tabelageral"/>
              <w:jc w:val="left"/>
              <w:rPr>
                <w:rFonts w:cs="Arial"/>
                <w:szCs w:val="14"/>
                <w:lang w:eastAsia="en-US"/>
              </w:rPr>
            </w:pPr>
            <w:r w:rsidRPr="00DE647D">
              <w:rPr>
                <w:rFonts w:cs="Arial"/>
                <w:szCs w:val="14"/>
                <w:lang w:eastAsia="en-US"/>
              </w:rPr>
              <w:t>Brasilcap Capitalização S.A.</w:t>
            </w:r>
          </w:p>
        </w:tc>
        <w:tc>
          <w:tcPr>
            <w:tcW w:w="1015" w:type="dxa"/>
          </w:tcPr>
          <w:p w14:paraId="1D1EE15C" w14:textId="77777777" w:rsidR="008C707F" w:rsidRPr="00B953D1" w:rsidRDefault="008C707F" w:rsidP="00D72BBC">
            <w:pPr>
              <w:pStyle w:val="08-Tabelageral"/>
              <w:jc w:val="center"/>
              <w:rPr>
                <w:rFonts w:cs="Arial"/>
                <w:szCs w:val="14"/>
                <w:lang w:eastAsia="en-US"/>
              </w:rPr>
            </w:pPr>
            <w:r>
              <w:rPr>
                <w:rFonts w:cs="Arial"/>
                <w:szCs w:val="14"/>
                <w:lang w:eastAsia="en-US"/>
              </w:rPr>
              <w:t>12/19/2022</w:t>
            </w:r>
          </w:p>
        </w:tc>
        <w:tc>
          <w:tcPr>
            <w:tcW w:w="1016" w:type="dxa"/>
          </w:tcPr>
          <w:p w14:paraId="44B83FE4" w14:textId="77777777" w:rsidR="008C707F" w:rsidRPr="00B953D1" w:rsidRDefault="008C707F" w:rsidP="00D72BBC">
            <w:pPr>
              <w:pStyle w:val="08-Tabelageral"/>
              <w:jc w:val="center"/>
              <w:rPr>
                <w:rFonts w:cs="Arial"/>
                <w:szCs w:val="14"/>
                <w:lang w:eastAsia="en-US"/>
              </w:rPr>
            </w:pPr>
            <w:r>
              <w:rPr>
                <w:rFonts w:cs="Arial"/>
                <w:szCs w:val="14"/>
                <w:lang w:eastAsia="en-US"/>
              </w:rPr>
              <w:t>04/30/2023</w:t>
            </w:r>
          </w:p>
        </w:tc>
        <w:tc>
          <w:tcPr>
            <w:tcW w:w="3640" w:type="dxa"/>
          </w:tcPr>
          <w:p w14:paraId="6B77F3E1" w14:textId="77777777" w:rsidR="008C707F" w:rsidRPr="0003725A" w:rsidRDefault="008C707F" w:rsidP="00D72BBC">
            <w:pPr>
              <w:pStyle w:val="08-Tabelageral"/>
              <w:jc w:val="center"/>
              <w:rPr>
                <w:rFonts w:cs="Arial"/>
                <w:szCs w:val="14"/>
                <w:lang w:val="en-US" w:eastAsia="en-US"/>
              </w:rPr>
            </w:pPr>
            <w:r w:rsidRPr="0003725A">
              <w:rPr>
                <w:rFonts w:cs="Arial"/>
                <w:szCs w:val="14"/>
                <w:lang w:val="en-US" w:eastAsia="en-US"/>
              </w:rPr>
              <w:t xml:space="preserve">Actuarial audit </w:t>
            </w:r>
            <w:r w:rsidRPr="00DE647D">
              <w:rPr>
                <w:rFonts w:cs="Arial"/>
                <w:color w:val="000000"/>
                <w:szCs w:val="14"/>
                <w:lang w:val="en-US" w:eastAsia="en-US"/>
              </w:rPr>
              <w:t>on the financial statements for the</w:t>
            </w:r>
            <w:r w:rsidRPr="0003725A">
              <w:rPr>
                <w:rFonts w:cs="Arial"/>
                <w:szCs w:val="14"/>
                <w:lang w:val="en-US" w:eastAsia="en-US"/>
              </w:rPr>
              <w:t xml:space="preserve"> fiscal y</w:t>
            </w:r>
            <w:r>
              <w:rPr>
                <w:rFonts w:cs="Arial"/>
                <w:szCs w:val="14"/>
                <w:lang w:val="en-US" w:eastAsia="en-US"/>
              </w:rPr>
              <w:t xml:space="preserve">ear </w:t>
            </w:r>
            <w:r w:rsidRPr="0003725A">
              <w:rPr>
                <w:rFonts w:cs="Arial"/>
                <w:szCs w:val="14"/>
                <w:lang w:val="en-US" w:eastAsia="en-US"/>
              </w:rPr>
              <w:t>2022.</w:t>
            </w:r>
          </w:p>
        </w:tc>
        <w:tc>
          <w:tcPr>
            <w:tcW w:w="1274" w:type="dxa"/>
          </w:tcPr>
          <w:p w14:paraId="73D3E7B6" w14:textId="77777777" w:rsidR="008C707F" w:rsidRDefault="008C707F" w:rsidP="00D72BBC">
            <w:pPr>
              <w:spacing w:before="40" w:after="40"/>
              <w:jc w:val="right"/>
              <w:rPr>
                <w:rFonts w:cs="Arial"/>
                <w:sz w:val="14"/>
                <w:szCs w:val="14"/>
              </w:rPr>
            </w:pPr>
            <w:r>
              <w:rPr>
                <w:rFonts w:cs="Arial"/>
                <w:sz w:val="14"/>
                <w:szCs w:val="14"/>
              </w:rPr>
              <w:t>72,000.00</w:t>
            </w:r>
          </w:p>
        </w:tc>
      </w:tr>
      <w:tr w:rsidR="008C707F" w:rsidRPr="000A0843" w14:paraId="36001313" w14:textId="77777777" w:rsidTr="002F6C78">
        <w:trPr>
          <w:trHeight w:hRule="exact" w:val="689"/>
        </w:trPr>
        <w:tc>
          <w:tcPr>
            <w:tcW w:w="2693" w:type="dxa"/>
            <w:hideMark/>
          </w:tcPr>
          <w:p w14:paraId="2C0D4AF0" w14:textId="77777777" w:rsidR="008C707F" w:rsidRPr="00B953D1" w:rsidRDefault="008C707F" w:rsidP="00D72BBC">
            <w:pPr>
              <w:pStyle w:val="08-Tabelageral"/>
              <w:jc w:val="left"/>
              <w:rPr>
                <w:rFonts w:cs="Arial"/>
                <w:b/>
                <w:szCs w:val="14"/>
                <w:lang w:eastAsia="en-US"/>
              </w:rPr>
            </w:pPr>
            <w:r w:rsidRPr="00B953D1">
              <w:rPr>
                <w:rFonts w:cs="Arial"/>
                <w:szCs w:val="14"/>
                <w:lang w:eastAsia="en-US"/>
              </w:rPr>
              <w:t>Brasilprev Seguros e Previdência S.A.</w:t>
            </w:r>
          </w:p>
        </w:tc>
        <w:tc>
          <w:tcPr>
            <w:tcW w:w="1015" w:type="dxa"/>
            <w:hideMark/>
          </w:tcPr>
          <w:p w14:paraId="1500A937" w14:textId="77777777" w:rsidR="008C707F" w:rsidRPr="00B953D1" w:rsidRDefault="008C707F" w:rsidP="00D72BBC">
            <w:pPr>
              <w:pStyle w:val="08-Tabelageral"/>
              <w:jc w:val="center"/>
              <w:rPr>
                <w:rFonts w:cs="Arial"/>
                <w:szCs w:val="14"/>
                <w:lang w:eastAsia="en-US"/>
              </w:rPr>
            </w:pPr>
            <w:r w:rsidRPr="00B953D1">
              <w:rPr>
                <w:rFonts w:cs="Arial"/>
                <w:szCs w:val="14"/>
                <w:lang w:eastAsia="en-US"/>
              </w:rPr>
              <w:t>03/</w:t>
            </w:r>
            <w:r>
              <w:rPr>
                <w:rFonts w:cs="Arial"/>
                <w:szCs w:val="14"/>
                <w:lang w:eastAsia="en-US"/>
              </w:rPr>
              <w:t>01/</w:t>
            </w:r>
            <w:r w:rsidRPr="00B953D1">
              <w:rPr>
                <w:rFonts w:cs="Arial"/>
                <w:szCs w:val="14"/>
                <w:lang w:eastAsia="en-US"/>
              </w:rPr>
              <w:t>2020</w:t>
            </w:r>
          </w:p>
        </w:tc>
        <w:tc>
          <w:tcPr>
            <w:tcW w:w="1016" w:type="dxa"/>
            <w:hideMark/>
          </w:tcPr>
          <w:p w14:paraId="55685628" w14:textId="77777777" w:rsidR="008C707F" w:rsidRPr="00B953D1" w:rsidRDefault="008C707F" w:rsidP="00D72BBC">
            <w:pPr>
              <w:pStyle w:val="08-Tabelageral"/>
              <w:jc w:val="center"/>
              <w:rPr>
                <w:rFonts w:cs="Arial"/>
                <w:szCs w:val="14"/>
                <w:lang w:eastAsia="en-US"/>
              </w:rPr>
            </w:pPr>
            <w:r w:rsidRPr="00B953D1">
              <w:rPr>
                <w:rFonts w:cs="Arial"/>
                <w:szCs w:val="14"/>
                <w:lang w:eastAsia="en-US"/>
              </w:rPr>
              <w:t>04/</w:t>
            </w:r>
            <w:r>
              <w:rPr>
                <w:rFonts w:cs="Arial"/>
                <w:szCs w:val="14"/>
                <w:lang w:eastAsia="en-US"/>
              </w:rPr>
              <w:t>30/</w:t>
            </w:r>
            <w:r w:rsidRPr="00B953D1">
              <w:rPr>
                <w:rFonts w:cs="Arial"/>
                <w:szCs w:val="14"/>
                <w:lang w:eastAsia="en-US"/>
              </w:rPr>
              <w:t>2025</w:t>
            </w:r>
          </w:p>
        </w:tc>
        <w:tc>
          <w:tcPr>
            <w:tcW w:w="3640" w:type="dxa"/>
            <w:hideMark/>
          </w:tcPr>
          <w:p w14:paraId="1EBE18B2" w14:textId="77777777" w:rsidR="008C707F" w:rsidRPr="0003725A" w:rsidRDefault="008C707F" w:rsidP="00D72BBC">
            <w:pPr>
              <w:pStyle w:val="08-Tabelageral"/>
              <w:jc w:val="center"/>
              <w:rPr>
                <w:rFonts w:cs="Arial"/>
                <w:szCs w:val="14"/>
                <w:lang w:val="en-US" w:eastAsia="en-US"/>
              </w:rPr>
            </w:pPr>
            <w:r w:rsidRPr="00B953D1">
              <w:rPr>
                <w:rFonts w:cs="Arial"/>
                <w:szCs w:val="14"/>
                <w:lang w:val="en-US" w:eastAsia="en-US"/>
              </w:rPr>
              <w:t>Audit contract covering the Accounting and Actuarial Audit for the semesters ended on</w:t>
            </w:r>
            <w:r w:rsidRPr="0003725A">
              <w:rPr>
                <w:rFonts w:cs="Arial"/>
                <w:szCs w:val="14"/>
                <w:lang w:val="en-US" w:eastAsia="en-US"/>
              </w:rPr>
              <w:t xml:space="preserve"> 06/</w:t>
            </w:r>
            <w:r>
              <w:rPr>
                <w:rFonts w:cs="Arial"/>
                <w:szCs w:val="14"/>
                <w:lang w:val="en-US" w:eastAsia="en-US"/>
              </w:rPr>
              <w:t>30/</w:t>
            </w:r>
            <w:r w:rsidRPr="0003725A">
              <w:rPr>
                <w:rFonts w:cs="Arial"/>
                <w:szCs w:val="14"/>
                <w:lang w:val="en-US" w:eastAsia="en-US"/>
              </w:rPr>
              <w:t xml:space="preserve">2020 </w:t>
            </w:r>
            <w:r>
              <w:rPr>
                <w:rFonts w:cs="Arial"/>
                <w:szCs w:val="14"/>
                <w:lang w:val="en-US" w:eastAsia="en-US"/>
              </w:rPr>
              <w:t>to</w:t>
            </w:r>
            <w:r w:rsidRPr="0003725A">
              <w:rPr>
                <w:rFonts w:cs="Arial"/>
                <w:szCs w:val="14"/>
                <w:lang w:val="en-US" w:eastAsia="en-US"/>
              </w:rPr>
              <w:t xml:space="preserve"> 12/</w:t>
            </w:r>
            <w:r>
              <w:rPr>
                <w:rFonts w:cs="Arial"/>
                <w:szCs w:val="14"/>
                <w:lang w:val="en-US" w:eastAsia="en-US"/>
              </w:rPr>
              <w:t>31/</w:t>
            </w:r>
            <w:r w:rsidRPr="0003725A">
              <w:rPr>
                <w:rFonts w:cs="Arial"/>
                <w:szCs w:val="14"/>
                <w:lang w:val="en-US" w:eastAsia="en-US"/>
              </w:rPr>
              <w:t>2024.</w:t>
            </w:r>
          </w:p>
        </w:tc>
        <w:tc>
          <w:tcPr>
            <w:tcW w:w="1274" w:type="dxa"/>
            <w:hideMark/>
          </w:tcPr>
          <w:p w14:paraId="7DC6282C" w14:textId="77777777" w:rsidR="008C707F" w:rsidRPr="00B953D1" w:rsidRDefault="008C707F" w:rsidP="00D72BBC">
            <w:pPr>
              <w:spacing w:before="40" w:after="40"/>
              <w:jc w:val="right"/>
              <w:rPr>
                <w:rFonts w:cs="Arial"/>
                <w:sz w:val="14"/>
                <w:szCs w:val="14"/>
              </w:rPr>
            </w:pPr>
            <w:r>
              <w:rPr>
                <w:rFonts w:cs="Arial"/>
                <w:sz w:val="14"/>
                <w:szCs w:val="14"/>
              </w:rPr>
              <w:t>889,906.28</w:t>
            </w:r>
          </w:p>
        </w:tc>
      </w:tr>
      <w:tr w:rsidR="008C707F" w:rsidRPr="000A0843" w14:paraId="61BDD1E7" w14:textId="77777777" w:rsidTr="002F6C78">
        <w:trPr>
          <w:trHeight w:hRule="exact" w:val="838"/>
        </w:trPr>
        <w:tc>
          <w:tcPr>
            <w:tcW w:w="2693" w:type="dxa"/>
          </w:tcPr>
          <w:p w14:paraId="3BE899BE" w14:textId="77777777" w:rsidR="008C707F" w:rsidRPr="00B953D1" w:rsidRDefault="008C707F" w:rsidP="00D72BBC">
            <w:pPr>
              <w:pStyle w:val="08-Tabelageral"/>
              <w:jc w:val="left"/>
              <w:rPr>
                <w:rFonts w:cs="Arial"/>
                <w:szCs w:val="14"/>
                <w:lang w:eastAsia="en-US"/>
              </w:rPr>
            </w:pPr>
            <w:r w:rsidRPr="00B953D1">
              <w:rPr>
                <w:rFonts w:cs="Arial"/>
                <w:szCs w:val="14"/>
                <w:lang w:eastAsia="en-US"/>
              </w:rPr>
              <w:t>Brasilprev Seguros e Previdência S.A.</w:t>
            </w:r>
          </w:p>
        </w:tc>
        <w:tc>
          <w:tcPr>
            <w:tcW w:w="1015" w:type="dxa"/>
          </w:tcPr>
          <w:p w14:paraId="655EDFB1" w14:textId="77777777" w:rsidR="008C707F" w:rsidRPr="00B953D1" w:rsidRDefault="008C707F" w:rsidP="00D72BBC">
            <w:pPr>
              <w:pStyle w:val="08-Tabelageral"/>
              <w:jc w:val="center"/>
              <w:rPr>
                <w:rFonts w:cs="Arial"/>
                <w:szCs w:val="14"/>
                <w:lang w:eastAsia="en-US"/>
              </w:rPr>
            </w:pPr>
            <w:r>
              <w:rPr>
                <w:rFonts w:cs="Arial"/>
                <w:szCs w:val="14"/>
                <w:lang w:eastAsia="en-US"/>
              </w:rPr>
              <w:t>12</w:t>
            </w:r>
            <w:r w:rsidRPr="00B953D1">
              <w:rPr>
                <w:rFonts w:cs="Arial"/>
                <w:szCs w:val="14"/>
                <w:lang w:eastAsia="en-US"/>
              </w:rPr>
              <w:t>/</w:t>
            </w:r>
            <w:r>
              <w:rPr>
                <w:rFonts w:cs="Arial"/>
                <w:szCs w:val="14"/>
                <w:lang w:eastAsia="en-US"/>
              </w:rPr>
              <w:t>01/</w:t>
            </w:r>
            <w:r w:rsidRPr="00B953D1">
              <w:rPr>
                <w:rFonts w:cs="Arial"/>
                <w:szCs w:val="14"/>
                <w:lang w:eastAsia="en-US"/>
              </w:rPr>
              <w:t>202</w:t>
            </w:r>
            <w:r>
              <w:rPr>
                <w:rFonts w:cs="Arial"/>
                <w:szCs w:val="14"/>
                <w:lang w:eastAsia="en-US"/>
              </w:rPr>
              <w:t>2</w:t>
            </w:r>
          </w:p>
        </w:tc>
        <w:tc>
          <w:tcPr>
            <w:tcW w:w="1016" w:type="dxa"/>
          </w:tcPr>
          <w:p w14:paraId="03B8890F" w14:textId="77777777" w:rsidR="008C707F" w:rsidRPr="00B953D1" w:rsidRDefault="008C707F" w:rsidP="00D72BBC">
            <w:pPr>
              <w:pStyle w:val="08-Tabelageral"/>
              <w:jc w:val="center"/>
              <w:rPr>
                <w:rFonts w:cs="Arial"/>
                <w:szCs w:val="14"/>
                <w:lang w:eastAsia="en-US"/>
              </w:rPr>
            </w:pPr>
            <w:r>
              <w:rPr>
                <w:rFonts w:cs="Arial"/>
                <w:szCs w:val="14"/>
                <w:lang w:eastAsia="en-US"/>
              </w:rPr>
              <w:t>12/31/2023</w:t>
            </w:r>
          </w:p>
        </w:tc>
        <w:tc>
          <w:tcPr>
            <w:tcW w:w="3640" w:type="dxa"/>
          </w:tcPr>
          <w:p w14:paraId="596EAC4F" w14:textId="77777777" w:rsidR="008C707F" w:rsidRPr="00B71316" w:rsidRDefault="008C707F" w:rsidP="00D72BBC">
            <w:pPr>
              <w:pStyle w:val="08-Tabelageral"/>
              <w:jc w:val="center"/>
              <w:rPr>
                <w:rFonts w:cs="Arial"/>
                <w:szCs w:val="14"/>
                <w:lang w:val="en-US" w:eastAsia="en-US"/>
              </w:rPr>
            </w:pPr>
            <w:r w:rsidRPr="00B71316">
              <w:rPr>
                <w:rFonts w:cs="Arial"/>
                <w:szCs w:val="14"/>
                <w:lang w:val="en-US" w:eastAsia="en-US"/>
              </w:rPr>
              <w:t>Audit contract of financial income tables according to IFRS rules fo</w:t>
            </w:r>
            <w:r>
              <w:rPr>
                <w:rFonts w:cs="Arial"/>
                <w:szCs w:val="14"/>
                <w:lang w:val="en-US" w:eastAsia="en-US"/>
              </w:rPr>
              <w:t>r 2022 and 2023</w:t>
            </w:r>
            <w:r w:rsidRPr="00B71316">
              <w:rPr>
                <w:rFonts w:cs="Arial"/>
                <w:szCs w:val="14"/>
                <w:lang w:val="en-US" w:eastAsia="en-US"/>
              </w:rPr>
              <w:t>.</w:t>
            </w:r>
          </w:p>
        </w:tc>
        <w:tc>
          <w:tcPr>
            <w:tcW w:w="1274" w:type="dxa"/>
          </w:tcPr>
          <w:p w14:paraId="05D544D2" w14:textId="77777777" w:rsidR="008C707F" w:rsidRDefault="008C707F" w:rsidP="00D72BBC">
            <w:pPr>
              <w:spacing w:before="40" w:after="40"/>
              <w:jc w:val="right"/>
              <w:rPr>
                <w:rFonts w:cs="Arial"/>
                <w:sz w:val="14"/>
                <w:szCs w:val="14"/>
              </w:rPr>
            </w:pPr>
            <w:r>
              <w:rPr>
                <w:rFonts w:cs="Arial"/>
                <w:sz w:val="14"/>
                <w:szCs w:val="14"/>
              </w:rPr>
              <w:t>1,032,680.80</w:t>
            </w:r>
          </w:p>
        </w:tc>
      </w:tr>
      <w:tr w:rsidR="008C707F" w:rsidRPr="000A0843" w14:paraId="7C0245CF" w14:textId="77777777" w:rsidTr="002F6C78">
        <w:trPr>
          <w:trHeight w:hRule="exact" w:val="689"/>
        </w:trPr>
        <w:tc>
          <w:tcPr>
            <w:tcW w:w="2693" w:type="dxa"/>
          </w:tcPr>
          <w:p w14:paraId="4A2A6BCD" w14:textId="77777777" w:rsidR="008C707F" w:rsidRPr="00B953D1" w:rsidRDefault="008C707F" w:rsidP="00D72BBC">
            <w:pPr>
              <w:pStyle w:val="08-Tabelageral"/>
              <w:jc w:val="left"/>
              <w:rPr>
                <w:rFonts w:cs="Arial"/>
                <w:szCs w:val="14"/>
                <w:lang w:eastAsia="en-US"/>
              </w:rPr>
            </w:pPr>
            <w:r>
              <w:rPr>
                <w:rFonts w:cs="Arial"/>
                <w:szCs w:val="14"/>
              </w:rPr>
              <w:t>Brasilprev Seguros e Previdência S.A.</w:t>
            </w:r>
          </w:p>
        </w:tc>
        <w:tc>
          <w:tcPr>
            <w:tcW w:w="1015" w:type="dxa"/>
          </w:tcPr>
          <w:p w14:paraId="58766BFE" w14:textId="77777777" w:rsidR="008C707F" w:rsidRPr="00B953D1" w:rsidRDefault="008C707F" w:rsidP="00D72BBC">
            <w:pPr>
              <w:pStyle w:val="08-Tabelageral"/>
              <w:jc w:val="center"/>
              <w:rPr>
                <w:rFonts w:cs="Arial"/>
                <w:szCs w:val="14"/>
                <w:lang w:eastAsia="en-US"/>
              </w:rPr>
            </w:pPr>
            <w:r w:rsidRPr="0018284F">
              <w:rPr>
                <w:rFonts w:cs="Arial"/>
                <w:szCs w:val="14"/>
              </w:rPr>
              <w:t>07/</w:t>
            </w:r>
            <w:r>
              <w:rPr>
                <w:rFonts w:cs="Arial"/>
                <w:szCs w:val="14"/>
              </w:rPr>
              <w:t>25/</w:t>
            </w:r>
            <w:r w:rsidRPr="0018284F">
              <w:rPr>
                <w:rFonts w:cs="Arial"/>
                <w:szCs w:val="14"/>
              </w:rPr>
              <w:t>2022</w:t>
            </w:r>
          </w:p>
        </w:tc>
        <w:tc>
          <w:tcPr>
            <w:tcW w:w="1016" w:type="dxa"/>
          </w:tcPr>
          <w:p w14:paraId="5219C4EA" w14:textId="77777777" w:rsidR="008C707F" w:rsidRPr="00B953D1" w:rsidRDefault="008C707F" w:rsidP="00D72BBC">
            <w:pPr>
              <w:pStyle w:val="08-Tabelageral"/>
              <w:jc w:val="center"/>
              <w:rPr>
                <w:rFonts w:cs="Arial"/>
                <w:szCs w:val="14"/>
                <w:lang w:eastAsia="en-US"/>
              </w:rPr>
            </w:pPr>
            <w:r w:rsidRPr="0018284F">
              <w:rPr>
                <w:rFonts w:cs="Arial"/>
                <w:szCs w:val="14"/>
              </w:rPr>
              <w:t>12/</w:t>
            </w:r>
            <w:r>
              <w:rPr>
                <w:rFonts w:cs="Arial"/>
                <w:szCs w:val="14"/>
              </w:rPr>
              <w:t>31/</w:t>
            </w:r>
            <w:r w:rsidRPr="0018284F">
              <w:rPr>
                <w:rFonts w:cs="Arial"/>
                <w:szCs w:val="14"/>
              </w:rPr>
              <w:t>2022</w:t>
            </w:r>
          </w:p>
        </w:tc>
        <w:tc>
          <w:tcPr>
            <w:tcW w:w="3640" w:type="dxa"/>
          </w:tcPr>
          <w:p w14:paraId="41A43673" w14:textId="77777777" w:rsidR="008C707F" w:rsidRPr="00B71316" w:rsidRDefault="008C707F" w:rsidP="00D72BBC">
            <w:pPr>
              <w:pStyle w:val="08-Tabelageral"/>
              <w:jc w:val="center"/>
              <w:rPr>
                <w:rFonts w:cs="Arial"/>
                <w:szCs w:val="14"/>
                <w:lang w:val="en-US" w:eastAsia="en-US"/>
              </w:rPr>
            </w:pPr>
            <w:r w:rsidRPr="00B71316">
              <w:rPr>
                <w:rFonts w:cs="Arial"/>
                <w:color w:val="000000"/>
                <w:szCs w:val="14"/>
                <w:lang w:val="en-US"/>
              </w:rPr>
              <w:t>Quality Assurance services of the impacts related to the adoption</w:t>
            </w:r>
            <w:r>
              <w:rPr>
                <w:rFonts w:cs="Arial"/>
                <w:color w:val="000000"/>
                <w:szCs w:val="14"/>
                <w:lang w:val="en-US"/>
              </w:rPr>
              <w:t xml:space="preserve"> of </w:t>
            </w:r>
            <w:r w:rsidRPr="00B71316">
              <w:rPr>
                <w:rFonts w:cs="Arial"/>
                <w:color w:val="000000"/>
                <w:szCs w:val="14"/>
                <w:lang w:val="en-US"/>
              </w:rPr>
              <w:t xml:space="preserve">IFRS 17 (CPC50) </w:t>
            </w:r>
            <w:r>
              <w:rPr>
                <w:rFonts w:cs="Arial"/>
                <w:color w:val="000000"/>
                <w:szCs w:val="14"/>
                <w:lang w:val="en-US"/>
              </w:rPr>
              <w:t>and</w:t>
            </w:r>
            <w:r w:rsidRPr="00B71316">
              <w:rPr>
                <w:rFonts w:cs="Arial"/>
                <w:color w:val="000000"/>
                <w:szCs w:val="14"/>
                <w:lang w:val="en-US"/>
              </w:rPr>
              <w:t xml:space="preserve"> IFRS 9 (CPC 48).</w:t>
            </w:r>
          </w:p>
        </w:tc>
        <w:tc>
          <w:tcPr>
            <w:tcW w:w="1274" w:type="dxa"/>
          </w:tcPr>
          <w:p w14:paraId="53C9B3C4" w14:textId="77777777" w:rsidR="008C707F" w:rsidRDefault="008C707F" w:rsidP="00D72BBC">
            <w:pPr>
              <w:spacing w:before="40" w:after="40"/>
              <w:jc w:val="right"/>
              <w:rPr>
                <w:rFonts w:cs="Arial"/>
                <w:sz w:val="14"/>
                <w:szCs w:val="14"/>
              </w:rPr>
            </w:pPr>
            <w:r>
              <w:rPr>
                <w:rFonts w:cs="Arial"/>
                <w:sz w:val="14"/>
                <w:szCs w:val="14"/>
              </w:rPr>
              <w:t>387,861.57</w:t>
            </w:r>
          </w:p>
        </w:tc>
      </w:tr>
      <w:tr w:rsidR="008C707F" w:rsidRPr="000A0843" w14:paraId="6320F0A9" w14:textId="77777777" w:rsidTr="002F6C78">
        <w:trPr>
          <w:trHeight w:hRule="exact" w:val="530"/>
        </w:trPr>
        <w:tc>
          <w:tcPr>
            <w:tcW w:w="2693" w:type="dxa"/>
            <w:hideMark/>
          </w:tcPr>
          <w:p w14:paraId="7E3D0DB5" w14:textId="77777777" w:rsidR="008C707F" w:rsidRPr="00DE647D" w:rsidRDefault="008C707F" w:rsidP="00D72BBC">
            <w:pPr>
              <w:pStyle w:val="08-Tabelageral"/>
              <w:jc w:val="left"/>
              <w:rPr>
                <w:rFonts w:cs="Arial"/>
                <w:b/>
                <w:szCs w:val="14"/>
                <w:lang w:eastAsia="en-US"/>
              </w:rPr>
            </w:pPr>
            <w:r w:rsidRPr="00DE647D">
              <w:rPr>
                <w:rFonts w:cs="Arial"/>
                <w:szCs w:val="14"/>
                <w:lang w:eastAsia="en-US"/>
              </w:rPr>
              <w:t>Brasilseg Companhia de Seguros</w:t>
            </w:r>
          </w:p>
          <w:p w14:paraId="0743CE2C" w14:textId="77777777" w:rsidR="008C707F" w:rsidRPr="00DE647D" w:rsidRDefault="008C707F" w:rsidP="00D72BBC">
            <w:pPr>
              <w:pStyle w:val="08-Tabelageral"/>
              <w:jc w:val="left"/>
              <w:rPr>
                <w:rFonts w:cs="Arial"/>
                <w:b/>
                <w:snapToGrid w:val="0"/>
                <w:szCs w:val="14"/>
                <w:lang w:eastAsia="en-US"/>
              </w:rPr>
            </w:pPr>
            <w:r w:rsidRPr="00DE647D">
              <w:rPr>
                <w:rFonts w:cs="Arial"/>
                <w:szCs w:val="14"/>
                <w:lang w:eastAsia="en-US"/>
              </w:rPr>
              <w:t>Aliança do Brasil Seguros S/A</w:t>
            </w:r>
          </w:p>
        </w:tc>
        <w:tc>
          <w:tcPr>
            <w:tcW w:w="1015" w:type="dxa"/>
            <w:hideMark/>
          </w:tcPr>
          <w:p w14:paraId="4F49135F" w14:textId="77777777" w:rsidR="008C707F" w:rsidRPr="00DE647D" w:rsidRDefault="008C707F" w:rsidP="00D72BBC">
            <w:pPr>
              <w:pStyle w:val="08-Tabelageral"/>
              <w:jc w:val="center"/>
              <w:rPr>
                <w:rFonts w:cs="Arial"/>
                <w:szCs w:val="14"/>
                <w:lang w:eastAsia="en-US"/>
              </w:rPr>
            </w:pPr>
            <w:r w:rsidRPr="00DE647D">
              <w:rPr>
                <w:rFonts w:cs="Arial"/>
                <w:szCs w:val="14"/>
                <w:lang w:eastAsia="en-US"/>
              </w:rPr>
              <w:t>10/</w:t>
            </w:r>
            <w:r>
              <w:rPr>
                <w:rFonts w:cs="Arial"/>
                <w:szCs w:val="14"/>
                <w:lang w:eastAsia="en-US"/>
              </w:rPr>
              <w:t>15/</w:t>
            </w:r>
            <w:r w:rsidRPr="00DE647D">
              <w:rPr>
                <w:rFonts w:cs="Arial"/>
                <w:szCs w:val="14"/>
                <w:lang w:eastAsia="en-US"/>
              </w:rPr>
              <w:t>2021</w:t>
            </w:r>
          </w:p>
        </w:tc>
        <w:tc>
          <w:tcPr>
            <w:tcW w:w="1016" w:type="dxa"/>
            <w:hideMark/>
          </w:tcPr>
          <w:p w14:paraId="417915DA" w14:textId="77777777" w:rsidR="008C707F" w:rsidRPr="00DE647D" w:rsidRDefault="008C707F" w:rsidP="00D72BBC">
            <w:pPr>
              <w:pStyle w:val="08-Tabelageral"/>
              <w:jc w:val="center"/>
              <w:rPr>
                <w:rFonts w:cs="Arial"/>
                <w:szCs w:val="14"/>
                <w:lang w:eastAsia="en-US"/>
              </w:rPr>
            </w:pPr>
            <w:r w:rsidRPr="00DE647D">
              <w:rPr>
                <w:rFonts w:cs="Arial"/>
                <w:szCs w:val="14"/>
                <w:lang w:eastAsia="en-US"/>
              </w:rPr>
              <w:t>10/</w:t>
            </w:r>
            <w:r>
              <w:rPr>
                <w:rFonts w:cs="Arial"/>
                <w:szCs w:val="14"/>
                <w:lang w:eastAsia="en-US"/>
              </w:rPr>
              <w:t>14/</w:t>
            </w:r>
            <w:r w:rsidRPr="00DE647D">
              <w:rPr>
                <w:rFonts w:cs="Arial"/>
                <w:szCs w:val="14"/>
                <w:lang w:eastAsia="en-US"/>
              </w:rPr>
              <w:t>2022</w:t>
            </w:r>
          </w:p>
        </w:tc>
        <w:tc>
          <w:tcPr>
            <w:tcW w:w="3640" w:type="dxa"/>
            <w:hideMark/>
          </w:tcPr>
          <w:p w14:paraId="5D482D13" w14:textId="77777777" w:rsidR="008C707F" w:rsidRPr="00B71316" w:rsidRDefault="008C707F" w:rsidP="00D72BBC">
            <w:pPr>
              <w:pStyle w:val="08-Tabelageral"/>
              <w:jc w:val="center"/>
              <w:rPr>
                <w:rFonts w:cs="Arial"/>
                <w:szCs w:val="14"/>
                <w:lang w:val="en-US" w:eastAsia="en-US"/>
              </w:rPr>
            </w:pPr>
            <w:r w:rsidRPr="00B71316">
              <w:rPr>
                <w:rFonts w:cs="Arial"/>
                <w:szCs w:val="14"/>
                <w:lang w:val="en-US" w:eastAsia="en-US"/>
              </w:rPr>
              <w:t>Actuarial audit of the fiscal year 2022.</w:t>
            </w:r>
          </w:p>
        </w:tc>
        <w:tc>
          <w:tcPr>
            <w:tcW w:w="1274" w:type="dxa"/>
            <w:hideMark/>
          </w:tcPr>
          <w:p w14:paraId="34F62CC9" w14:textId="77777777" w:rsidR="008C707F" w:rsidRPr="00DE647D" w:rsidRDefault="008C707F" w:rsidP="00D72BBC">
            <w:pPr>
              <w:spacing w:before="40" w:after="40"/>
              <w:jc w:val="right"/>
              <w:rPr>
                <w:rFonts w:cs="Arial"/>
                <w:sz w:val="14"/>
                <w:szCs w:val="14"/>
              </w:rPr>
            </w:pPr>
            <w:r w:rsidRPr="00DE647D">
              <w:rPr>
                <w:rFonts w:cs="Arial"/>
                <w:sz w:val="14"/>
                <w:szCs w:val="14"/>
              </w:rPr>
              <w:t>237</w:t>
            </w:r>
            <w:r>
              <w:rPr>
                <w:rFonts w:cs="Arial"/>
                <w:sz w:val="14"/>
                <w:szCs w:val="14"/>
              </w:rPr>
              <w:t>,</w:t>
            </w:r>
            <w:r w:rsidRPr="00DE647D">
              <w:rPr>
                <w:rFonts w:cs="Arial"/>
                <w:sz w:val="14"/>
                <w:szCs w:val="14"/>
              </w:rPr>
              <w:t>500</w:t>
            </w:r>
            <w:r>
              <w:rPr>
                <w:rFonts w:cs="Arial"/>
                <w:sz w:val="14"/>
                <w:szCs w:val="14"/>
              </w:rPr>
              <w:t>.</w:t>
            </w:r>
            <w:r w:rsidRPr="00DE647D">
              <w:rPr>
                <w:rFonts w:cs="Arial"/>
                <w:sz w:val="14"/>
                <w:szCs w:val="14"/>
              </w:rPr>
              <w:t>00</w:t>
            </w:r>
          </w:p>
        </w:tc>
      </w:tr>
      <w:tr w:rsidR="008C707F" w:rsidRPr="000A0843" w14:paraId="36D755CA" w14:textId="77777777" w:rsidTr="002F6C78">
        <w:trPr>
          <w:trHeight w:hRule="exact" w:val="530"/>
        </w:trPr>
        <w:tc>
          <w:tcPr>
            <w:tcW w:w="2693" w:type="dxa"/>
          </w:tcPr>
          <w:p w14:paraId="01BD74D7" w14:textId="77777777" w:rsidR="008C707F" w:rsidRPr="00DE647D" w:rsidRDefault="008C707F" w:rsidP="00D72BBC">
            <w:pPr>
              <w:pStyle w:val="08-Tabelageral"/>
              <w:jc w:val="left"/>
              <w:rPr>
                <w:rFonts w:cs="Arial"/>
                <w:b/>
                <w:szCs w:val="14"/>
                <w:lang w:eastAsia="en-US"/>
              </w:rPr>
            </w:pPr>
            <w:r w:rsidRPr="00DE647D">
              <w:rPr>
                <w:rFonts w:cs="Arial"/>
                <w:szCs w:val="14"/>
                <w:lang w:eastAsia="en-US"/>
              </w:rPr>
              <w:t>Brasilseg Companhia de Seguros</w:t>
            </w:r>
          </w:p>
          <w:p w14:paraId="5C380FBB" w14:textId="77777777" w:rsidR="008C707F" w:rsidRPr="00DE647D" w:rsidRDefault="008C707F" w:rsidP="00D72BBC">
            <w:pPr>
              <w:pStyle w:val="08-Tabelageral"/>
              <w:jc w:val="left"/>
              <w:rPr>
                <w:rFonts w:cs="Arial"/>
                <w:szCs w:val="14"/>
                <w:lang w:eastAsia="en-US"/>
              </w:rPr>
            </w:pPr>
            <w:r w:rsidRPr="00DE647D">
              <w:rPr>
                <w:rFonts w:cs="Arial"/>
                <w:szCs w:val="14"/>
                <w:lang w:eastAsia="en-US"/>
              </w:rPr>
              <w:t>Aliança do Brasil Seguros S/A</w:t>
            </w:r>
          </w:p>
        </w:tc>
        <w:tc>
          <w:tcPr>
            <w:tcW w:w="1015" w:type="dxa"/>
          </w:tcPr>
          <w:p w14:paraId="6DC0588B" w14:textId="77777777" w:rsidR="008C707F" w:rsidRPr="00DE647D" w:rsidRDefault="008C707F" w:rsidP="00D72BBC">
            <w:pPr>
              <w:pStyle w:val="08-Tabelageral"/>
              <w:jc w:val="center"/>
              <w:rPr>
                <w:rFonts w:cs="Arial"/>
                <w:szCs w:val="14"/>
                <w:lang w:eastAsia="en-US"/>
              </w:rPr>
            </w:pPr>
            <w:r w:rsidRPr="00DE647D">
              <w:rPr>
                <w:rFonts w:cs="Arial"/>
                <w:szCs w:val="14"/>
                <w:lang w:eastAsia="en-US"/>
              </w:rPr>
              <w:t>10/</w:t>
            </w:r>
            <w:r>
              <w:rPr>
                <w:rFonts w:cs="Arial"/>
                <w:szCs w:val="14"/>
                <w:lang w:eastAsia="en-US"/>
              </w:rPr>
              <w:t>15/</w:t>
            </w:r>
            <w:r w:rsidRPr="00DE647D">
              <w:rPr>
                <w:rFonts w:cs="Arial"/>
                <w:szCs w:val="14"/>
                <w:lang w:eastAsia="en-US"/>
              </w:rPr>
              <w:t>202</w:t>
            </w:r>
            <w:r>
              <w:rPr>
                <w:rFonts w:cs="Arial"/>
                <w:szCs w:val="14"/>
                <w:lang w:eastAsia="en-US"/>
              </w:rPr>
              <w:t>2</w:t>
            </w:r>
          </w:p>
        </w:tc>
        <w:tc>
          <w:tcPr>
            <w:tcW w:w="1016" w:type="dxa"/>
          </w:tcPr>
          <w:p w14:paraId="0711B4A6" w14:textId="77777777" w:rsidR="008C707F" w:rsidRPr="00DE647D" w:rsidRDefault="008C707F" w:rsidP="00D72BBC">
            <w:pPr>
              <w:pStyle w:val="08-Tabelageral"/>
              <w:jc w:val="center"/>
              <w:rPr>
                <w:rFonts w:cs="Arial"/>
                <w:szCs w:val="14"/>
                <w:lang w:eastAsia="en-US"/>
              </w:rPr>
            </w:pPr>
            <w:r w:rsidRPr="00DE647D">
              <w:rPr>
                <w:rFonts w:cs="Arial"/>
                <w:szCs w:val="14"/>
                <w:lang w:eastAsia="en-US"/>
              </w:rPr>
              <w:t>10/</w:t>
            </w:r>
            <w:r>
              <w:rPr>
                <w:rFonts w:cs="Arial"/>
                <w:szCs w:val="14"/>
                <w:lang w:eastAsia="en-US"/>
              </w:rPr>
              <w:t>14/</w:t>
            </w:r>
            <w:r w:rsidRPr="00DE647D">
              <w:rPr>
                <w:rFonts w:cs="Arial"/>
                <w:szCs w:val="14"/>
                <w:lang w:eastAsia="en-US"/>
              </w:rPr>
              <w:t>202</w:t>
            </w:r>
            <w:r>
              <w:rPr>
                <w:rFonts w:cs="Arial"/>
                <w:szCs w:val="14"/>
                <w:lang w:eastAsia="en-US"/>
              </w:rPr>
              <w:t>3</w:t>
            </w:r>
          </w:p>
        </w:tc>
        <w:tc>
          <w:tcPr>
            <w:tcW w:w="3640" w:type="dxa"/>
          </w:tcPr>
          <w:p w14:paraId="4D4C0A5D" w14:textId="77777777" w:rsidR="008C707F" w:rsidRPr="00F02185" w:rsidRDefault="008C707F" w:rsidP="00D72BBC">
            <w:pPr>
              <w:pStyle w:val="08-Tabelageral"/>
              <w:jc w:val="center"/>
              <w:rPr>
                <w:rFonts w:cs="Arial"/>
                <w:szCs w:val="14"/>
                <w:lang w:val="en-US" w:eastAsia="en-US"/>
              </w:rPr>
            </w:pPr>
            <w:r w:rsidRPr="00B71316">
              <w:rPr>
                <w:rFonts w:cs="Arial"/>
                <w:szCs w:val="14"/>
                <w:lang w:val="en-US" w:eastAsia="en-US"/>
              </w:rPr>
              <w:t>Actuarial audit of the fiscal year</w:t>
            </w:r>
            <w:r w:rsidRPr="00F02185">
              <w:rPr>
                <w:rFonts w:cs="Arial"/>
                <w:szCs w:val="14"/>
                <w:lang w:val="en-US" w:eastAsia="en-US"/>
              </w:rPr>
              <w:t xml:space="preserve"> 2023.</w:t>
            </w:r>
          </w:p>
        </w:tc>
        <w:tc>
          <w:tcPr>
            <w:tcW w:w="1274" w:type="dxa"/>
          </w:tcPr>
          <w:p w14:paraId="79366541" w14:textId="77777777" w:rsidR="008C707F" w:rsidRPr="00DE647D" w:rsidRDefault="008C707F" w:rsidP="00D72BBC">
            <w:pPr>
              <w:spacing w:before="40" w:after="40"/>
              <w:jc w:val="right"/>
              <w:rPr>
                <w:rFonts w:cs="Arial"/>
                <w:sz w:val="14"/>
                <w:szCs w:val="14"/>
              </w:rPr>
            </w:pPr>
            <w:r>
              <w:rPr>
                <w:rFonts w:cs="Arial"/>
                <w:sz w:val="14"/>
                <w:szCs w:val="14"/>
              </w:rPr>
              <w:t>242,250.00</w:t>
            </w:r>
          </w:p>
        </w:tc>
      </w:tr>
    </w:tbl>
    <w:p w14:paraId="7E0304DD" w14:textId="77777777" w:rsidR="008C707F" w:rsidRPr="000A0843" w:rsidRDefault="008C707F" w:rsidP="00CA17B5">
      <w:pPr>
        <w:pStyle w:val="07-Legenda"/>
        <w:rPr>
          <w:rFonts w:cs="Arial"/>
          <w:color w:val="FF0000"/>
          <w:highlight w:val="yellow"/>
        </w:rPr>
      </w:pPr>
    </w:p>
    <w:p w14:paraId="54DE945C" w14:textId="77777777" w:rsidR="008C707F" w:rsidRPr="00F02185" w:rsidRDefault="008C707F" w:rsidP="00E03A7C">
      <w:pPr>
        <w:jc w:val="both"/>
        <w:rPr>
          <w:rFonts w:eastAsia="Times New Roman" w:cs="Arial"/>
          <w:szCs w:val="20"/>
          <w:lang w:val="en-US" w:eastAsia="pt-BR"/>
        </w:rPr>
      </w:pPr>
      <w:r w:rsidRPr="00F02185">
        <w:rPr>
          <w:rFonts w:eastAsia="Times New Roman" w:cs="Arial"/>
          <w:spacing w:val="-2"/>
          <w:szCs w:val="18"/>
          <w:lang w:val="en-US" w:eastAsia="pt-BR"/>
        </w:rPr>
        <w:t>BB Seguridade, its shareholders, managers and members of the Supervisory Board undertake to resolve any disputes or controversies related to the Novo Mercado Listing Regulations through the B3 – Brasil, Bolsa, Balcão Market Arbitration Chamber, pursuant to the arbitration clause provided for in BB Seguridade's Articles of Incorporation, article 5</w:t>
      </w:r>
      <w:r>
        <w:rPr>
          <w:rFonts w:eastAsia="Times New Roman" w:cs="Arial"/>
          <w:spacing w:val="-2"/>
          <w:szCs w:val="18"/>
          <w:lang w:val="en-US" w:eastAsia="pt-BR"/>
        </w:rPr>
        <w:t>3</w:t>
      </w:r>
      <w:r w:rsidRPr="00F02185">
        <w:rPr>
          <w:rFonts w:eastAsia="Times New Roman" w:cs="Arial"/>
          <w:spacing w:val="-2"/>
          <w:szCs w:val="18"/>
          <w:lang w:val="en-US" w:eastAsia="pt-BR"/>
        </w:rPr>
        <w:t>.</w:t>
      </w:r>
    </w:p>
    <w:p w14:paraId="79EE73D8" w14:textId="77777777" w:rsidR="008C707F" w:rsidRPr="003351A3" w:rsidRDefault="008C707F" w:rsidP="00CA17B5">
      <w:pPr>
        <w:pStyle w:val="PargrafodaLista"/>
        <w:spacing w:before="120" w:after="120"/>
        <w:ind w:left="0"/>
        <w:jc w:val="both"/>
        <w:rPr>
          <w:rFonts w:ascii="Arial" w:eastAsia="Times New Roman" w:hAnsi="Arial" w:cs="Times New Roman"/>
          <w:b/>
          <w:color w:val="1F4E79" w:themeColor="accent1" w:themeShade="80"/>
          <w:spacing w:val="-2"/>
          <w:sz w:val="20"/>
          <w:szCs w:val="20"/>
          <w:lang w:val="en-US" w:eastAsia="pt-BR"/>
        </w:rPr>
      </w:pPr>
    </w:p>
    <w:p w14:paraId="4BDF3149" w14:textId="77777777" w:rsidR="008C707F" w:rsidRPr="008C707F" w:rsidRDefault="008C707F" w:rsidP="00F02185">
      <w:pPr>
        <w:pStyle w:val="PargrafodaLista"/>
        <w:spacing w:before="120" w:after="120"/>
        <w:ind w:left="0"/>
        <w:jc w:val="both"/>
        <w:rPr>
          <w:rFonts w:ascii="Arial" w:eastAsia="Times New Roman" w:hAnsi="Arial" w:cs="Times New Roman"/>
          <w:b/>
          <w:color w:val="1F4E79" w:themeColor="accent1" w:themeShade="80"/>
          <w:spacing w:val="-2"/>
          <w:sz w:val="20"/>
          <w:szCs w:val="20"/>
          <w:lang w:val="en-US" w:eastAsia="pt-BR"/>
        </w:rPr>
      </w:pPr>
      <w:r w:rsidRPr="008C707F">
        <w:rPr>
          <w:rFonts w:ascii="Arial" w:eastAsia="Times New Roman" w:hAnsi="Arial" w:cs="Times New Roman"/>
          <w:b/>
          <w:color w:val="1F4E79" w:themeColor="accent1" w:themeShade="80"/>
          <w:spacing w:val="-2"/>
          <w:sz w:val="20"/>
          <w:szCs w:val="20"/>
          <w:lang w:val="en-US" w:eastAsia="pt-BR"/>
        </w:rPr>
        <w:lastRenderedPageBreak/>
        <w:t>Acknowledgments</w:t>
      </w:r>
    </w:p>
    <w:p w14:paraId="4C729543" w14:textId="77777777" w:rsidR="008C707F" w:rsidRPr="004B0E6D" w:rsidRDefault="008C707F" w:rsidP="00F02185">
      <w:pPr>
        <w:pStyle w:val="05-Textonormal"/>
        <w:rPr>
          <w:rFonts w:cs="Arial"/>
          <w:lang w:val="en-US"/>
        </w:rPr>
      </w:pPr>
      <w:r w:rsidRPr="00DE647D">
        <w:rPr>
          <w:rFonts w:cs="Arial"/>
          <w:lang w:val="en-US"/>
        </w:rPr>
        <w:t xml:space="preserve">We are grateful for the dedication and commitment of our employees and associates and the distribution network of Banco do Brasil and other partners, essential for maintaining </w:t>
      </w:r>
      <w:r>
        <w:rPr>
          <w:rFonts w:cs="Arial"/>
          <w:lang w:val="en-US"/>
        </w:rPr>
        <w:t xml:space="preserve">the </w:t>
      </w:r>
      <w:r w:rsidRPr="00DE647D">
        <w:rPr>
          <w:rFonts w:cs="Arial"/>
          <w:lang w:val="en-US"/>
        </w:rPr>
        <w:t xml:space="preserve">quality </w:t>
      </w:r>
      <w:r>
        <w:rPr>
          <w:rFonts w:cs="Arial"/>
          <w:lang w:val="en-US"/>
        </w:rPr>
        <w:t xml:space="preserve">of </w:t>
      </w:r>
      <w:r w:rsidRPr="00DE647D">
        <w:rPr>
          <w:rFonts w:cs="Arial"/>
          <w:lang w:val="en-US"/>
        </w:rPr>
        <w:t>customer service and process compliance in 202</w:t>
      </w:r>
      <w:r>
        <w:rPr>
          <w:rFonts w:cs="Arial"/>
          <w:lang w:val="en-US"/>
        </w:rPr>
        <w:t>2</w:t>
      </w:r>
      <w:r w:rsidRPr="00DE647D">
        <w:rPr>
          <w:rFonts w:cs="Arial"/>
          <w:lang w:val="en-US"/>
        </w:rPr>
        <w:t>, as well as the trust placed by shareholders, customers and society in general.</w:t>
      </w:r>
    </w:p>
    <w:p w14:paraId="62D4F9B7" w14:textId="77777777" w:rsidR="008C707F" w:rsidRPr="00F02185" w:rsidRDefault="008C707F" w:rsidP="00CA17B5">
      <w:pPr>
        <w:pStyle w:val="05-Textonormal"/>
        <w:rPr>
          <w:rFonts w:cs="Arial"/>
          <w:lang w:val="en-US"/>
        </w:rPr>
      </w:pPr>
    </w:p>
    <w:p w14:paraId="1F7CBB2C" w14:textId="77777777" w:rsidR="008C707F" w:rsidRPr="0023652C" w:rsidRDefault="008C707F" w:rsidP="00CA17B5">
      <w:pPr>
        <w:pStyle w:val="PargrafodaLista"/>
        <w:spacing w:before="120" w:after="120"/>
        <w:ind w:left="0"/>
        <w:jc w:val="both"/>
        <w:rPr>
          <w:rFonts w:ascii="Arial" w:eastAsia="Times New Roman" w:hAnsi="Arial" w:cs="Times New Roman"/>
          <w:b/>
          <w:color w:val="1F4E79" w:themeColor="accent1" w:themeShade="80"/>
          <w:spacing w:val="-2"/>
          <w:sz w:val="20"/>
          <w:szCs w:val="20"/>
          <w:lang w:val="en-US" w:eastAsia="pt-BR"/>
        </w:rPr>
      </w:pPr>
      <w:r w:rsidRPr="0023652C">
        <w:rPr>
          <w:rFonts w:ascii="Arial" w:eastAsia="Times New Roman" w:hAnsi="Arial" w:cs="Times New Roman"/>
          <w:b/>
          <w:color w:val="1F4E79" w:themeColor="accent1" w:themeShade="80"/>
          <w:spacing w:val="-2"/>
          <w:sz w:val="20"/>
          <w:szCs w:val="20"/>
          <w:lang w:val="en-US" w:eastAsia="pt-BR"/>
        </w:rPr>
        <w:t>Brasília, 2023</w:t>
      </w:r>
    </w:p>
    <w:p w14:paraId="0F254AB9" w14:textId="77777777" w:rsidR="008C707F" w:rsidRPr="0023652C" w:rsidRDefault="008C707F" w:rsidP="00CA17B5">
      <w:pPr>
        <w:pStyle w:val="PargrafodaLista"/>
        <w:spacing w:before="120" w:after="120"/>
        <w:ind w:left="0"/>
        <w:jc w:val="both"/>
        <w:rPr>
          <w:rFonts w:ascii="Arial" w:eastAsia="Times New Roman" w:hAnsi="Arial" w:cs="Times New Roman"/>
          <w:b/>
          <w:color w:val="1F4E79" w:themeColor="accent1" w:themeShade="80"/>
          <w:spacing w:val="-2"/>
          <w:sz w:val="20"/>
          <w:szCs w:val="20"/>
          <w:lang w:val="en-US" w:eastAsia="pt-BR"/>
        </w:rPr>
      </w:pPr>
    </w:p>
    <w:p w14:paraId="24B0567A" w14:textId="77777777" w:rsidR="008C707F" w:rsidRPr="00776837" w:rsidRDefault="008C707F" w:rsidP="00C81A16">
      <w:pPr>
        <w:rPr>
          <w:lang w:val="en-US"/>
        </w:rPr>
      </w:pPr>
      <w:r w:rsidRPr="0023652C">
        <w:rPr>
          <w:rFonts w:eastAsia="Times New Roman" w:cs="Times New Roman"/>
          <w:b/>
          <w:color w:val="1F4E79" w:themeColor="accent1" w:themeShade="80"/>
          <w:spacing w:val="-2"/>
          <w:sz w:val="20"/>
          <w:szCs w:val="20"/>
          <w:lang w:val="en-US" w:eastAsia="pt-BR"/>
        </w:rPr>
        <w:t>The Management</w:t>
      </w:r>
    </w:p>
    <w:p w14:paraId="69FE1E3F" w14:textId="7E980122" w:rsidR="00012B73" w:rsidRPr="00C72009" w:rsidRDefault="00012B73" w:rsidP="002D39D6">
      <w:pPr>
        <w:rPr>
          <w:rFonts w:cs="Arial"/>
          <w:lang w:val="en-US"/>
        </w:rPr>
        <w:sectPr w:rsidR="00012B73" w:rsidRPr="00C72009" w:rsidSect="00074E48">
          <w:footerReference w:type="default" r:id="rId12"/>
          <w:type w:val="continuous"/>
          <w:pgSz w:w="11906" w:h="16838" w:code="9"/>
          <w:pgMar w:top="1134" w:right="1134" w:bottom="851" w:left="1134" w:header="851" w:footer="284" w:gutter="0"/>
          <w:pgNumType w:start="1"/>
          <w:cols w:space="708"/>
          <w:docGrid w:linePitch="360"/>
        </w:sectPr>
      </w:pPr>
    </w:p>
    <w:p w14:paraId="072CFB6C" w14:textId="3C063E8D" w:rsidR="00AF04B6" w:rsidRPr="00D3472F" w:rsidRDefault="00AF04B6" w:rsidP="00FC4475">
      <w:pPr>
        <w:pStyle w:val="Ttulo1"/>
      </w:pPr>
      <w:bookmarkStart w:id="13" w:name="_Toc126781085"/>
      <w:r w:rsidRPr="00D3472F">
        <w:lastRenderedPageBreak/>
        <w:t>STATEMENT OF INCOME</w:t>
      </w:r>
      <w:bookmarkEnd w:id="13"/>
    </w:p>
    <w:p w14:paraId="63B6117C" w14:textId="2784BBFD" w:rsidR="00AF04B6" w:rsidRPr="00AF04B6" w:rsidRDefault="00AF04B6" w:rsidP="00C20080">
      <w:pPr>
        <w:pStyle w:val="06-Rmil"/>
        <w:rPr>
          <w:sz w:val="12"/>
          <w:szCs w:val="12"/>
          <w:lang w:val="en-US"/>
        </w:rPr>
      </w:pPr>
      <w:r w:rsidRPr="00AF04B6">
        <w:rPr>
          <w:lang w:val="en-US"/>
        </w:rPr>
        <w:t>R$ thousand (except earnings per share)</w:t>
      </w:r>
    </w:p>
    <w:tbl>
      <w:tblPr>
        <w:tblStyle w:val="TabeladeLista6Colorida-nfase5"/>
        <w:tblW w:w="9639" w:type="dxa"/>
        <w:jc w:val="center"/>
        <w:tblLayout w:type="fixed"/>
        <w:tblLook w:val="04A0" w:firstRow="1" w:lastRow="0" w:firstColumn="1" w:lastColumn="0" w:noHBand="0" w:noVBand="1"/>
      </w:tblPr>
      <w:tblGrid>
        <w:gridCol w:w="3065"/>
        <w:gridCol w:w="743"/>
        <w:gridCol w:w="1514"/>
        <w:gridCol w:w="1295"/>
        <w:gridCol w:w="248"/>
        <w:gridCol w:w="1335"/>
        <w:gridCol w:w="1439"/>
      </w:tblGrid>
      <w:tr w:rsidR="00AF04B6" w14:paraId="214E628F" w14:textId="77777777" w:rsidTr="00E4652D">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021" w:type="dxa"/>
            <w:tcBorders>
              <w:top w:val="single" w:sz="2" w:space="0" w:color="1F4E79" w:themeColor="accent1" w:themeShade="80"/>
              <w:bottom w:val="nil"/>
            </w:tcBorders>
            <w:shd w:val="clear" w:color="auto" w:fill="auto"/>
            <w:vAlign w:val="center"/>
          </w:tcPr>
          <w:p w14:paraId="5AC9A52D" w14:textId="77777777" w:rsidR="00AF04B6" w:rsidRPr="0038283D" w:rsidRDefault="00AF04B6" w:rsidP="00A4626E">
            <w:pPr>
              <w:jc w:val="center"/>
              <w:rPr>
                <w:rFonts w:cs="Arial"/>
                <w:b w:val="0"/>
                <w:szCs w:val="18"/>
                <w:lang w:val="en-US"/>
              </w:rPr>
            </w:pPr>
          </w:p>
        </w:tc>
        <w:tc>
          <w:tcPr>
            <w:tcW w:w="732" w:type="dxa"/>
            <w:tcBorders>
              <w:top w:val="single" w:sz="2" w:space="0" w:color="1F4E79" w:themeColor="accent1" w:themeShade="80"/>
              <w:bottom w:val="nil"/>
            </w:tcBorders>
            <w:shd w:val="clear" w:color="auto" w:fill="auto"/>
            <w:vAlign w:val="center"/>
          </w:tcPr>
          <w:p w14:paraId="04D2951B" w14:textId="77777777" w:rsidR="00AF04B6" w:rsidRPr="0038283D" w:rsidRDefault="00AF04B6" w:rsidP="00A4626E">
            <w:pPr>
              <w:jc w:val="cente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768" w:type="dxa"/>
            <w:gridSpan w:val="2"/>
            <w:tcBorders>
              <w:top w:val="single" w:sz="2" w:space="0" w:color="1F4E79" w:themeColor="accent1" w:themeShade="80"/>
              <w:bottom w:val="single" w:sz="2" w:space="0" w:color="1F4E79" w:themeColor="accent1" w:themeShade="80"/>
            </w:tcBorders>
            <w:shd w:val="clear" w:color="auto" w:fill="auto"/>
            <w:vAlign w:val="center"/>
          </w:tcPr>
          <w:p w14:paraId="1DAED38D" w14:textId="77777777" w:rsidR="00AF04B6" w:rsidRPr="001D6BE8" w:rsidRDefault="00AF04B6" w:rsidP="00A4626E">
            <w:pPr>
              <w:jc w:val="center"/>
              <w:cnfStyle w:val="100000000000" w:firstRow="1" w:lastRow="0" w:firstColumn="0" w:lastColumn="0" w:oddVBand="0" w:evenVBand="0" w:oddHBand="0" w:evenHBand="0" w:firstRowFirstColumn="0" w:firstRowLastColumn="0" w:lastRowFirstColumn="0" w:lastRowLastColumn="0"/>
              <w:rPr>
                <w:rFonts w:cs="Arial"/>
                <w:bCs w:val="0"/>
                <w:szCs w:val="18"/>
              </w:rPr>
            </w:pPr>
            <w:r w:rsidRPr="009768B6">
              <w:rPr>
                <w:rFonts w:cs="Arial"/>
                <w:sz w:val="14"/>
                <w:szCs w:val="18"/>
              </w:rPr>
              <w:t>Parent</w:t>
            </w:r>
          </w:p>
        </w:tc>
        <w:tc>
          <w:tcPr>
            <w:tcW w:w="244" w:type="dxa"/>
            <w:tcBorders>
              <w:top w:val="single" w:sz="2" w:space="0" w:color="1F4E79" w:themeColor="accent1" w:themeShade="80"/>
              <w:bottom w:val="nil"/>
            </w:tcBorders>
            <w:shd w:val="clear" w:color="auto" w:fill="auto"/>
          </w:tcPr>
          <w:p w14:paraId="56F6782D" w14:textId="77777777" w:rsidR="00AF04B6" w:rsidRPr="0038031F" w:rsidRDefault="00AF04B6" w:rsidP="00A4626E">
            <w:pPr>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p>
        </w:tc>
        <w:tc>
          <w:tcPr>
            <w:tcW w:w="2733" w:type="dxa"/>
            <w:gridSpan w:val="2"/>
            <w:tcBorders>
              <w:top w:val="single" w:sz="2" w:space="0" w:color="1F4E79" w:themeColor="accent1" w:themeShade="80"/>
              <w:bottom w:val="single" w:sz="2" w:space="0" w:color="1F4E79" w:themeColor="accent1" w:themeShade="80"/>
            </w:tcBorders>
            <w:vAlign w:val="center"/>
          </w:tcPr>
          <w:p w14:paraId="486D39C7" w14:textId="77777777" w:rsidR="00AF04B6" w:rsidRPr="0038031F" w:rsidRDefault="00AF04B6" w:rsidP="00A4626E">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9768B6">
              <w:rPr>
                <w:rFonts w:cs="Arial"/>
                <w:sz w:val="14"/>
                <w:szCs w:val="18"/>
              </w:rPr>
              <w:t>Consolidated</w:t>
            </w:r>
          </w:p>
        </w:tc>
      </w:tr>
      <w:tr w:rsidR="00AF04B6" w:rsidRPr="001D6BE8" w14:paraId="340198F8" w14:textId="77777777" w:rsidTr="00220300">
        <w:trPr>
          <w:cnfStyle w:val="000000100000" w:firstRow="0" w:lastRow="0" w:firstColumn="0" w:lastColumn="0" w:oddVBand="0" w:evenVBand="0" w:oddHBand="1" w:evenHBand="0" w:firstRowFirstColumn="0" w:firstRowLastColumn="0" w:lastRowFirstColumn="0" w:lastRowLastColumn="0"/>
          <w:trHeight w:hRule="exact" w:val="326"/>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single" w:sz="2" w:space="0" w:color="1F4E79" w:themeColor="accent1" w:themeShade="80"/>
            </w:tcBorders>
            <w:shd w:val="clear" w:color="auto" w:fill="auto"/>
            <w:vAlign w:val="center"/>
          </w:tcPr>
          <w:p w14:paraId="5727C491" w14:textId="77777777" w:rsidR="00AF04B6" w:rsidRPr="001D6BE8" w:rsidRDefault="00AF04B6" w:rsidP="004E48E8">
            <w:pPr>
              <w:pStyle w:val="08-Tabelageral"/>
              <w:jc w:val="left"/>
              <w:rPr>
                <w:rFonts w:cs="Arial"/>
                <w:b w:val="0"/>
              </w:rPr>
            </w:pPr>
          </w:p>
        </w:tc>
        <w:tc>
          <w:tcPr>
            <w:tcW w:w="732" w:type="dxa"/>
            <w:tcBorders>
              <w:top w:val="nil"/>
              <w:bottom w:val="single" w:sz="2" w:space="0" w:color="1F4E79" w:themeColor="accent1" w:themeShade="80"/>
            </w:tcBorders>
            <w:shd w:val="clear" w:color="auto" w:fill="auto"/>
            <w:vAlign w:val="center"/>
          </w:tcPr>
          <w:p w14:paraId="2BACC67E" w14:textId="77777777" w:rsidR="00AF04B6" w:rsidRPr="001D6BE8"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492" w:type="dxa"/>
            <w:tcBorders>
              <w:top w:val="single" w:sz="2" w:space="0" w:color="1F4E79" w:themeColor="accent1" w:themeShade="80"/>
              <w:bottom w:val="single" w:sz="2" w:space="0" w:color="1F4E79" w:themeColor="accent1" w:themeShade="80"/>
            </w:tcBorders>
            <w:shd w:val="clear" w:color="auto" w:fill="auto"/>
            <w:vAlign w:val="center"/>
          </w:tcPr>
          <w:p w14:paraId="1E47A51F" w14:textId="77777777" w:rsidR="00AF04B6" w:rsidRPr="00CF21E0" w:rsidRDefault="00AF04B6" w:rsidP="001B00BF">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E811E8">
              <w:rPr>
                <w:rFonts w:cs="Arial"/>
                <w:b/>
              </w:rPr>
              <w:t>202</w:t>
            </w:r>
            <w:r>
              <w:rPr>
                <w:rFonts w:cs="Arial"/>
                <w:b/>
              </w:rPr>
              <w:t>2</w:t>
            </w: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3D964578" w14:textId="77777777" w:rsidR="00AF04B6" w:rsidRPr="00CF21E0" w:rsidRDefault="00AF04B6" w:rsidP="001B00BF">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A04A7">
              <w:rPr>
                <w:b/>
              </w:rPr>
              <w:t>2021</w:t>
            </w:r>
          </w:p>
        </w:tc>
        <w:tc>
          <w:tcPr>
            <w:tcW w:w="244" w:type="dxa"/>
            <w:tcBorders>
              <w:top w:val="nil"/>
              <w:bottom w:val="single" w:sz="2" w:space="0" w:color="1F4E79" w:themeColor="accent1" w:themeShade="80"/>
            </w:tcBorders>
            <w:shd w:val="clear" w:color="auto" w:fill="auto"/>
            <w:vAlign w:val="center"/>
          </w:tcPr>
          <w:p w14:paraId="48F3D0B4" w14:textId="77777777" w:rsidR="00AF04B6" w:rsidRPr="001D6BE8" w:rsidRDefault="00AF04B6" w:rsidP="001B00BF">
            <w:pPr>
              <w:pStyle w:val="08-Tabelageral"/>
              <w:ind w:left="34"/>
              <w:cnfStyle w:val="000000100000" w:firstRow="0" w:lastRow="0" w:firstColumn="0" w:lastColumn="0" w:oddVBand="0" w:evenVBand="0" w:oddHBand="1" w:evenHBand="0" w:firstRowFirstColumn="0" w:firstRowLastColumn="0" w:lastRowFirstColumn="0" w:lastRowLastColumn="0"/>
              <w:rPr>
                <w:rFonts w:cs="Arial"/>
                <w:b/>
              </w:rPr>
            </w:pPr>
          </w:p>
        </w:tc>
        <w:tc>
          <w:tcPr>
            <w:tcW w:w="1315" w:type="dxa"/>
            <w:tcBorders>
              <w:top w:val="single" w:sz="2" w:space="0" w:color="1F4E79" w:themeColor="accent1" w:themeShade="80"/>
              <w:bottom w:val="single" w:sz="2" w:space="0" w:color="1F4E79" w:themeColor="accent1" w:themeShade="80"/>
            </w:tcBorders>
            <w:shd w:val="clear" w:color="auto" w:fill="auto"/>
            <w:vAlign w:val="center"/>
          </w:tcPr>
          <w:p w14:paraId="4C9A6780" w14:textId="77777777" w:rsidR="00AF04B6" w:rsidRPr="00C04909" w:rsidRDefault="00AF04B6" w:rsidP="001B00BF">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E811E8">
              <w:rPr>
                <w:rFonts w:cs="Arial"/>
                <w:b/>
                <w:bCs/>
              </w:rPr>
              <w:t>202</w:t>
            </w:r>
            <w:r>
              <w:rPr>
                <w:rFonts w:cs="Arial"/>
                <w:b/>
                <w:bCs/>
              </w:rPr>
              <w:t>2</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5A8178BC" w14:textId="77777777" w:rsidR="00AF04B6" w:rsidRPr="00CF21E0" w:rsidRDefault="00AF04B6" w:rsidP="001B00BF">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A04A7">
              <w:rPr>
                <w:b/>
              </w:rPr>
              <w:t>2021</w:t>
            </w:r>
          </w:p>
        </w:tc>
      </w:tr>
      <w:tr w:rsidR="00AF04B6" w:rsidRPr="001D6BE8" w14:paraId="269DD076" w14:textId="77777777" w:rsidTr="00E4652D">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single" w:sz="2" w:space="0" w:color="1F4E79" w:themeColor="accent1" w:themeShade="80"/>
              <w:bottom w:val="nil"/>
            </w:tcBorders>
            <w:shd w:val="clear" w:color="auto" w:fill="auto"/>
            <w:vAlign w:val="center"/>
          </w:tcPr>
          <w:p w14:paraId="3C561F50" w14:textId="77777777" w:rsidR="00AF04B6" w:rsidRPr="00C806B0" w:rsidRDefault="00AF04B6" w:rsidP="004E48E8">
            <w:pPr>
              <w:pStyle w:val="08-Tabelageral"/>
              <w:jc w:val="left"/>
              <w:rPr>
                <w:rFonts w:cs="Arial"/>
                <w:bCs w:val="0"/>
                <w:szCs w:val="14"/>
              </w:rPr>
            </w:pPr>
            <w:r w:rsidRPr="00C20080">
              <w:rPr>
                <w:rFonts w:cs="Arial"/>
                <w:szCs w:val="14"/>
              </w:rPr>
              <w:t>Operating Income</w:t>
            </w:r>
          </w:p>
        </w:tc>
        <w:tc>
          <w:tcPr>
            <w:tcW w:w="732" w:type="dxa"/>
            <w:tcBorders>
              <w:top w:val="single" w:sz="2" w:space="0" w:color="1F4E79" w:themeColor="accent1" w:themeShade="80"/>
              <w:bottom w:val="nil"/>
            </w:tcBorders>
            <w:shd w:val="clear" w:color="auto" w:fill="auto"/>
            <w:vAlign w:val="center"/>
          </w:tcPr>
          <w:p w14:paraId="4EFC02E6" w14:textId="77777777" w:rsidR="00AF04B6" w:rsidRPr="00C806B0" w:rsidRDefault="00AF04B6" w:rsidP="004E48E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92" w:type="dxa"/>
            <w:tcBorders>
              <w:top w:val="nil"/>
              <w:left w:val="nil"/>
              <w:bottom w:val="nil"/>
              <w:right w:val="nil"/>
            </w:tcBorders>
            <w:shd w:val="clear" w:color="auto" w:fill="auto"/>
            <w:vAlign w:val="center"/>
          </w:tcPr>
          <w:p w14:paraId="35080C4B"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7D2F95">
              <w:rPr>
                <w:b/>
              </w:rPr>
              <w:t>6</w:t>
            </w:r>
            <w:r>
              <w:rPr>
                <w:b/>
              </w:rPr>
              <w:t>,</w:t>
            </w:r>
            <w:r w:rsidRPr="007D2F95">
              <w:rPr>
                <w:b/>
              </w:rPr>
              <w:t>042</w:t>
            </w:r>
            <w:r>
              <w:rPr>
                <w:b/>
              </w:rPr>
              <w:t>,</w:t>
            </w:r>
            <w:r w:rsidRPr="007D2F95">
              <w:rPr>
                <w:b/>
              </w:rPr>
              <w:t>788</w:t>
            </w:r>
          </w:p>
        </w:tc>
        <w:tc>
          <w:tcPr>
            <w:tcW w:w="1276" w:type="dxa"/>
            <w:tcBorders>
              <w:top w:val="single" w:sz="2" w:space="0" w:color="1F4E79" w:themeColor="accent1" w:themeShade="80"/>
              <w:bottom w:val="nil"/>
            </w:tcBorders>
            <w:shd w:val="clear" w:color="auto" w:fill="auto"/>
            <w:vAlign w:val="center"/>
          </w:tcPr>
          <w:p w14:paraId="10CC71D1"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A36934">
              <w:rPr>
                <w:b/>
                <w:bCs/>
              </w:rPr>
              <w:t>3</w:t>
            </w:r>
            <w:r>
              <w:rPr>
                <w:b/>
                <w:bCs/>
              </w:rPr>
              <w:t>,</w:t>
            </w:r>
            <w:r w:rsidRPr="00A36934">
              <w:rPr>
                <w:b/>
                <w:bCs/>
              </w:rPr>
              <w:t>923</w:t>
            </w:r>
            <w:r>
              <w:rPr>
                <w:b/>
                <w:bCs/>
              </w:rPr>
              <w:t>,</w:t>
            </w:r>
            <w:r w:rsidRPr="00A36934">
              <w:rPr>
                <w:b/>
                <w:bCs/>
              </w:rPr>
              <w:t>593</w:t>
            </w:r>
          </w:p>
        </w:tc>
        <w:tc>
          <w:tcPr>
            <w:tcW w:w="244" w:type="dxa"/>
            <w:tcBorders>
              <w:top w:val="single" w:sz="2" w:space="0" w:color="1F4E79" w:themeColor="accent1" w:themeShade="80"/>
              <w:bottom w:val="nil"/>
            </w:tcBorders>
            <w:shd w:val="clear" w:color="auto" w:fill="auto"/>
            <w:vAlign w:val="center"/>
          </w:tcPr>
          <w:p w14:paraId="0E3706DE" w14:textId="77777777" w:rsidR="00AF04B6" w:rsidRPr="00520137"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315" w:type="dxa"/>
            <w:tcBorders>
              <w:top w:val="single" w:sz="2" w:space="0" w:color="1F4E79" w:themeColor="accent1" w:themeShade="80"/>
              <w:bottom w:val="nil"/>
            </w:tcBorders>
            <w:shd w:val="clear" w:color="auto" w:fill="auto"/>
            <w:vAlign w:val="center"/>
          </w:tcPr>
          <w:p w14:paraId="700F1F01" w14:textId="77777777" w:rsidR="00AF04B6" w:rsidRPr="00520137"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bCs/>
              </w:rPr>
            </w:pPr>
            <w:r w:rsidRPr="002A31C4">
              <w:rPr>
                <w:b/>
                <w:bCs/>
              </w:rPr>
              <w:t>7</w:t>
            </w:r>
            <w:r>
              <w:rPr>
                <w:b/>
                <w:bCs/>
              </w:rPr>
              <w:t>,</w:t>
            </w:r>
            <w:r w:rsidRPr="002A31C4">
              <w:rPr>
                <w:b/>
                <w:bCs/>
              </w:rPr>
              <w:t>505</w:t>
            </w:r>
            <w:r>
              <w:rPr>
                <w:b/>
                <w:bCs/>
              </w:rPr>
              <w:t>,</w:t>
            </w:r>
            <w:r w:rsidRPr="002A31C4">
              <w:rPr>
                <w:b/>
                <w:bCs/>
              </w:rPr>
              <w:t>759</w:t>
            </w:r>
          </w:p>
        </w:tc>
        <w:tc>
          <w:tcPr>
            <w:tcW w:w="1418" w:type="dxa"/>
            <w:tcBorders>
              <w:top w:val="single" w:sz="2" w:space="0" w:color="1F4E79" w:themeColor="accent1" w:themeShade="80"/>
              <w:bottom w:val="nil"/>
            </w:tcBorders>
            <w:shd w:val="clear" w:color="auto" w:fill="auto"/>
            <w:vAlign w:val="center"/>
          </w:tcPr>
          <w:p w14:paraId="0F255796" w14:textId="77777777" w:rsidR="00AF04B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2A31C4">
              <w:rPr>
                <w:b/>
                <w:bCs/>
              </w:rPr>
              <w:t>5</w:t>
            </w:r>
            <w:r>
              <w:rPr>
                <w:b/>
                <w:bCs/>
              </w:rPr>
              <w:t>,</w:t>
            </w:r>
            <w:r w:rsidRPr="002A31C4">
              <w:rPr>
                <w:b/>
                <w:bCs/>
              </w:rPr>
              <w:t>325</w:t>
            </w:r>
            <w:r>
              <w:rPr>
                <w:b/>
                <w:bCs/>
              </w:rPr>
              <w:t>,</w:t>
            </w:r>
            <w:r w:rsidRPr="002A31C4">
              <w:rPr>
                <w:b/>
                <w:bCs/>
              </w:rPr>
              <w:t>941</w:t>
            </w:r>
          </w:p>
        </w:tc>
      </w:tr>
      <w:tr w:rsidR="00AF04B6" w:rsidRPr="001D6BE8" w14:paraId="3BF51B33" w14:textId="77777777" w:rsidTr="00E4652D">
        <w:trPr>
          <w:cnfStyle w:val="000000100000" w:firstRow="0" w:lastRow="0" w:firstColumn="0" w:lastColumn="0" w:oddVBand="0" w:evenVBand="0" w:oddHBand="1" w:evenHBand="0" w:firstRowFirstColumn="0" w:firstRowLastColumn="0" w:lastRowFirstColumn="0" w:lastRowLastColumn="0"/>
          <w:trHeight w:hRule="exact" w:val="18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0F5316D6" w14:textId="77777777" w:rsidR="00AF04B6" w:rsidRPr="00C806B0" w:rsidRDefault="00AF04B6" w:rsidP="004E48E8">
            <w:pPr>
              <w:pStyle w:val="08-Tabelageral"/>
              <w:ind w:left="113"/>
              <w:jc w:val="left"/>
              <w:rPr>
                <w:rFonts w:cs="Arial"/>
                <w:b w:val="0"/>
                <w:szCs w:val="14"/>
              </w:rPr>
            </w:pPr>
            <w:r w:rsidRPr="00C20080">
              <w:rPr>
                <w:rFonts w:cs="Arial"/>
                <w:b w:val="0"/>
                <w:szCs w:val="14"/>
              </w:rPr>
              <w:t>Equity income</w:t>
            </w:r>
          </w:p>
        </w:tc>
        <w:tc>
          <w:tcPr>
            <w:tcW w:w="732" w:type="dxa"/>
            <w:tcBorders>
              <w:top w:val="nil"/>
              <w:bottom w:val="nil"/>
            </w:tcBorders>
            <w:shd w:val="clear" w:color="auto" w:fill="auto"/>
            <w:vAlign w:val="center"/>
          </w:tcPr>
          <w:p w14:paraId="019FCCAA" w14:textId="77777777" w:rsidR="00AF04B6" w:rsidRPr="00C806B0" w:rsidRDefault="00AF04B6" w:rsidP="004E48E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823355">
              <w:t>[7.b]</w:t>
            </w:r>
          </w:p>
        </w:tc>
        <w:tc>
          <w:tcPr>
            <w:tcW w:w="1492" w:type="dxa"/>
            <w:tcBorders>
              <w:top w:val="nil"/>
              <w:left w:val="nil"/>
              <w:bottom w:val="nil"/>
              <w:right w:val="nil"/>
            </w:tcBorders>
            <w:shd w:val="clear" w:color="auto" w:fill="auto"/>
            <w:vAlign w:val="center"/>
          </w:tcPr>
          <w:p w14:paraId="6A7B3CB8"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7D2F95">
              <w:t>6</w:t>
            </w:r>
            <w:r>
              <w:t>,</w:t>
            </w:r>
            <w:r w:rsidRPr="007D2F95">
              <w:t>042</w:t>
            </w:r>
            <w:r>
              <w:t>,</w:t>
            </w:r>
            <w:r w:rsidRPr="007D2F95">
              <w:t>788</w:t>
            </w:r>
          </w:p>
        </w:tc>
        <w:tc>
          <w:tcPr>
            <w:tcW w:w="1276" w:type="dxa"/>
            <w:tcBorders>
              <w:top w:val="nil"/>
              <w:bottom w:val="nil"/>
            </w:tcBorders>
            <w:shd w:val="clear" w:color="auto" w:fill="auto"/>
            <w:vAlign w:val="center"/>
          </w:tcPr>
          <w:p w14:paraId="14D54A12"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A36934">
              <w:t>3</w:t>
            </w:r>
            <w:r>
              <w:t>,</w:t>
            </w:r>
            <w:r w:rsidRPr="00A36934">
              <w:t>923</w:t>
            </w:r>
            <w:r>
              <w:t>,</w:t>
            </w:r>
            <w:r w:rsidRPr="00A36934">
              <w:t>593</w:t>
            </w:r>
          </w:p>
        </w:tc>
        <w:tc>
          <w:tcPr>
            <w:tcW w:w="244" w:type="dxa"/>
            <w:tcBorders>
              <w:top w:val="nil"/>
              <w:bottom w:val="nil"/>
            </w:tcBorders>
            <w:shd w:val="clear" w:color="auto" w:fill="auto"/>
            <w:vAlign w:val="center"/>
          </w:tcPr>
          <w:p w14:paraId="558750B5"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bottom w:val="nil"/>
            </w:tcBorders>
            <w:shd w:val="clear" w:color="auto" w:fill="auto"/>
            <w:vAlign w:val="center"/>
          </w:tcPr>
          <w:p w14:paraId="43300420"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r w:rsidRPr="002A31C4">
              <w:t>3</w:t>
            </w:r>
            <w:r>
              <w:t>,</w:t>
            </w:r>
            <w:r w:rsidRPr="002A31C4">
              <w:t>363</w:t>
            </w:r>
            <w:r>
              <w:t>,</w:t>
            </w:r>
            <w:r w:rsidRPr="002A31C4">
              <w:t>765</w:t>
            </w:r>
          </w:p>
        </w:tc>
        <w:tc>
          <w:tcPr>
            <w:tcW w:w="1418" w:type="dxa"/>
            <w:tcBorders>
              <w:top w:val="nil"/>
              <w:bottom w:val="nil"/>
            </w:tcBorders>
            <w:shd w:val="clear" w:color="auto" w:fill="auto"/>
            <w:vAlign w:val="center"/>
          </w:tcPr>
          <w:p w14:paraId="241B0755" w14:textId="77777777" w:rsidR="00AF04B6"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A31C4">
              <w:t>1</w:t>
            </w:r>
            <w:r>
              <w:t>,</w:t>
            </w:r>
            <w:r w:rsidRPr="002A31C4">
              <w:t>830</w:t>
            </w:r>
            <w:r>
              <w:t>,</w:t>
            </w:r>
            <w:r w:rsidRPr="002A31C4">
              <w:t>355</w:t>
            </w:r>
          </w:p>
        </w:tc>
      </w:tr>
      <w:tr w:rsidR="00AF04B6" w:rsidRPr="001D6BE8" w14:paraId="3113E07A" w14:textId="77777777" w:rsidTr="00E4652D">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45214CC4" w14:textId="77777777" w:rsidR="00AF04B6" w:rsidRPr="00C806B0" w:rsidRDefault="00AF04B6" w:rsidP="004E48E8">
            <w:pPr>
              <w:pStyle w:val="08-Tabelageral"/>
              <w:ind w:left="113"/>
              <w:jc w:val="left"/>
              <w:rPr>
                <w:rFonts w:cs="Arial"/>
                <w:b w:val="0"/>
                <w:szCs w:val="14"/>
              </w:rPr>
            </w:pPr>
            <w:r w:rsidRPr="00C20080">
              <w:rPr>
                <w:rFonts w:cs="Arial"/>
                <w:b w:val="0"/>
                <w:szCs w:val="14"/>
              </w:rPr>
              <w:t>Net commissions income</w:t>
            </w:r>
          </w:p>
        </w:tc>
        <w:tc>
          <w:tcPr>
            <w:tcW w:w="732" w:type="dxa"/>
            <w:tcBorders>
              <w:top w:val="nil"/>
              <w:bottom w:val="nil"/>
            </w:tcBorders>
            <w:shd w:val="clear" w:color="auto" w:fill="auto"/>
            <w:vAlign w:val="center"/>
          </w:tcPr>
          <w:p w14:paraId="298AE1DB" w14:textId="77777777" w:rsidR="00AF04B6" w:rsidRPr="00C806B0" w:rsidRDefault="00AF04B6" w:rsidP="004E48E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823355">
              <w:t>[8]</w:t>
            </w:r>
          </w:p>
        </w:tc>
        <w:tc>
          <w:tcPr>
            <w:tcW w:w="1492" w:type="dxa"/>
            <w:tcBorders>
              <w:top w:val="nil"/>
              <w:left w:val="nil"/>
              <w:bottom w:val="nil"/>
              <w:right w:val="nil"/>
            </w:tcBorders>
            <w:shd w:val="clear" w:color="auto" w:fill="auto"/>
            <w:vAlign w:val="center"/>
          </w:tcPr>
          <w:p w14:paraId="5007628D"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t>--</w:t>
            </w:r>
          </w:p>
        </w:tc>
        <w:tc>
          <w:tcPr>
            <w:tcW w:w="1276" w:type="dxa"/>
            <w:tcBorders>
              <w:top w:val="nil"/>
              <w:bottom w:val="nil"/>
            </w:tcBorders>
            <w:shd w:val="clear" w:color="auto" w:fill="auto"/>
            <w:vAlign w:val="center"/>
          </w:tcPr>
          <w:p w14:paraId="465CACD0"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t>--</w:t>
            </w:r>
          </w:p>
        </w:tc>
        <w:tc>
          <w:tcPr>
            <w:tcW w:w="244" w:type="dxa"/>
            <w:tcBorders>
              <w:top w:val="nil"/>
              <w:bottom w:val="nil"/>
            </w:tcBorders>
            <w:shd w:val="clear" w:color="auto" w:fill="auto"/>
            <w:vAlign w:val="center"/>
          </w:tcPr>
          <w:p w14:paraId="6C5E8F7C"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p>
        </w:tc>
        <w:tc>
          <w:tcPr>
            <w:tcW w:w="1315" w:type="dxa"/>
            <w:tcBorders>
              <w:top w:val="nil"/>
              <w:bottom w:val="nil"/>
            </w:tcBorders>
            <w:shd w:val="clear" w:color="auto" w:fill="auto"/>
            <w:vAlign w:val="center"/>
          </w:tcPr>
          <w:p w14:paraId="02B385C8"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sidRPr="002A31C4">
              <w:t>4</w:t>
            </w:r>
            <w:r>
              <w:t>,</w:t>
            </w:r>
            <w:r w:rsidRPr="002A31C4">
              <w:t>141</w:t>
            </w:r>
            <w:r>
              <w:t>,</w:t>
            </w:r>
            <w:r w:rsidRPr="002A31C4">
              <w:t>994</w:t>
            </w:r>
          </w:p>
        </w:tc>
        <w:tc>
          <w:tcPr>
            <w:tcW w:w="1418" w:type="dxa"/>
            <w:tcBorders>
              <w:top w:val="nil"/>
              <w:bottom w:val="nil"/>
            </w:tcBorders>
            <w:shd w:val="clear" w:color="auto" w:fill="auto"/>
            <w:vAlign w:val="center"/>
          </w:tcPr>
          <w:p w14:paraId="3C1FF557" w14:textId="77777777" w:rsidR="00AF04B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A31C4">
              <w:t>3</w:t>
            </w:r>
            <w:r>
              <w:t>,</w:t>
            </w:r>
            <w:r w:rsidRPr="002A31C4">
              <w:t>495</w:t>
            </w:r>
            <w:r>
              <w:t>,</w:t>
            </w:r>
            <w:r w:rsidRPr="002A31C4">
              <w:t>586</w:t>
            </w:r>
          </w:p>
        </w:tc>
      </w:tr>
      <w:tr w:rsidR="00AF04B6" w:rsidRPr="003E7906" w14:paraId="46806C61" w14:textId="77777777" w:rsidTr="00E4652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629778F1" w14:textId="77777777" w:rsidR="00AF04B6" w:rsidRPr="009C4D96" w:rsidRDefault="00AF04B6" w:rsidP="004E48E8">
            <w:pPr>
              <w:pStyle w:val="08-Tabelageral"/>
              <w:jc w:val="left"/>
              <w:rPr>
                <w:rFonts w:cs="Arial"/>
                <w:bCs w:val="0"/>
                <w:szCs w:val="14"/>
              </w:rPr>
            </w:pPr>
            <w:r w:rsidRPr="009C4D96">
              <w:rPr>
                <w:rFonts w:cs="Arial"/>
                <w:szCs w:val="14"/>
              </w:rPr>
              <w:t xml:space="preserve">Cost </w:t>
            </w:r>
            <w:r>
              <w:rPr>
                <w:rFonts w:cs="Arial"/>
                <w:szCs w:val="14"/>
              </w:rPr>
              <w:t>o</w:t>
            </w:r>
            <w:r w:rsidRPr="009C4D96">
              <w:rPr>
                <w:rFonts w:cs="Arial"/>
                <w:szCs w:val="14"/>
              </w:rPr>
              <w:t>f Services Provided</w:t>
            </w:r>
          </w:p>
        </w:tc>
        <w:tc>
          <w:tcPr>
            <w:tcW w:w="732" w:type="dxa"/>
            <w:tcBorders>
              <w:top w:val="nil"/>
              <w:bottom w:val="nil"/>
            </w:tcBorders>
            <w:shd w:val="clear" w:color="auto" w:fill="auto"/>
            <w:vAlign w:val="center"/>
          </w:tcPr>
          <w:p w14:paraId="6807A079" w14:textId="77777777" w:rsidR="00AF04B6" w:rsidRPr="00520137"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520137">
              <w:rPr>
                <w:b/>
                <w:bCs/>
              </w:rPr>
              <w:t>[9]</w:t>
            </w:r>
          </w:p>
        </w:tc>
        <w:tc>
          <w:tcPr>
            <w:tcW w:w="1492" w:type="dxa"/>
            <w:tcBorders>
              <w:top w:val="nil"/>
              <w:left w:val="nil"/>
              <w:bottom w:val="nil"/>
              <w:right w:val="nil"/>
            </w:tcBorders>
            <w:shd w:val="clear" w:color="auto" w:fill="auto"/>
            <w:vAlign w:val="center"/>
          </w:tcPr>
          <w:p w14:paraId="07A42384"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b/>
              </w:rPr>
              <w:t>--</w:t>
            </w:r>
          </w:p>
        </w:tc>
        <w:tc>
          <w:tcPr>
            <w:tcW w:w="1276" w:type="dxa"/>
            <w:tcBorders>
              <w:top w:val="nil"/>
              <w:bottom w:val="nil"/>
            </w:tcBorders>
            <w:shd w:val="clear" w:color="auto" w:fill="auto"/>
            <w:vAlign w:val="center"/>
          </w:tcPr>
          <w:p w14:paraId="3EF34576"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b/>
                <w:bCs/>
              </w:rPr>
              <w:t>--</w:t>
            </w:r>
          </w:p>
        </w:tc>
        <w:tc>
          <w:tcPr>
            <w:tcW w:w="244" w:type="dxa"/>
            <w:tcBorders>
              <w:top w:val="nil"/>
              <w:bottom w:val="nil"/>
            </w:tcBorders>
            <w:shd w:val="clear" w:color="auto" w:fill="auto"/>
            <w:vAlign w:val="center"/>
          </w:tcPr>
          <w:p w14:paraId="15BC96C9" w14:textId="77777777" w:rsidR="00AF04B6" w:rsidRPr="00520137"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5" w:type="dxa"/>
            <w:tcBorders>
              <w:top w:val="nil"/>
              <w:bottom w:val="nil"/>
            </w:tcBorders>
            <w:shd w:val="clear" w:color="auto" w:fill="auto"/>
            <w:vAlign w:val="center"/>
          </w:tcPr>
          <w:p w14:paraId="7EF16B77" w14:textId="77777777" w:rsidR="00AF04B6" w:rsidRPr="00520137"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b/>
                <w:bCs/>
              </w:rPr>
            </w:pPr>
            <w:r w:rsidRPr="002A31C4">
              <w:rPr>
                <w:b/>
                <w:bCs/>
              </w:rPr>
              <w:t>(205</w:t>
            </w:r>
            <w:r>
              <w:rPr>
                <w:b/>
                <w:bCs/>
              </w:rPr>
              <w:t>,</w:t>
            </w:r>
            <w:r w:rsidRPr="002A31C4">
              <w:rPr>
                <w:b/>
                <w:bCs/>
              </w:rPr>
              <w:t>870)</w:t>
            </w:r>
          </w:p>
        </w:tc>
        <w:tc>
          <w:tcPr>
            <w:tcW w:w="1418" w:type="dxa"/>
            <w:tcBorders>
              <w:top w:val="nil"/>
              <w:bottom w:val="nil"/>
            </w:tcBorders>
            <w:shd w:val="clear" w:color="auto" w:fill="auto"/>
            <w:vAlign w:val="center"/>
          </w:tcPr>
          <w:p w14:paraId="0EB4BB41" w14:textId="77777777" w:rsidR="00AF04B6"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A31C4">
              <w:rPr>
                <w:b/>
                <w:bCs/>
              </w:rPr>
              <w:t>(193</w:t>
            </w:r>
            <w:r>
              <w:rPr>
                <w:b/>
                <w:bCs/>
              </w:rPr>
              <w:t>,</w:t>
            </w:r>
            <w:r w:rsidRPr="002A31C4">
              <w:rPr>
                <w:b/>
                <w:bCs/>
              </w:rPr>
              <w:t>830)</w:t>
            </w:r>
          </w:p>
        </w:tc>
      </w:tr>
      <w:tr w:rsidR="00AF04B6" w:rsidRPr="001D6BE8" w14:paraId="625FB1AD" w14:textId="77777777" w:rsidTr="00E4652D">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47CA8ED1" w14:textId="77777777" w:rsidR="00AF04B6" w:rsidRPr="007E526D" w:rsidRDefault="00AF04B6" w:rsidP="004E48E8">
            <w:pPr>
              <w:pStyle w:val="08-Tabelageral"/>
              <w:jc w:val="left"/>
              <w:rPr>
                <w:rFonts w:cs="Arial"/>
                <w:szCs w:val="14"/>
              </w:rPr>
            </w:pPr>
            <w:r w:rsidRPr="00C20080">
              <w:rPr>
                <w:rFonts w:cs="Arial"/>
                <w:szCs w:val="14"/>
              </w:rPr>
              <w:t>Gross Profit</w:t>
            </w:r>
          </w:p>
        </w:tc>
        <w:tc>
          <w:tcPr>
            <w:tcW w:w="732" w:type="dxa"/>
            <w:tcBorders>
              <w:top w:val="nil"/>
              <w:bottom w:val="nil"/>
            </w:tcBorders>
            <w:shd w:val="clear" w:color="auto" w:fill="auto"/>
            <w:vAlign w:val="center"/>
          </w:tcPr>
          <w:p w14:paraId="40D5D000" w14:textId="77777777" w:rsidR="00AF04B6" w:rsidRPr="00520137"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492" w:type="dxa"/>
            <w:tcBorders>
              <w:top w:val="nil"/>
              <w:left w:val="nil"/>
              <w:bottom w:val="nil"/>
              <w:right w:val="nil"/>
            </w:tcBorders>
            <w:shd w:val="clear" w:color="auto" w:fill="auto"/>
            <w:vAlign w:val="center"/>
          </w:tcPr>
          <w:p w14:paraId="6599754D"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7D2F95">
              <w:rPr>
                <w:b/>
              </w:rPr>
              <w:t>6</w:t>
            </w:r>
            <w:r>
              <w:rPr>
                <w:b/>
              </w:rPr>
              <w:t>,</w:t>
            </w:r>
            <w:r w:rsidRPr="007D2F95">
              <w:rPr>
                <w:b/>
              </w:rPr>
              <w:t>042</w:t>
            </w:r>
            <w:r>
              <w:rPr>
                <w:b/>
              </w:rPr>
              <w:t>,</w:t>
            </w:r>
            <w:r w:rsidRPr="007D2F95">
              <w:rPr>
                <w:b/>
              </w:rPr>
              <w:t>788</w:t>
            </w:r>
          </w:p>
        </w:tc>
        <w:tc>
          <w:tcPr>
            <w:tcW w:w="1276" w:type="dxa"/>
            <w:tcBorders>
              <w:top w:val="nil"/>
              <w:bottom w:val="nil"/>
            </w:tcBorders>
            <w:shd w:val="clear" w:color="auto" w:fill="auto"/>
            <w:vAlign w:val="center"/>
          </w:tcPr>
          <w:p w14:paraId="4B35FAFD"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A36934">
              <w:rPr>
                <w:b/>
              </w:rPr>
              <w:t>3</w:t>
            </w:r>
            <w:r>
              <w:rPr>
                <w:b/>
              </w:rPr>
              <w:t>,</w:t>
            </w:r>
            <w:r w:rsidRPr="00A36934">
              <w:rPr>
                <w:b/>
              </w:rPr>
              <w:t>923</w:t>
            </w:r>
            <w:r>
              <w:rPr>
                <w:b/>
              </w:rPr>
              <w:t>,</w:t>
            </w:r>
            <w:r w:rsidRPr="00A36934">
              <w:rPr>
                <w:b/>
              </w:rPr>
              <w:t>593</w:t>
            </w:r>
          </w:p>
        </w:tc>
        <w:tc>
          <w:tcPr>
            <w:tcW w:w="244" w:type="dxa"/>
            <w:tcBorders>
              <w:top w:val="nil"/>
              <w:bottom w:val="nil"/>
            </w:tcBorders>
            <w:shd w:val="clear" w:color="auto" w:fill="auto"/>
            <w:vAlign w:val="center"/>
          </w:tcPr>
          <w:p w14:paraId="70EAAAF4" w14:textId="77777777" w:rsidR="00AF04B6" w:rsidRPr="00520137"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315" w:type="dxa"/>
            <w:tcBorders>
              <w:top w:val="nil"/>
              <w:bottom w:val="nil"/>
            </w:tcBorders>
            <w:shd w:val="clear" w:color="auto" w:fill="auto"/>
            <w:vAlign w:val="center"/>
          </w:tcPr>
          <w:p w14:paraId="75AD33D2" w14:textId="77777777" w:rsidR="00AF04B6" w:rsidRPr="00520137"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bCs/>
              </w:rPr>
            </w:pPr>
            <w:r w:rsidRPr="002A31C4">
              <w:rPr>
                <w:b/>
                <w:bCs/>
              </w:rPr>
              <w:t>7</w:t>
            </w:r>
            <w:r>
              <w:rPr>
                <w:b/>
                <w:bCs/>
              </w:rPr>
              <w:t>,</w:t>
            </w:r>
            <w:r w:rsidRPr="002A31C4">
              <w:rPr>
                <w:b/>
                <w:bCs/>
              </w:rPr>
              <w:t>299</w:t>
            </w:r>
            <w:r>
              <w:rPr>
                <w:b/>
                <w:bCs/>
              </w:rPr>
              <w:t>,</w:t>
            </w:r>
            <w:r w:rsidRPr="002A31C4">
              <w:rPr>
                <w:b/>
                <w:bCs/>
              </w:rPr>
              <w:t>889</w:t>
            </w:r>
          </w:p>
        </w:tc>
        <w:tc>
          <w:tcPr>
            <w:tcW w:w="1418" w:type="dxa"/>
            <w:tcBorders>
              <w:top w:val="nil"/>
              <w:bottom w:val="nil"/>
            </w:tcBorders>
            <w:shd w:val="clear" w:color="auto" w:fill="auto"/>
            <w:vAlign w:val="center"/>
          </w:tcPr>
          <w:p w14:paraId="10A9EFC2" w14:textId="77777777" w:rsidR="00AF04B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2A31C4">
              <w:rPr>
                <w:b/>
                <w:bCs/>
              </w:rPr>
              <w:t>5</w:t>
            </w:r>
            <w:r>
              <w:rPr>
                <w:b/>
                <w:bCs/>
              </w:rPr>
              <w:t>,</w:t>
            </w:r>
            <w:r w:rsidRPr="002A31C4">
              <w:rPr>
                <w:b/>
                <w:bCs/>
              </w:rPr>
              <w:t>132</w:t>
            </w:r>
            <w:r>
              <w:rPr>
                <w:b/>
                <w:bCs/>
              </w:rPr>
              <w:t>,</w:t>
            </w:r>
            <w:r w:rsidRPr="002A31C4">
              <w:rPr>
                <w:b/>
                <w:bCs/>
              </w:rPr>
              <w:t>111</w:t>
            </w:r>
          </w:p>
        </w:tc>
      </w:tr>
      <w:tr w:rsidR="00AF04B6" w:rsidRPr="001D6BE8" w14:paraId="15CC0F2B" w14:textId="77777777" w:rsidTr="00E4652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0C302FA3" w14:textId="77777777" w:rsidR="00AF04B6" w:rsidRPr="00C806B0" w:rsidRDefault="00AF04B6" w:rsidP="004E48E8">
            <w:pPr>
              <w:pStyle w:val="08-Tabelageral"/>
              <w:jc w:val="left"/>
              <w:rPr>
                <w:rFonts w:cs="Arial"/>
                <w:bCs w:val="0"/>
                <w:szCs w:val="14"/>
              </w:rPr>
            </w:pPr>
            <w:r w:rsidRPr="00C20080">
              <w:rPr>
                <w:rFonts w:cs="Arial"/>
                <w:szCs w:val="14"/>
              </w:rPr>
              <w:t xml:space="preserve">Other Income </w:t>
            </w:r>
            <w:r>
              <w:rPr>
                <w:rFonts w:cs="Arial"/>
                <w:szCs w:val="14"/>
              </w:rPr>
              <w:t>a</w:t>
            </w:r>
            <w:r w:rsidRPr="00C20080">
              <w:rPr>
                <w:rFonts w:cs="Arial"/>
                <w:szCs w:val="14"/>
              </w:rPr>
              <w:t>nd Expenses</w:t>
            </w:r>
          </w:p>
        </w:tc>
        <w:tc>
          <w:tcPr>
            <w:tcW w:w="732" w:type="dxa"/>
            <w:tcBorders>
              <w:top w:val="nil"/>
              <w:bottom w:val="nil"/>
            </w:tcBorders>
            <w:shd w:val="clear" w:color="auto" w:fill="auto"/>
            <w:vAlign w:val="center"/>
          </w:tcPr>
          <w:p w14:paraId="2FA0485F" w14:textId="77777777" w:rsidR="00AF04B6" w:rsidRPr="00520137"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92" w:type="dxa"/>
            <w:tcBorders>
              <w:top w:val="nil"/>
              <w:left w:val="nil"/>
              <w:bottom w:val="nil"/>
              <w:right w:val="nil"/>
            </w:tcBorders>
            <w:shd w:val="clear" w:color="auto" w:fill="auto"/>
            <w:vAlign w:val="center"/>
          </w:tcPr>
          <w:p w14:paraId="33053B48"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7D2F95">
              <w:rPr>
                <w:b/>
                <w:bCs/>
              </w:rPr>
              <w:t>(13</w:t>
            </w:r>
            <w:r>
              <w:rPr>
                <w:b/>
                <w:bCs/>
              </w:rPr>
              <w:t>,</w:t>
            </w:r>
            <w:r w:rsidRPr="007D2F95">
              <w:rPr>
                <w:b/>
                <w:bCs/>
              </w:rPr>
              <w:t>537)</w:t>
            </w:r>
          </w:p>
        </w:tc>
        <w:tc>
          <w:tcPr>
            <w:tcW w:w="1276" w:type="dxa"/>
            <w:tcBorders>
              <w:top w:val="nil"/>
              <w:bottom w:val="nil"/>
            </w:tcBorders>
            <w:shd w:val="clear" w:color="auto" w:fill="auto"/>
            <w:vAlign w:val="center"/>
          </w:tcPr>
          <w:p w14:paraId="6ABFF9AB"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36934">
              <w:rPr>
                <w:b/>
              </w:rPr>
              <w:t>(8</w:t>
            </w:r>
            <w:r>
              <w:rPr>
                <w:b/>
              </w:rPr>
              <w:t>,</w:t>
            </w:r>
            <w:r w:rsidRPr="00A36934">
              <w:rPr>
                <w:b/>
              </w:rPr>
              <w:t>572)</w:t>
            </w:r>
          </w:p>
        </w:tc>
        <w:tc>
          <w:tcPr>
            <w:tcW w:w="244" w:type="dxa"/>
            <w:tcBorders>
              <w:top w:val="nil"/>
              <w:bottom w:val="nil"/>
            </w:tcBorders>
            <w:shd w:val="clear" w:color="auto" w:fill="auto"/>
            <w:vAlign w:val="center"/>
          </w:tcPr>
          <w:p w14:paraId="61D9FE05" w14:textId="77777777" w:rsidR="00AF04B6" w:rsidRPr="00520137"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5" w:type="dxa"/>
            <w:tcBorders>
              <w:top w:val="nil"/>
              <w:bottom w:val="nil"/>
            </w:tcBorders>
            <w:shd w:val="clear" w:color="auto" w:fill="auto"/>
            <w:vAlign w:val="center"/>
          </w:tcPr>
          <w:p w14:paraId="02F2EB0C" w14:textId="77777777" w:rsidR="00AF04B6" w:rsidRPr="00520137"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b/>
                <w:bCs/>
              </w:rPr>
            </w:pPr>
            <w:r w:rsidRPr="002A31C4">
              <w:rPr>
                <w:b/>
                <w:bCs/>
              </w:rPr>
              <w:t>(254</w:t>
            </w:r>
            <w:r>
              <w:rPr>
                <w:b/>
                <w:bCs/>
              </w:rPr>
              <w:t>,</w:t>
            </w:r>
            <w:r w:rsidRPr="002A31C4">
              <w:rPr>
                <w:b/>
                <w:bCs/>
              </w:rPr>
              <w:t>220)</w:t>
            </w:r>
          </w:p>
        </w:tc>
        <w:tc>
          <w:tcPr>
            <w:tcW w:w="1418" w:type="dxa"/>
            <w:tcBorders>
              <w:top w:val="nil"/>
              <w:bottom w:val="nil"/>
            </w:tcBorders>
            <w:shd w:val="clear" w:color="auto" w:fill="auto"/>
            <w:vAlign w:val="center"/>
          </w:tcPr>
          <w:p w14:paraId="3C2FEE0C" w14:textId="77777777" w:rsidR="00AF04B6"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A31C4">
              <w:rPr>
                <w:b/>
                <w:bCs/>
              </w:rPr>
              <w:t>(199</w:t>
            </w:r>
            <w:r>
              <w:rPr>
                <w:b/>
                <w:bCs/>
              </w:rPr>
              <w:t>,</w:t>
            </w:r>
            <w:r w:rsidRPr="002A31C4">
              <w:rPr>
                <w:b/>
                <w:bCs/>
              </w:rPr>
              <w:t>911)</w:t>
            </w:r>
          </w:p>
        </w:tc>
      </w:tr>
      <w:tr w:rsidR="00AF04B6" w:rsidRPr="001D6BE8" w14:paraId="4A96B712" w14:textId="77777777" w:rsidTr="00E4652D">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506E8FB4" w14:textId="77777777" w:rsidR="00AF04B6" w:rsidRPr="00C806B0" w:rsidRDefault="00AF04B6" w:rsidP="004E48E8">
            <w:pPr>
              <w:pStyle w:val="08-Tabelageral"/>
              <w:ind w:left="113"/>
              <w:jc w:val="left"/>
              <w:rPr>
                <w:rFonts w:cs="Arial"/>
                <w:b w:val="0"/>
                <w:szCs w:val="14"/>
              </w:rPr>
            </w:pPr>
            <w:r w:rsidRPr="00C20080">
              <w:rPr>
                <w:b w:val="0"/>
              </w:rPr>
              <w:t>Personnel expenses</w:t>
            </w:r>
          </w:p>
        </w:tc>
        <w:tc>
          <w:tcPr>
            <w:tcW w:w="732" w:type="dxa"/>
            <w:tcBorders>
              <w:top w:val="nil"/>
              <w:bottom w:val="nil"/>
            </w:tcBorders>
            <w:shd w:val="clear" w:color="auto" w:fill="auto"/>
            <w:vAlign w:val="center"/>
          </w:tcPr>
          <w:p w14:paraId="3C8BD73D" w14:textId="77777777" w:rsidR="00AF04B6" w:rsidRPr="008121B0" w:rsidRDefault="00AF04B6" w:rsidP="004E48E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823355">
              <w:t>[10]</w:t>
            </w:r>
          </w:p>
        </w:tc>
        <w:tc>
          <w:tcPr>
            <w:tcW w:w="1492" w:type="dxa"/>
            <w:tcBorders>
              <w:top w:val="nil"/>
              <w:left w:val="nil"/>
              <w:bottom w:val="nil"/>
              <w:right w:val="nil"/>
            </w:tcBorders>
            <w:shd w:val="clear" w:color="auto" w:fill="auto"/>
            <w:vAlign w:val="center"/>
          </w:tcPr>
          <w:p w14:paraId="5BCD19BF"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7D2F95">
              <w:t>(14</w:t>
            </w:r>
            <w:r>
              <w:t>,</w:t>
            </w:r>
            <w:r w:rsidRPr="007D2F95">
              <w:t>955)</w:t>
            </w:r>
          </w:p>
        </w:tc>
        <w:tc>
          <w:tcPr>
            <w:tcW w:w="1276" w:type="dxa"/>
            <w:tcBorders>
              <w:top w:val="nil"/>
              <w:bottom w:val="nil"/>
            </w:tcBorders>
            <w:shd w:val="clear" w:color="auto" w:fill="auto"/>
            <w:vAlign w:val="center"/>
          </w:tcPr>
          <w:p w14:paraId="6661A560"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A36934">
              <w:t>(12</w:t>
            </w:r>
            <w:r>
              <w:t>,</w:t>
            </w:r>
            <w:r w:rsidRPr="00A36934">
              <w:t>167)</w:t>
            </w:r>
          </w:p>
        </w:tc>
        <w:tc>
          <w:tcPr>
            <w:tcW w:w="244" w:type="dxa"/>
            <w:tcBorders>
              <w:top w:val="nil"/>
              <w:bottom w:val="nil"/>
            </w:tcBorders>
            <w:shd w:val="clear" w:color="auto" w:fill="auto"/>
            <w:vAlign w:val="center"/>
          </w:tcPr>
          <w:p w14:paraId="4B1250C8"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p>
        </w:tc>
        <w:tc>
          <w:tcPr>
            <w:tcW w:w="1315" w:type="dxa"/>
            <w:tcBorders>
              <w:top w:val="nil"/>
              <w:bottom w:val="nil"/>
            </w:tcBorders>
            <w:shd w:val="clear" w:color="auto" w:fill="auto"/>
            <w:vAlign w:val="center"/>
          </w:tcPr>
          <w:p w14:paraId="18B1DAA1"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sidRPr="002A31C4">
              <w:t>(74</w:t>
            </w:r>
            <w:r>
              <w:t>,</w:t>
            </w:r>
            <w:r w:rsidRPr="002A31C4">
              <w:t>512)</w:t>
            </w:r>
          </w:p>
        </w:tc>
        <w:tc>
          <w:tcPr>
            <w:tcW w:w="1418" w:type="dxa"/>
            <w:tcBorders>
              <w:top w:val="nil"/>
              <w:bottom w:val="nil"/>
            </w:tcBorders>
            <w:shd w:val="clear" w:color="auto" w:fill="auto"/>
            <w:vAlign w:val="center"/>
          </w:tcPr>
          <w:p w14:paraId="7A1D2162" w14:textId="77777777" w:rsidR="00AF04B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A31C4">
              <w:t>(63</w:t>
            </w:r>
            <w:r>
              <w:t>,</w:t>
            </w:r>
            <w:r w:rsidRPr="002A31C4">
              <w:t>114)</w:t>
            </w:r>
          </w:p>
        </w:tc>
      </w:tr>
      <w:tr w:rsidR="00AF04B6" w:rsidRPr="001D6BE8" w14:paraId="0B62B495" w14:textId="77777777" w:rsidTr="00E4652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12F9FACB" w14:textId="77777777" w:rsidR="00AF04B6" w:rsidRPr="00C806B0" w:rsidRDefault="00AF04B6" w:rsidP="004E48E8">
            <w:pPr>
              <w:pStyle w:val="08-Tabelageral"/>
              <w:ind w:left="113"/>
              <w:jc w:val="left"/>
              <w:rPr>
                <w:rFonts w:cs="Arial"/>
                <w:b w:val="0"/>
                <w:szCs w:val="14"/>
              </w:rPr>
            </w:pPr>
            <w:r w:rsidRPr="00BA0FFD">
              <w:rPr>
                <w:b w:val="0"/>
              </w:rPr>
              <w:t>Administrative</w:t>
            </w:r>
            <w:r>
              <w:rPr>
                <w:b w:val="0"/>
              </w:rPr>
              <w:t>s</w:t>
            </w:r>
            <w:r w:rsidRPr="00BA0FFD">
              <w:rPr>
                <w:b w:val="0"/>
              </w:rPr>
              <w:t xml:space="preserve"> </w:t>
            </w:r>
            <w:r>
              <w:rPr>
                <w:b w:val="0"/>
              </w:rPr>
              <w:t xml:space="preserve">and sales </w:t>
            </w:r>
            <w:r w:rsidRPr="00BA0FFD">
              <w:rPr>
                <w:b w:val="0"/>
              </w:rPr>
              <w:t>expenses</w:t>
            </w:r>
          </w:p>
        </w:tc>
        <w:tc>
          <w:tcPr>
            <w:tcW w:w="732" w:type="dxa"/>
            <w:tcBorders>
              <w:top w:val="nil"/>
              <w:bottom w:val="nil"/>
            </w:tcBorders>
            <w:shd w:val="clear" w:color="auto" w:fill="auto"/>
            <w:vAlign w:val="center"/>
          </w:tcPr>
          <w:p w14:paraId="1B16FBA4" w14:textId="77777777" w:rsidR="00AF04B6" w:rsidRPr="008121B0" w:rsidRDefault="00AF04B6" w:rsidP="004E48E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823355">
              <w:t>[11]</w:t>
            </w:r>
          </w:p>
        </w:tc>
        <w:tc>
          <w:tcPr>
            <w:tcW w:w="1492" w:type="dxa"/>
            <w:tcBorders>
              <w:top w:val="nil"/>
              <w:left w:val="nil"/>
              <w:bottom w:val="nil"/>
              <w:right w:val="nil"/>
            </w:tcBorders>
            <w:shd w:val="clear" w:color="auto" w:fill="auto"/>
            <w:vAlign w:val="center"/>
          </w:tcPr>
          <w:p w14:paraId="5BC07767"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7D2F95">
              <w:t>(3</w:t>
            </w:r>
            <w:r>
              <w:t>,</w:t>
            </w:r>
            <w:r w:rsidRPr="007D2F95">
              <w:t>867)</w:t>
            </w:r>
          </w:p>
        </w:tc>
        <w:tc>
          <w:tcPr>
            <w:tcW w:w="1276" w:type="dxa"/>
            <w:tcBorders>
              <w:top w:val="nil"/>
              <w:bottom w:val="nil"/>
            </w:tcBorders>
            <w:shd w:val="clear" w:color="auto" w:fill="auto"/>
            <w:vAlign w:val="center"/>
          </w:tcPr>
          <w:p w14:paraId="01B1866F"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A36934">
              <w:t>(3</w:t>
            </w:r>
            <w:r>
              <w:t>,</w:t>
            </w:r>
            <w:r w:rsidRPr="00A36934">
              <w:t>152)</w:t>
            </w:r>
          </w:p>
        </w:tc>
        <w:tc>
          <w:tcPr>
            <w:tcW w:w="244" w:type="dxa"/>
            <w:tcBorders>
              <w:top w:val="nil"/>
              <w:bottom w:val="nil"/>
            </w:tcBorders>
            <w:shd w:val="clear" w:color="auto" w:fill="auto"/>
            <w:vAlign w:val="center"/>
          </w:tcPr>
          <w:p w14:paraId="127F05E7"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bottom w:val="nil"/>
            </w:tcBorders>
            <w:shd w:val="clear" w:color="auto" w:fill="auto"/>
            <w:vAlign w:val="center"/>
          </w:tcPr>
          <w:p w14:paraId="2E121D87"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r w:rsidRPr="002A31C4">
              <w:t>(49</w:t>
            </w:r>
            <w:r>
              <w:t>,</w:t>
            </w:r>
            <w:r w:rsidRPr="002A31C4">
              <w:t>988)</w:t>
            </w:r>
          </w:p>
        </w:tc>
        <w:tc>
          <w:tcPr>
            <w:tcW w:w="1418" w:type="dxa"/>
            <w:tcBorders>
              <w:top w:val="nil"/>
              <w:bottom w:val="nil"/>
            </w:tcBorders>
            <w:shd w:val="clear" w:color="auto" w:fill="auto"/>
            <w:vAlign w:val="center"/>
          </w:tcPr>
          <w:p w14:paraId="08038DC7" w14:textId="77777777" w:rsidR="00AF04B6"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A31C4">
              <w:t>(38</w:t>
            </w:r>
            <w:r>
              <w:t>,</w:t>
            </w:r>
            <w:r w:rsidRPr="002A31C4">
              <w:t>266)</w:t>
            </w:r>
          </w:p>
        </w:tc>
      </w:tr>
      <w:tr w:rsidR="00AF04B6" w:rsidRPr="001D6BE8" w14:paraId="278A3205" w14:textId="77777777" w:rsidTr="00E4652D">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64B66ED3" w14:textId="77777777" w:rsidR="00AF04B6" w:rsidRPr="00C806B0" w:rsidRDefault="00AF04B6" w:rsidP="004E48E8">
            <w:pPr>
              <w:pStyle w:val="08-Tabelageral"/>
              <w:ind w:left="113"/>
              <w:jc w:val="left"/>
              <w:rPr>
                <w:rFonts w:cs="Arial"/>
                <w:b w:val="0"/>
                <w:szCs w:val="14"/>
              </w:rPr>
            </w:pPr>
            <w:r w:rsidRPr="00BA0FFD">
              <w:rPr>
                <w:b w:val="0"/>
              </w:rPr>
              <w:t>Tax expenses</w:t>
            </w:r>
          </w:p>
        </w:tc>
        <w:tc>
          <w:tcPr>
            <w:tcW w:w="732" w:type="dxa"/>
            <w:tcBorders>
              <w:top w:val="nil"/>
              <w:bottom w:val="nil"/>
            </w:tcBorders>
            <w:shd w:val="clear" w:color="auto" w:fill="auto"/>
            <w:vAlign w:val="center"/>
          </w:tcPr>
          <w:p w14:paraId="45C6856B" w14:textId="77777777" w:rsidR="00AF04B6" w:rsidRPr="008121B0" w:rsidRDefault="00AF04B6" w:rsidP="004E48E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823355">
              <w:t>[12.c]</w:t>
            </w:r>
          </w:p>
        </w:tc>
        <w:tc>
          <w:tcPr>
            <w:tcW w:w="1492" w:type="dxa"/>
            <w:tcBorders>
              <w:top w:val="nil"/>
              <w:left w:val="nil"/>
              <w:bottom w:val="nil"/>
              <w:right w:val="nil"/>
            </w:tcBorders>
            <w:shd w:val="clear" w:color="auto" w:fill="auto"/>
            <w:vAlign w:val="center"/>
          </w:tcPr>
          <w:p w14:paraId="6BF941DF"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7D2F95">
              <w:t>(2</w:t>
            </w:r>
            <w:r>
              <w:t>,</w:t>
            </w:r>
            <w:r w:rsidRPr="007D2F95">
              <w:t>914)</w:t>
            </w:r>
          </w:p>
        </w:tc>
        <w:tc>
          <w:tcPr>
            <w:tcW w:w="1276" w:type="dxa"/>
            <w:tcBorders>
              <w:top w:val="nil"/>
              <w:bottom w:val="nil"/>
            </w:tcBorders>
            <w:shd w:val="clear" w:color="auto" w:fill="auto"/>
            <w:vAlign w:val="center"/>
          </w:tcPr>
          <w:p w14:paraId="5460E658"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A36934">
              <w:t>(2</w:t>
            </w:r>
            <w:r>
              <w:t>,</w:t>
            </w:r>
            <w:r w:rsidRPr="00A36934">
              <w:t>083)</w:t>
            </w:r>
          </w:p>
        </w:tc>
        <w:tc>
          <w:tcPr>
            <w:tcW w:w="244" w:type="dxa"/>
            <w:tcBorders>
              <w:top w:val="nil"/>
              <w:bottom w:val="nil"/>
            </w:tcBorders>
            <w:shd w:val="clear" w:color="auto" w:fill="auto"/>
            <w:vAlign w:val="center"/>
          </w:tcPr>
          <w:p w14:paraId="2471B22F"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p>
        </w:tc>
        <w:tc>
          <w:tcPr>
            <w:tcW w:w="1315" w:type="dxa"/>
            <w:tcBorders>
              <w:top w:val="nil"/>
              <w:bottom w:val="nil"/>
            </w:tcBorders>
            <w:shd w:val="clear" w:color="auto" w:fill="auto"/>
            <w:vAlign w:val="center"/>
          </w:tcPr>
          <w:p w14:paraId="38CD8459"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sidRPr="002A31C4">
              <w:t>(50</w:t>
            </w:r>
            <w:r>
              <w:t>,</w:t>
            </w:r>
            <w:r w:rsidRPr="002A31C4">
              <w:t>340)</w:t>
            </w:r>
          </w:p>
        </w:tc>
        <w:tc>
          <w:tcPr>
            <w:tcW w:w="1418" w:type="dxa"/>
            <w:tcBorders>
              <w:top w:val="nil"/>
              <w:bottom w:val="nil"/>
            </w:tcBorders>
            <w:shd w:val="clear" w:color="auto" w:fill="auto"/>
            <w:vAlign w:val="center"/>
          </w:tcPr>
          <w:p w14:paraId="3F5B2AEA" w14:textId="77777777" w:rsidR="00AF04B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A31C4">
              <w:t>(22</w:t>
            </w:r>
            <w:r>
              <w:t>,</w:t>
            </w:r>
            <w:r w:rsidRPr="002A31C4">
              <w:t>651)</w:t>
            </w:r>
          </w:p>
        </w:tc>
      </w:tr>
      <w:tr w:rsidR="00AF04B6" w:rsidRPr="001D6BE8" w14:paraId="08B1AFC0" w14:textId="77777777" w:rsidTr="00E4652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7BADA994" w14:textId="77777777" w:rsidR="00AF04B6" w:rsidRPr="00AB64D8" w:rsidRDefault="00AF04B6" w:rsidP="004E48E8">
            <w:pPr>
              <w:pStyle w:val="08-Tabelageral"/>
              <w:ind w:left="113"/>
              <w:jc w:val="left"/>
              <w:rPr>
                <w:rFonts w:cs="Arial"/>
                <w:b w:val="0"/>
                <w:bCs w:val="0"/>
                <w:szCs w:val="14"/>
                <w:lang w:val="en-US"/>
              </w:rPr>
            </w:pPr>
            <w:r>
              <w:rPr>
                <w:rFonts w:cs="Arial"/>
                <w:b w:val="0"/>
                <w:bCs w:val="0"/>
                <w:szCs w:val="14"/>
                <w:lang w:val="en-US"/>
              </w:rPr>
              <w:t>P</w:t>
            </w:r>
            <w:r w:rsidRPr="00AB64D8">
              <w:rPr>
                <w:rFonts w:cs="Arial"/>
                <w:b w:val="0"/>
                <w:bCs w:val="0"/>
                <w:szCs w:val="14"/>
                <w:lang w:val="en-US"/>
              </w:rPr>
              <w:t>rovision for brokerage to</w:t>
            </w:r>
            <w:r w:rsidRPr="00CE5126">
              <w:rPr>
                <w:lang w:val="en-US"/>
              </w:rPr>
              <w:t xml:space="preserve"> </w:t>
            </w:r>
            <w:r w:rsidRPr="00AB64D8">
              <w:rPr>
                <w:rFonts w:cs="Arial"/>
                <w:b w:val="0"/>
                <w:bCs w:val="0"/>
                <w:szCs w:val="14"/>
                <w:lang w:val="en-US"/>
              </w:rPr>
              <w:t>returned</w:t>
            </w:r>
          </w:p>
          <w:p w14:paraId="504F82B5" w14:textId="77777777" w:rsidR="00AF04B6" w:rsidRPr="00AB64D8" w:rsidRDefault="00AF04B6" w:rsidP="004E48E8">
            <w:pPr>
              <w:pStyle w:val="08-Tabelageral"/>
              <w:ind w:left="113"/>
              <w:jc w:val="left"/>
              <w:rPr>
                <w:highlight w:val="yellow"/>
                <w:lang w:val="en-US"/>
              </w:rPr>
            </w:pPr>
            <w:r w:rsidRPr="00AB64D8">
              <w:rPr>
                <w:rFonts w:cs="Arial"/>
                <w:b w:val="0"/>
                <w:bCs w:val="0"/>
                <w:szCs w:val="14"/>
                <w:lang w:val="en-US"/>
              </w:rPr>
              <w:t>returned</w:t>
            </w:r>
          </w:p>
        </w:tc>
        <w:tc>
          <w:tcPr>
            <w:tcW w:w="732" w:type="dxa"/>
            <w:tcBorders>
              <w:top w:val="nil"/>
              <w:bottom w:val="nil"/>
            </w:tcBorders>
            <w:shd w:val="clear" w:color="auto" w:fill="auto"/>
            <w:vAlign w:val="center"/>
          </w:tcPr>
          <w:p w14:paraId="155641FB" w14:textId="77777777" w:rsidR="00AF04B6" w:rsidRPr="00CE5126" w:rsidRDefault="00AF04B6" w:rsidP="004E48E8">
            <w:pPr>
              <w:pStyle w:val="08-Tabelageral"/>
              <w:ind w:left="113"/>
              <w:cnfStyle w:val="000000100000" w:firstRow="0" w:lastRow="0" w:firstColumn="0" w:lastColumn="0" w:oddVBand="0" w:evenVBand="0" w:oddHBand="1" w:evenHBand="0" w:firstRowFirstColumn="0" w:firstRowLastColumn="0" w:lastRowFirstColumn="0" w:lastRowLastColumn="0"/>
            </w:pPr>
            <w:r w:rsidRPr="00CE5126">
              <w:rPr>
                <w:rFonts w:cs="Arial"/>
                <w:szCs w:val="14"/>
              </w:rPr>
              <w:t>[13]</w:t>
            </w:r>
          </w:p>
        </w:tc>
        <w:tc>
          <w:tcPr>
            <w:tcW w:w="1492" w:type="dxa"/>
            <w:tcBorders>
              <w:top w:val="nil"/>
              <w:left w:val="nil"/>
              <w:bottom w:val="nil"/>
              <w:right w:val="nil"/>
            </w:tcBorders>
            <w:shd w:val="clear" w:color="auto" w:fill="auto"/>
            <w:vAlign w:val="center"/>
          </w:tcPr>
          <w:p w14:paraId="292E0710" w14:textId="77777777" w:rsidR="00AF04B6" w:rsidRPr="00CE5126"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p>
        </w:tc>
        <w:tc>
          <w:tcPr>
            <w:tcW w:w="1276" w:type="dxa"/>
            <w:tcBorders>
              <w:top w:val="nil"/>
              <w:left w:val="nil"/>
              <w:bottom w:val="nil"/>
              <w:right w:val="nil"/>
            </w:tcBorders>
            <w:shd w:val="clear" w:color="auto" w:fill="auto"/>
            <w:vAlign w:val="center"/>
          </w:tcPr>
          <w:p w14:paraId="65D1B239" w14:textId="77777777" w:rsidR="00AF04B6" w:rsidRPr="00CE5126"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p>
        </w:tc>
        <w:tc>
          <w:tcPr>
            <w:tcW w:w="244" w:type="dxa"/>
            <w:tcBorders>
              <w:top w:val="nil"/>
              <w:bottom w:val="nil"/>
            </w:tcBorders>
            <w:shd w:val="clear" w:color="auto" w:fill="auto"/>
            <w:vAlign w:val="center"/>
          </w:tcPr>
          <w:p w14:paraId="38AF2480" w14:textId="77777777" w:rsidR="00AF04B6" w:rsidRPr="00CE5126"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left w:val="nil"/>
              <w:bottom w:val="nil"/>
              <w:right w:val="nil"/>
            </w:tcBorders>
            <w:shd w:val="clear" w:color="auto" w:fill="auto"/>
            <w:vAlign w:val="center"/>
          </w:tcPr>
          <w:p w14:paraId="32181CA4" w14:textId="77777777" w:rsidR="00AF04B6" w:rsidRPr="00CE5126"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r w:rsidRPr="002A31C4">
              <w:t>(57</w:t>
            </w:r>
            <w:r>
              <w:t>,</w:t>
            </w:r>
            <w:r w:rsidRPr="002A31C4">
              <w:t>788)</w:t>
            </w:r>
          </w:p>
        </w:tc>
        <w:tc>
          <w:tcPr>
            <w:tcW w:w="1418" w:type="dxa"/>
            <w:tcBorders>
              <w:top w:val="nil"/>
              <w:left w:val="nil"/>
              <w:bottom w:val="nil"/>
              <w:right w:val="nil"/>
            </w:tcBorders>
            <w:shd w:val="clear" w:color="auto" w:fill="auto"/>
            <w:vAlign w:val="center"/>
          </w:tcPr>
          <w:p w14:paraId="620F86C2" w14:textId="77777777" w:rsidR="00AF04B6" w:rsidRPr="00CE5126"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2A31C4">
              <w:t>(73</w:t>
            </w:r>
            <w:r>
              <w:t>,</w:t>
            </w:r>
            <w:r w:rsidRPr="002A31C4">
              <w:t>145)</w:t>
            </w:r>
          </w:p>
        </w:tc>
      </w:tr>
      <w:tr w:rsidR="00AF04B6" w:rsidRPr="001D6BE8" w14:paraId="702F33BF" w14:textId="77777777" w:rsidTr="00E4652D">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23B0021D" w14:textId="77777777" w:rsidR="00AF04B6" w:rsidRPr="00C806B0" w:rsidRDefault="00AF04B6" w:rsidP="004E48E8">
            <w:pPr>
              <w:pStyle w:val="08-Tabelageral"/>
              <w:ind w:left="113"/>
              <w:jc w:val="left"/>
              <w:rPr>
                <w:rFonts w:cs="Arial"/>
                <w:b w:val="0"/>
                <w:szCs w:val="14"/>
              </w:rPr>
            </w:pPr>
            <w:r w:rsidRPr="00BA0FFD">
              <w:rPr>
                <w:b w:val="0"/>
              </w:rPr>
              <w:t>Other</w:t>
            </w:r>
          </w:p>
        </w:tc>
        <w:tc>
          <w:tcPr>
            <w:tcW w:w="732" w:type="dxa"/>
            <w:tcBorders>
              <w:top w:val="nil"/>
              <w:bottom w:val="nil"/>
            </w:tcBorders>
            <w:shd w:val="clear" w:color="auto" w:fill="auto"/>
            <w:vAlign w:val="center"/>
          </w:tcPr>
          <w:p w14:paraId="324DD034" w14:textId="77777777" w:rsidR="00AF04B6" w:rsidRPr="008121B0" w:rsidRDefault="00AF04B6" w:rsidP="004E48E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823355">
              <w:t>[13]</w:t>
            </w:r>
          </w:p>
        </w:tc>
        <w:tc>
          <w:tcPr>
            <w:tcW w:w="1492" w:type="dxa"/>
            <w:tcBorders>
              <w:top w:val="nil"/>
              <w:left w:val="nil"/>
              <w:bottom w:val="nil"/>
              <w:right w:val="nil"/>
            </w:tcBorders>
            <w:shd w:val="clear" w:color="auto" w:fill="auto"/>
            <w:vAlign w:val="center"/>
          </w:tcPr>
          <w:p w14:paraId="6E39212C"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7D2F95">
              <w:t>8</w:t>
            </w:r>
            <w:r>
              <w:t>,</w:t>
            </w:r>
            <w:r w:rsidRPr="007D2F95">
              <w:t>199</w:t>
            </w:r>
          </w:p>
        </w:tc>
        <w:tc>
          <w:tcPr>
            <w:tcW w:w="1276" w:type="dxa"/>
            <w:tcBorders>
              <w:top w:val="nil"/>
              <w:left w:val="nil"/>
              <w:bottom w:val="nil"/>
              <w:right w:val="nil"/>
            </w:tcBorders>
            <w:shd w:val="clear" w:color="auto" w:fill="auto"/>
            <w:vAlign w:val="center"/>
          </w:tcPr>
          <w:p w14:paraId="20BA7D5D"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AD0BB2">
              <w:t>8</w:t>
            </w:r>
            <w:r>
              <w:t>,</w:t>
            </w:r>
            <w:r w:rsidRPr="00AD0BB2">
              <w:t>830</w:t>
            </w:r>
          </w:p>
        </w:tc>
        <w:tc>
          <w:tcPr>
            <w:tcW w:w="244" w:type="dxa"/>
            <w:tcBorders>
              <w:top w:val="nil"/>
              <w:bottom w:val="nil"/>
            </w:tcBorders>
            <w:shd w:val="clear" w:color="auto" w:fill="auto"/>
            <w:vAlign w:val="center"/>
          </w:tcPr>
          <w:p w14:paraId="2D680D50"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p>
        </w:tc>
        <w:tc>
          <w:tcPr>
            <w:tcW w:w="1315" w:type="dxa"/>
            <w:tcBorders>
              <w:top w:val="nil"/>
              <w:left w:val="nil"/>
              <w:bottom w:val="nil"/>
              <w:right w:val="nil"/>
            </w:tcBorders>
            <w:shd w:val="clear" w:color="auto" w:fill="auto"/>
            <w:vAlign w:val="center"/>
          </w:tcPr>
          <w:p w14:paraId="0BD37634"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sidRPr="002A31C4">
              <w:t>(21</w:t>
            </w:r>
            <w:r>
              <w:t>,</w:t>
            </w:r>
            <w:r w:rsidRPr="002A31C4">
              <w:t>592)</w:t>
            </w:r>
          </w:p>
        </w:tc>
        <w:tc>
          <w:tcPr>
            <w:tcW w:w="1418" w:type="dxa"/>
            <w:tcBorders>
              <w:top w:val="nil"/>
              <w:left w:val="nil"/>
              <w:bottom w:val="nil"/>
              <w:right w:val="nil"/>
            </w:tcBorders>
            <w:shd w:val="clear" w:color="auto" w:fill="auto"/>
            <w:vAlign w:val="center"/>
          </w:tcPr>
          <w:p w14:paraId="4A6A6EF3" w14:textId="77777777" w:rsidR="00AF04B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2A31C4">
              <w:t>(2</w:t>
            </w:r>
            <w:r>
              <w:t>,</w:t>
            </w:r>
            <w:r w:rsidRPr="002A31C4">
              <w:t>375)</w:t>
            </w:r>
          </w:p>
        </w:tc>
      </w:tr>
      <w:tr w:rsidR="00AF04B6" w:rsidRPr="001D6BE8" w14:paraId="0F74F481" w14:textId="77777777" w:rsidTr="00E4652D">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5DE10D90" w14:textId="77777777" w:rsidR="00AF04B6" w:rsidRPr="0038283D" w:rsidRDefault="00AF04B6" w:rsidP="004E48E8">
            <w:pPr>
              <w:pStyle w:val="08-Tabelageral"/>
              <w:jc w:val="left"/>
              <w:rPr>
                <w:rFonts w:cs="Arial"/>
                <w:szCs w:val="14"/>
                <w:lang w:val="en-US"/>
              </w:rPr>
            </w:pPr>
            <w:r w:rsidRPr="00BD6C7E">
              <w:rPr>
                <w:rFonts w:cs="Arial"/>
                <w:szCs w:val="14"/>
                <w:lang w:val="en-US"/>
              </w:rPr>
              <w:t xml:space="preserve">Income Before Financial Revenue </w:t>
            </w:r>
            <w:r>
              <w:rPr>
                <w:rFonts w:cs="Arial"/>
                <w:szCs w:val="14"/>
                <w:lang w:val="en-US"/>
              </w:rPr>
              <w:t>a</w:t>
            </w:r>
            <w:r w:rsidRPr="00BD6C7E">
              <w:rPr>
                <w:rFonts w:cs="Arial"/>
                <w:szCs w:val="14"/>
                <w:lang w:val="en-US"/>
              </w:rPr>
              <w:t>nd Expenses</w:t>
            </w:r>
          </w:p>
        </w:tc>
        <w:tc>
          <w:tcPr>
            <w:tcW w:w="732" w:type="dxa"/>
            <w:tcBorders>
              <w:top w:val="nil"/>
              <w:bottom w:val="nil"/>
            </w:tcBorders>
            <w:shd w:val="clear" w:color="auto" w:fill="auto"/>
            <w:vAlign w:val="center"/>
          </w:tcPr>
          <w:p w14:paraId="1DD22BCD" w14:textId="77777777" w:rsidR="00AF04B6" w:rsidRPr="0038283D"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492" w:type="dxa"/>
            <w:tcBorders>
              <w:top w:val="nil"/>
              <w:left w:val="nil"/>
              <w:bottom w:val="nil"/>
              <w:right w:val="nil"/>
            </w:tcBorders>
            <w:shd w:val="clear" w:color="auto" w:fill="auto"/>
            <w:vAlign w:val="center"/>
          </w:tcPr>
          <w:p w14:paraId="22E70CD3"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7D2F95">
              <w:rPr>
                <w:b/>
              </w:rPr>
              <w:t>6</w:t>
            </w:r>
            <w:r>
              <w:rPr>
                <w:b/>
              </w:rPr>
              <w:t>,</w:t>
            </w:r>
            <w:r w:rsidRPr="007D2F95">
              <w:rPr>
                <w:b/>
              </w:rPr>
              <w:t>029</w:t>
            </w:r>
            <w:r>
              <w:rPr>
                <w:b/>
              </w:rPr>
              <w:t>,</w:t>
            </w:r>
            <w:r w:rsidRPr="007D2F95">
              <w:rPr>
                <w:b/>
              </w:rPr>
              <w:t>251</w:t>
            </w:r>
          </w:p>
        </w:tc>
        <w:tc>
          <w:tcPr>
            <w:tcW w:w="1276" w:type="dxa"/>
            <w:tcBorders>
              <w:top w:val="nil"/>
              <w:bottom w:val="nil"/>
            </w:tcBorders>
            <w:shd w:val="clear" w:color="auto" w:fill="auto"/>
            <w:vAlign w:val="center"/>
          </w:tcPr>
          <w:p w14:paraId="14E3BAB8"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36934">
              <w:rPr>
                <w:b/>
                <w:bCs/>
              </w:rPr>
              <w:t>3</w:t>
            </w:r>
            <w:r>
              <w:rPr>
                <w:b/>
                <w:bCs/>
              </w:rPr>
              <w:t>,</w:t>
            </w:r>
            <w:r w:rsidRPr="00A36934">
              <w:rPr>
                <w:b/>
                <w:bCs/>
              </w:rPr>
              <w:t>915</w:t>
            </w:r>
            <w:r>
              <w:rPr>
                <w:b/>
                <w:bCs/>
              </w:rPr>
              <w:t>,</w:t>
            </w:r>
            <w:r w:rsidRPr="00A36934">
              <w:rPr>
                <w:b/>
                <w:bCs/>
              </w:rPr>
              <w:t>021</w:t>
            </w:r>
          </w:p>
        </w:tc>
        <w:tc>
          <w:tcPr>
            <w:tcW w:w="244" w:type="dxa"/>
            <w:tcBorders>
              <w:top w:val="nil"/>
              <w:bottom w:val="nil"/>
            </w:tcBorders>
            <w:shd w:val="clear" w:color="auto" w:fill="auto"/>
            <w:vAlign w:val="center"/>
          </w:tcPr>
          <w:p w14:paraId="7F7EE3EE" w14:textId="77777777" w:rsidR="00AF04B6" w:rsidRPr="00520137"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5" w:type="dxa"/>
            <w:tcBorders>
              <w:top w:val="nil"/>
              <w:bottom w:val="nil"/>
            </w:tcBorders>
            <w:shd w:val="clear" w:color="auto" w:fill="auto"/>
            <w:vAlign w:val="center"/>
          </w:tcPr>
          <w:p w14:paraId="41FB1F6A" w14:textId="77777777" w:rsidR="00AF04B6" w:rsidRPr="00520137"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b/>
                <w:bCs/>
              </w:rPr>
            </w:pPr>
            <w:r w:rsidRPr="002A31C4">
              <w:rPr>
                <w:b/>
                <w:bCs/>
              </w:rPr>
              <w:t>7</w:t>
            </w:r>
            <w:r>
              <w:rPr>
                <w:b/>
                <w:bCs/>
              </w:rPr>
              <w:t>,</w:t>
            </w:r>
            <w:r w:rsidRPr="002A31C4">
              <w:rPr>
                <w:b/>
                <w:bCs/>
              </w:rPr>
              <w:t>045</w:t>
            </w:r>
            <w:r>
              <w:rPr>
                <w:b/>
                <w:bCs/>
              </w:rPr>
              <w:t>,</w:t>
            </w:r>
            <w:r w:rsidRPr="002A31C4">
              <w:rPr>
                <w:b/>
                <w:bCs/>
              </w:rPr>
              <w:t>669</w:t>
            </w:r>
          </w:p>
        </w:tc>
        <w:tc>
          <w:tcPr>
            <w:tcW w:w="1418" w:type="dxa"/>
            <w:tcBorders>
              <w:top w:val="nil"/>
              <w:bottom w:val="nil"/>
            </w:tcBorders>
            <w:shd w:val="clear" w:color="auto" w:fill="auto"/>
            <w:vAlign w:val="center"/>
          </w:tcPr>
          <w:p w14:paraId="59F10C62" w14:textId="77777777" w:rsidR="00AF04B6"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2A31C4">
              <w:rPr>
                <w:b/>
                <w:bCs/>
              </w:rPr>
              <w:t>4</w:t>
            </w:r>
            <w:r>
              <w:rPr>
                <w:b/>
                <w:bCs/>
              </w:rPr>
              <w:t>,</w:t>
            </w:r>
            <w:r w:rsidRPr="002A31C4">
              <w:rPr>
                <w:b/>
                <w:bCs/>
              </w:rPr>
              <w:t>932</w:t>
            </w:r>
            <w:r>
              <w:rPr>
                <w:b/>
                <w:bCs/>
              </w:rPr>
              <w:t>,</w:t>
            </w:r>
            <w:r w:rsidRPr="002A31C4">
              <w:rPr>
                <w:b/>
                <w:bCs/>
              </w:rPr>
              <w:t>200</w:t>
            </w:r>
          </w:p>
        </w:tc>
      </w:tr>
      <w:tr w:rsidR="00AF04B6" w:rsidRPr="001D6BE8" w14:paraId="4AA64B3F" w14:textId="77777777" w:rsidTr="00E4652D">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14D4B7BB" w14:textId="77777777" w:rsidR="00AF04B6" w:rsidRPr="00C806B0" w:rsidRDefault="00AF04B6" w:rsidP="004E48E8">
            <w:pPr>
              <w:pStyle w:val="08-Tabelageral"/>
              <w:jc w:val="left"/>
              <w:rPr>
                <w:rFonts w:cs="Arial"/>
                <w:szCs w:val="14"/>
              </w:rPr>
            </w:pPr>
            <w:r w:rsidRPr="00C87262">
              <w:rPr>
                <w:rFonts w:cs="Arial"/>
                <w:szCs w:val="14"/>
              </w:rPr>
              <w:t>Financial Result</w:t>
            </w:r>
          </w:p>
        </w:tc>
        <w:tc>
          <w:tcPr>
            <w:tcW w:w="732" w:type="dxa"/>
            <w:tcBorders>
              <w:top w:val="nil"/>
              <w:bottom w:val="nil"/>
            </w:tcBorders>
            <w:shd w:val="clear" w:color="auto" w:fill="auto"/>
            <w:vAlign w:val="center"/>
          </w:tcPr>
          <w:p w14:paraId="3F99439F" w14:textId="77777777" w:rsidR="00AF04B6" w:rsidRPr="00520137"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520137">
              <w:rPr>
                <w:b/>
                <w:bCs/>
              </w:rPr>
              <w:t>[14]</w:t>
            </w:r>
          </w:p>
        </w:tc>
        <w:tc>
          <w:tcPr>
            <w:tcW w:w="1492" w:type="dxa"/>
            <w:tcBorders>
              <w:top w:val="nil"/>
              <w:left w:val="nil"/>
              <w:bottom w:val="nil"/>
              <w:right w:val="nil"/>
            </w:tcBorders>
            <w:shd w:val="clear" w:color="auto" w:fill="auto"/>
            <w:vAlign w:val="center"/>
          </w:tcPr>
          <w:p w14:paraId="75C3F78F"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7D2F95">
              <w:rPr>
                <w:b/>
              </w:rPr>
              <w:t>16</w:t>
            </w:r>
            <w:r>
              <w:rPr>
                <w:b/>
              </w:rPr>
              <w:t>,</w:t>
            </w:r>
            <w:r w:rsidRPr="007D2F95">
              <w:rPr>
                <w:b/>
              </w:rPr>
              <w:t>370</w:t>
            </w:r>
          </w:p>
        </w:tc>
        <w:tc>
          <w:tcPr>
            <w:tcW w:w="1276" w:type="dxa"/>
            <w:tcBorders>
              <w:top w:val="nil"/>
              <w:bottom w:val="nil"/>
            </w:tcBorders>
            <w:shd w:val="clear" w:color="auto" w:fill="auto"/>
            <w:vAlign w:val="center"/>
          </w:tcPr>
          <w:p w14:paraId="79FD301E"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A36934">
              <w:rPr>
                <w:b/>
                <w:bCs/>
              </w:rPr>
              <w:t>22</w:t>
            </w:r>
            <w:r>
              <w:rPr>
                <w:b/>
                <w:bCs/>
              </w:rPr>
              <w:t>,</w:t>
            </w:r>
            <w:r w:rsidRPr="00A36934">
              <w:rPr>
                <w:b/>
                <w:bCs/>
              </w:rPr>
              <w:t>901</w:t>
            </w:r>
          </w:p>
        </w:tc>
        <w:tc>
          <w:tcPr>
            <w:tcW w:w="244" w:type="dxa"/>
            <w:tcBorders>
              <w:top w:val="nil"/>
              <w:bottom w:val="nil"/>
            </w:tcBorders>
            <w:shd w:val="clear" w:color="auto" w:fill="auto"/>
            <w:vAlign w:val="center"/>
          </w:tcPr>
          <w:p w14:paraId="012BE2D1" w14:textId="77777777" w:rsidR="00AF04B6" w:rsidRPr="00520137"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315" w:type="dxa"/>
            <w:tcBorders>
              <w:top w:val="nil"/>
              <w:bottom w:val="nil"/>
            </w:tcBorders>
            <w:shd w:val="clear" w:color="auto" w:fill="auto"/>
            <w:vAlign w:val="center"/>
          </w:tcPr>
          <w:p w14:paraId="0BA91F68" w14:textId="77777777" w:rsidR="00AF04B6" w:rsidRPr="00520137"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bCs/>
              </w:rPr>
            </w:pPr>
            <w:r w:rsidRPr="00CF3ED7">
              <w:rPr>
                <w:b/>
                <w:bCs/>
              </w:rPr>
              <w:t>502</w:t>
            </w:r>
            <w:r>
              <w:rPr>
                <w:b/>
                <w:bCs/>
              </w:rPr>
              <w:t>,</w:t>
            </w:r>
            <w:r w:rsidRPr="00CF3ED7">
              <w:rPr>
                <w:b/>
                <w:bCs/>
              </w:rPr>
              <w:t>562</w:t>
            </w:r>
          </w:p>
        </w:tc>
        <w:tc>
          <w:tcPr>
            <w:tcW w:w="1418" w:type="dxa"/>
            <w:tcBorders>
              <w:top w:val="nil"/>
              <w:bottom w:val="nil"/>
            </w:tcBorders>
            <w:shd w:val="clear" w:color="auto" w:fill="auto"/>
            <w:vAlign w:val="center"/>
          </w:tcPr>
          <w:p w14:paraId="72268417" w14:textId="77777777" w:rsidR="00AF04B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A36934">
              <w:rPr>
                <w:b/>
                <w:bCs/>
              </w:rPr>
              <w:t>147</w:t>
            </w:r>
            <w:r>
              <w:rPr>
                <w:b/>
                <w:bCs/>
              </w:rPr>
              <w:t>,</w:t>
            </w:r>
            <w:r w:rsidRPr="00A36934">
              <w:rPr>
                <w:b/>
                <w:bCs/>
              </w:rPr>
              <w:t>224</w:t>
            </w:r>
          </w:p>
        </w:tc>
      </w:tr>
      <w:tr w:rsidR="00AF04B6" w:rsidRPr="001D6BE8" w14:paraId="40433E6F" w14:textId="77777777" w:rsidTr="00E4652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68A18CDF" w14:textId="77777777" w:rsidR="00AF04B6" w:rsidRPr="00C806B0" w:rsidRDefault="00AF04B6" w:rsidP="004E48E8">
            <w:pPr>
              <w:pStyle w:val="08-Tabelageral"/>
              <w:ind w:left="113"/>
              <w:jc w:val="left"/>
              <w:rPr>
                <w:rFonts w:cs="Arial"/>
                <w:b w:val="0"/>
                <w:szCs w:val="14"/>
              </w:rPr>
            </w:pPr>
            <w:r w:rsidRPr="00C87262">
              <w:rPr>
                <w:rFonts w:cs="Arial"/>
                <w:b w:val="0"/>
                <w:szCs w:val="14"/>
              </w:rPr>
              <w:t>Financial revenue</w:t>
            </w:r>
          </w:p>
        </w:tc>
        <w:tc>
          <w:tcPr>
            <w:tcW w:w="732" w:type="dxa"/>
            <w:tcBorders>
              <w:top w:val="nil"/>
              <w:bottom w:val="nil"/>
            </w:tcBorders>
            <w:shd w:val="clear" w:color="auto" w:fill="auto"/>
            <w:vAlign w:val="center"/>
          </w:tcPr>
          <w:p w14:paraId="18A630D0" w14:textId="77777777" w:rsidR="00AF04B6" w:rsidRPr="008121B0" w:rsidRDefault="00AF04B6" w:rsidP="004E48E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92" w:type="dxa"/>
            <w:tcBorders>
              <w:top w:val="nil"/>
              <w:left w:val="nil"/>
              <w:bottom w:val="nil"/>
              <w:right w:val="nil"/>
            </w:tcBorders>
            <w:shd w:val="clear" w:color="auto" w:fill="auto"/>
            <w:vAlign w:val="center"/>
          </w:tcPr>
          <w:p w14:paraId="3AAB6152"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7D2F95">
              <w:t>44</w:t>
            </w:r>
            <w:r>
              <w:t>,</w:t>
            </w:r>
            <w:r w:rsidRPr="007D2F95">
              <w:t>465</w:t>
            </w:r>
          </w:p>
        </w:tc>
        <w:tc>
          <w:tcPr>
            <w:tcW w:w="1276" w:type="dxa"/>
            <w:tcBorders>
              <w:top w:val="nil"/>
              <w:bottom w:val="nil"/>
            </w:tcBorders>
            <w:shd w:val="clear" w:color="auto" w:fill="auto"/>
            <w:vAlign w:val="center"/>
          </w:tcPr>
          <w:p w14:paraId="5BC164BF"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A36934">
              <w:t>26</w:t>
            </w:r>
            <w:r>
              <w:t>,</w:t>
            </w:r>
            <w:r w:rsidRPr="00A36934">
              <w:t>992</w:t>
            </w:r>
          </w:p>
        </w:tc>
        <w:tc>
          <w:tcPr>
            <w:tcW w:w="244" w:type="dxa"/>
            <w:tcBorders>
              <w:top w:val="nil"/>
              <w:bottom w:val="nil"/>
            </w:tcBorders>
            <w:shd w:val="clear" w:color="auto" w:fill="auto"/>
            <w:vAlign w:val="center"/>
          </w:tcPr>
          <w:p w14:paraId="2542EB0D"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bottom w:val="nil"/>
            </w:tcBorders>
            <w:shd w:val="clear" w:color="auto" w:fill="auto"/>
            <w:vAlign w:val="center"/>
          </w:tcPr>
          <w:p w14:paraId="13400846"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r w:rsidRPr="00CF3ED7">
              <w:t>532</w:t>
            </w:r>
            <w:r>
              <w:t>,</w:t>
            </w:r>
            <w:r w:rsidRPr="00CF3ED7">
              <w:t>063</w:t>
            </w:r>
          </w:p>
        </w:tc>
        <w:tc>
          <w:tcPr>
            <w:tcW w:w="1418" w:type="dxa"/>
            <w:tcBorders>
              <w:top w:val="nil"/>
              <w:bottom w:val="nil"/>
            </w:tcBorders>
            <w:shd w:val="clear" w:color="auto" w:fill="auto"/>
            <w:vAlign w:val="center"/>
          </w:tcPr>
          <w:p w14:paraId="1A8A21E6" w14:textId="77777777" w:rsidR="00AF04B6"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A36934">
              <w:t>151</w:t>
            </w:r>
            <w:r>
              <w:t>,</w:t>
            </w:r>
            <w:r w:rsidRPr="00A36934">
              <w:t>739</w:t>
            </w:r>
          </w:p>
        </w:tc>
      </w:tr>
      <w:tr w:rsidR="00AF04B6" w:rsidRPr="001D6BE8" w14:paraId="59561714" w14:textId="77777777" w:rsidTr="00E4652D">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6EBF05E8" w14:textId="77777777" w:rsidR="00AF04B6" w:rsidRPr="00C806B0" w:rsidRDefault="00AF04B6" w:rsidP="004E48E8">
            <w:pPr>
              <w:pStyle w:val="08-Tabelageral"/>
              <w:ind w:left="113"/>
              <w:jc w:val="left"/>
              <w:rPr>
                <w:rFonts w:cs="Arial"/>
                <w:b w:val="0"/>
                <w:szCs w:val="14"/>
              </w:rPr>
            </w:pPr>
            <w:r w:rsidRPr="00C87262">
              <w:rPr>
                <w:rFonts w:cs="Arial"/>
                <w:b w:val="0"/>
                <w:szCs w:val="14"/>
              </w:rPr>
              <w:t>Financial expenses</w:t>
            </w:r>
          </w:p>
        </w:tc>
        <w:tc>
          <w:tcPr>
            <w:tcW w:w="732" w:type="dxa"/>
            <w:tcBorders>
              <w:top w:val="nil"/>
              <w:bottom w:val="nil"/>
            </w:tcBorders>
            <w:shd w:val="clear" w:color="auto" w:fill="auto"/>
            <w:vAlign w:val="center"/>
          </w:tcPr>
          <w:p w14:paraId="31529077" w14:textId="77777777" w:rsidR="00AF04B6" w:rsidRPr="008121B0" w:rsidRDefault="00AF04B6" w:rsidP="004E48E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92" w:type="dxa"/>
            <w:tcBorders>
              <w:top w:val="nil"/>
              <w:left w:val="nil"/>
              <w:bottom w:val="nil"/>
              <w:right w:val="nil"/>
            </w:tcBorders>
            <w:shd w:val="clear" w:color="auto" w:fill="auto"/>
            <w:vAlign w:val="center"/>
          </w:tcPr>
          <w:p w14:paraId="477CF062"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7D2F95">
              <w:t>(28</w:t>
            </w:r>
            <w:r>
              <w:t>,</w:t>
            </w:r>
            <w:r w:rsidRPr="007D2F95">
              <w:t>095)</w:t>
            </w:r>
          </w:p>
        </w:tc>
        <w:tc>
          <w:tcPr>
            <w:tcW w:w="1276" w:type="dxa"/>
            <w:tcBorders>
              <w:top w:val="nil"/>
              <w:bottom w:val="nil"/>
            </w:tcBorders>
            <w:shd w:val="clear" w:color="auto" w:fill="auto"/>
            <w:vAlign w:val="center"/>
          </w:tcPr>
          <w:p w14:paraId="1F1EC090"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A36934">
              <w:t>(4</w:t>
            </w:r>
            <w:r>
              <w:t>,</w:t>
            </w:r>
            <w:r w:rsidRPr="00A36934">
              <w:t>091)</w:t>
            </w:r>
          </w:p>
        </w:tc>
        <w:tc>
          <w:tcPr>
            <w:tcW w:w="244" w:type="dxa"/>
            <w:tcBorders>
              <w:top w:val="nil"/>
              <w:bottom w:val="nil"/>
            </w:tcBorders>
            <w:shd w:val="clear" w:color="auto" w:fill="auto"/>
            <w:vAlign w:val="center"/>
          </w:tcPr>
          <w:p w14:paraId="79CE096F"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p>
        </w:tc>
        <w:tc>
          <w:tcPr>
            <w:tcW w:w="1315" w:type="dxa"/>
            <w:tcBorders>
              <w:top w:val="nil"/>
              <w:bottom w:val="nil"/>
            </w:tcBorders>
            <w:shd w:val="clear" w:color="auto" w:fill="auto"/>
            <w:vAlign w:val="center"/>
          </w:tcPr>
          <w:p w14:paraId="704CDF35"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sidRPr="00CF3ED7">
              <w:t>(29</w:t>
            </w:r>
            <w:r>
              <w:t>,</w:t>
            </w:r>
            <w:r w:rsidRPr="00CF3ED7">
              <w:t>501)</w:t>
            </w:r>
          </w:p>
        </w:tc>
        <w:tc>
          <w:tcPr>
            <w:tcW w:w="1418" w:type="dxa"/>
            <w:tcBorders>
              <w:top w:val="nil"/>
              <w:bottom w:val="nil"/>
            </w:tcBorders>
            <w:shd w:val="clear" w:color="auto" w:fill="auto"/>
            <w:vAlign w:val="center"/>
          </w:tcPr>
          <w:p w14:paraId="501BE612" w14:textId="77777777" w:rsidR="00AF04B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A36934">
              <w:t>(4</w:t>
            </w:r>
            <w:r>
              <w:t>,</w:t>
            </w:r>
            <w:r w:rsidRPr="00A36934">
              <w:t>515)</w:t>
            </w:r>
          </w:p>
        </w:tc>
      </w:tr>
      <w:tr w:rsidR="00AF04B6" w:rsidRPr="001D6BE8" w14:paraId="7E379431" w14:textId="77777777" w:rsidTr="00E4652D">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56C05299" w14:textId="77777777" w:rsidR="00AF04B6" w:rsidRPr="0038283D" w:rsidRDefault="00AF04B6" w:rsidP="004E48E8">
            <w:pPr>
              <w:pStyle w:val="08-Tabelageral"/>
              <w:jc w:val="left"/>
              <w:rPr>
                <w:rFonts w:cs="Arial"/>
                <w:bCs w:val="0"/>
                <w:szCs w:val="14"/>
                <w:lang w:val="en-US"/>
              </w:rPr>
            </w:pPr>
            <w:r w:rsidRPr="00BD6C7E">
              <w:rPr>
                <w:rFonts w:cs="Arial"/>
                <w:szCs w:val="14"/>
                <w:lang w:val="en-US"/>
              </w:rPr>
              <w:t xml:space="preserve">Income Before Taxes </w:t>
            </w:r>
            <w:r>
              <w:rPr>
                <w:rFonts w:cs="Arial"/>
                <w:szCs w:val="14"/>
                <w:lang w:val="en-US"/>
              </w:rPr>
              <w:t>a</w:t>
            </w:r>
            <w:r w:rsidRPr="00BD6C7E">
              <w:rPr>
                <w:rFonts w:cs="Arial"/>
                <w:szCs w:val="14"/>
                <w:lang w:val="en-US"/>
              </w:rPr>
              <w:t>nd Equities</w:t>
            </w:r>
          </w:p>
        </w:tc>
        <w:tc>
          <w:tcPr>
            <w:tcW w:w="732" w:type="dxa"/>
            <w:tcBorders>
              <w:top w:val="nil"/>
              <w:bottom w:val="nil"/>
            </w:tcBorders>
            <w:shd w:val="clear" w:color="auto" w:fill="auto"/>
            <w:vAlign w:val="center"/>
          </w:tcPr>
          <w:p w14:paraId="2B2DACD9" w14:textId="77777777" w:rsidR="00AF04B6" w:rsidRPr="0038283D"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492" w:type="dxa"/>
            <w:tcBorders>
              <w:top w:val="nil"/>
              <w:left w:val="nil"/>
              <w:bottom w:val="nil"/>
              <w:right w:val="nil"/>
            </w:tcBorders>
            <w:shd w:val="clear" w:color="auto" w:fill="auto"/>
            <w:vAlign w:val="center"/>
          </w:tcPr>
          <w:p w14:paraId="124CBE93"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477119">
              <w:rPr>
                <w:b/>
              </w:rPr>
              <w:t>6</w:t>
            </w:r>
            <w:r>
              <w:rPr>
                <w:b/>
              </w:rPr>
              <w:t>,</w:t>
            </w:r>
            <w:r w:rsidRPr="00477119">
              <w:rPr>
                <w:b/>
              </w:rPr>
              <w:t>045</w:t>
            </w:r>
            <w:r>
              <w:rPr>
                <w:b/>
              </w:rPr>
              <w:t>,</w:t>
            </w:r>
            <w:r w:rsidRPr="00477119">
              <w:rPr>
                <w:b/>
              </w:rPr>
              <w:t>621</w:t>
            </w:r>
          </w:p>
        </w:tc>
        <w:tc>
          <w:tcPr>
            <w:tcW w:w="1276" w:type="dxa"/>
            <w:tcBorders>
              <w:top w:val="nil"/>
              <w:bottom w:val="nil"/>
            </w:tcBorders>
            <w:shd w:val="clear" w:color="auto" w:fill="auto"/>
            <w:vAlign w:val="center"/>
          </w:tcPr>
          <w:p w14:paraId="2537DAA8" w14:textId="77777777" w:rsidR="00AF04B6" w:rsidRPr="009027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36934">
              <w:rPr>
                <w:b/>
              </w:rPr>
              <w:t>3</w:t>
            </w:r>
            <w:r>
              <w:rPr>
                <w:b/>
              </w:rPr>
              <w:t>,</w:t>
            </w:r>
            <w:r w:rsidRPr="00A36934">
              <w:rPr>
                <w:b/>
              </w:rPr>
              <w:t>937</w:t>
            </w:r>
            <w:r>
              <w:rPr>
                <w:b/>
              </w:rPr>
              <w:t>,</w:t>
            </w:r>
            <w:r w:rsidRPr="00A36934">
              <w:rPr>
                <w:b/>
              </w:rPr>
              <w:t>922</w:t>
            </w:r>
          </w:p>
        </w:tc>
        <w:tc>
          <w:tcPr>
            <w:tcW w:w="244" w:type="dxa"/>
            <w:tcBorders>
              <w:top w:val="nil"/>
              <w:bottom w:val="nil"/>
            </w:tcBorders>
            <w:shd w:val="clear" w:color="auto" w:fill="auto"/>
            <w:vAlign w:val="center"/>
          </w:tcPr>
          <w:p w14:paraId="6ACC1CEB" w14:textId="77777777" w:rsidR="00AF04B6" w:rsidRPr="00520137"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315" w:type="dxa"/>
            <w:tcBorders>
              <w:top w:val="nil"/>
              <w:bottom w:val="nil"/>
            </w:tcBorders>
            <w:shd w:val="clear" w:color="auto" w:fill="auto"/>
            <w:vAlign w:val="center"/>
          </w:tcPr>
          <w:p w14:paraId="337E64EC" w14:textId="77777777" w:rsidR="00AF04B6" w:rsidRPr="00520137"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b/>
                <w:bCs/>
              </w:rPr>
            </w:pPr>
            <w:r w:rsidRPr="00CF3ED7">
              <w:rPr>
                <w:b/>
                <w:bCs/>
              </w:rPr>
              <w:t>7</w:t>
            </w:r>
            <w:r>
              <w:rPr>
                <w:b/>
                <w:bCs/>
              </w:rPr>
              <w:t>,</w:t>
            </w:r>
            <w:r w:rsidRPr="00CF3ED7">
              <w:rPr>
                <w:b/>
                <w:bCs/>
              </w:rPr>
              <w:t>548</w:t>
            </w:r>
            <w:r>
              <w:rPr>
                <w:b/>
                <w:bCs/>
              </w:rPr>
              <w:t>,</w:t>
            </w:r>
            <w:r w:rsidRPr="00CF3ED7">
              <w:rPr>
                <w:b/>
                <w:bCs/>
              </w:rPr>
              <w:t>231</w:t>
            </w:r>
          </w:p>
        </w:tc>
        <w:tc>
          <w:tcPr>
            <w:tcW w:w="1418" w:type="dxa"/>
            <w:tcBorders>
              <w:top w:val="nil"/>
              <w:bottom w:val="nil"/>
            </w:tcBorders>
            <w:shd w:val="clear" w:color="auto" w:fill="auto"/>
            <w:vAlign w:val="center"/>
          </w:tcPr>
          <w:p w14:paraId="12F28DD3" w14:textId="77777777" w:rsidR="00AF04B6"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A36934">
              <w:rPr>
                <w:b/>
                <w:bCs/>
              </w:rPr>
              <w:t>5</w:t>
            </w:r>
            <w:r>
              <w:rPr>
                <w:b/>
                <w:bCs/>
              </w:rPr>
              <w:t>,</w:t>
            </w:r>
            <w:r w:rsidRPr="00A36934">
              <w:rPr>
                <w:b/>
                <w:bCs/>
              </w:rPr>
              <w:t>079</w:t>
            </w:r>
            <w:r>
              <w:rPr>
                <w:b/>
                <w:bCs/>
              </w:rPr>
              <w:t>,</w:t>
            </w:r>
            <w:r w:rsidRPr="00A36934">
              <w:rPr>
                <w:b/>
                <w:bCs/>
              </w:rPr>
              <w:t>424</w:t>
            </w:r>
          </w:p>
        </w:tc>
      </w:tr>
      <w:tr w:rsidR="00AF04B6" w:rsidRPr="001D6BE8" w14:paraId="7D57A831" w14:textId="77777777" w:rsidTr="00E4652D">
        <w:trPr>
          <w:trHeight w:hRule="exact" w:val="356"/>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353D1303" w14:textId="77777777" w:rsidR="00AF04B6" w:rsidRPr="0038283D" w:rsidRDefault="00AF04B6" w:rsidP="004E48E8">
            <w:pPr>
              <w:pStyle w:val="08-Tabelageral"/>
              <w:jc w:val="left"/>
              <w:rPr>
                <w:rFonts w:cs="Arial"/>
                <w:bCs w:val="0"/>
                <w:szCs w:val="14"/>
                <w:lang w:val="en-US"/>
              </w:rPr>
            </w:pPr>
            <w:r w:rsidRPr="009C4D96">
              <w:rPr>
                <w:rFonts w:cs="Arial"/>
                <w:szCs w:val="14"/>
                <w:lang w:val="en-US"/>
              </w:rPr>
              <w:t xml:space="preserve">Income Tax </w:t>
            </w:r>
            <w:r>
              <w:rPr>
                <w:rFonts w:cs="Arial"/>
                <w:szCs w:val="14"/>
                <w:lang w:val="en-US"/>
              </w:rPr>
              <w:t>a</w:t>
            </w:r>
            <w:r w:rsidRPr="009C4D96">
              <w:rPr>
                <w:rFonts w:cs="Arial"/>
                <w:szCs w:val="14"/>
                <w:lang w:val="en-US"/>
              </w:rPr>
              <w:t>nd Social Contribution</w:t>
            </w:r>
          </w:p>
        </w:tc>
        <w:tc>
          <w:tcPr>
            <w:tcW w:w="732" w:type="dxa"/>
            <w:tcBorders>
              <w:top w:val="nil"/>
              <w:bottom w:val="nil"/>
            </w:tcBorders>
            <w:shd w:val="clear" w:color="auto" w:fill="auto"/>
            <w:vAlign w:val="center"/>
          </w:tcPr>
          <w:p w14:paraId="030F33A2" w14:textId="77777777" w:rsidR="00AF04B6" w:rsidRPr="00520137"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520137">
              <w:rPr>
                <w:b/>
                <w:bCs/>
              </w:rPr>
              <w:t>[12.a]</w:t>
            </w:r>
          </w:p>
        </w:tc>
        <w:tc>
          <w:tcPr>
            <w:tcW w:w="1492" w:type="dxa"/>
            <w:tcBorders>
              <w:top w:val="nil"/>
              <w:left w:val="nil"/>
              <w:bottom w:val="nil"/>
              <w:right w:val="nil"/>
            </w:tcBorders>
            <w:shd w:val="clear" w:color="auto" w:fill="auto"/>
            <w:vAlign w:val="center"/>
          </w:tcPr>
          <w:p w14:paraId="793C83A6"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477119">
              <w:rPr>
                <w:b/>
                <w:bCs/>
              </w:rPr>
              <w:t>(1</w:t>
            </w:r>
            <w:r>
              <w:rPr>
                <w:b/>
                <w:bCs/>
              </w:rPr>
              <w:t>,</w:t>
            </w:r>
            <w:r w:rsidRPr="00477119">
              <w:rPr>
                <w:b/>
                <w:bCs/>
              </w:rPr>
              <w:t>050)</w:t>
            </w:r>
          </w:p>
        </w:tc>
        <w:tc>
          <w:tcPr>
            <w:tcW w:w="1276" w:type="dxa"/>
            <w:tcBorders>
              <w:top w:val="nil"/>
              <w:bottom w:val="nil"/>
            </w:tcBorders>
            <w:shd w:val="clear" w:color="auto" w:fill="auto"/>
            <w:vAlign w:val="center"/>
          </w:tcPr>
          <w:p w14:paraId="2193612F"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A36934">
              <w:rPr>
                <w:b/>
              </w:rPr>
              <w:t>(4</w:t>
            </w:r>
            <w:r>
              <w:rPr>
                <w:b/>
              </w:rPr>
              <w:t>,</w:t>
            </w:r>
            <w:r w:rsidRPr="00A36934">
              <w:rPr>
                <w:b/>
              </w:rPr>
              <w:t>705)</w:t>
            </w:r>
          </w:p>
        </w:tc>
        <w:tc>
          <w:tcPr>
            <w:tcW w:w="244" w:type="dxa"/>
            <w:tcBorders>
              <w:top w:val="nil"/>
              <w:bottom w:val="nil"/>
            </w:tcBorders>
            <w:shd w:val="clear" w:color="auto" w:fill="auto"/>
            <w:vAlign w:val="center"/>
          </w:tcPr>
          <w:p w14:paraId="2E040571" w14:textId="77777777" w:rsidR="00AF04B6" w:rsidRPr="006B406F"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315" w:type="dxa"/>
            <w:tcBorders>
              <w:top w:val="nil"/>
              <w:bottom w:val="nil"/>
            </w:tcBorders>
            <w:shd w:val="clear" w:color="auto" w:fill="auto"/>
            <w:vAlign w:val="center"/>
          </w:tcPr>
          <w:p w14:paraId="6B5190D2" w14:textId="77777777" w:rsidR="00AF04B6" w:rsidRPr="006B406F"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bCs/>
              </w:rPr>
            </w:pPr>
            <w:r w:rsidRPr="00CF3ED7">
              <w:rPr>
                <w:b/>
                <w:bCs/>
              </w:rPr>
              <w:t>(1</w:t>
            </w:r>
            <w:r>
              <w:rPr>
                <w:b/>
                <w:bCs/>
              </w:rPr>
              <w:t>,</w:t>
            </w:r>
            <w:r w:rsidRPr="00CF3ED7">
              <w:rPr>
                <w:b/>
                <w:bCs/>
              </w:rPr>
              <w:t>503</w:t>
            </w:r>
            <w:r>
              <w:rPr>
                <w:b/>
                <w:bCs/>
              </w:rPr>
              <w:t>,</w:t>
            </w:r>
            <w:r w:rsidRPr="00CF3ED7">
              <w:rPr>
                <w:b/>
                <w:bCs/>
              </w:rPr>
              <w:t>660)</w:t>
            </w:r>
          </w:p>
        </w:tc>
        <w:tc>
          <w:tcPr>
            <w:tcW w:w="1418" w:type="dxa"/>
            <w:tcBorders>
              <w:top w:val="nil"/>
              <w:bottom w:val="nil"/>
            </w:tcBorders>
            <w:shd w:val="clear" w:color="auto" w:fill="auto"/>
            <w:vAlign w:val="center"/>
          </w:tcPr>
          <w:p w14:paraId="332DC126" w14:textId="77777777" w:rsidR="00AF04B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A36934">
              <w:rPr>
                <w:b/>
              </w:rPr>
              <w:t>(1</w:t>
            </w:r>
            <w:r>
              <w:rPr>
                <w:b/>
              </w:rPr>
              <w:t>,</w:t>
            </w:r>
            <w:r w:rsidRPr="00A36934">
              <w:rPr>
                <w:b/>
              </w:rPr>
              <w:t>146</w:t>
            </w:r>
            <w:r>
              <w:rPr>
                <w:b/>
              </w:rPr>
              <w:t>,</w:t>
            </w:r>
            <w:r w:rsidRPr="00A36934">
              <w:rPr>
                <w:b/>
              </w:rPr>
              <w:t>207)</w:t>
            </w:r>
          </w:p>
        </w:tc>
      </w:tr>
      <w:tr w:rsidR="00AF04B6" w:rsidRPr="001D6BE8" w14:paraId="417B123D" w14:textId="77777777" w:rsidTr="00E4652D">
        <w:trPr>
          <w:cnfStyle w:val="000000100000" w:firstRow="0" w:lastRow="0" w:firstColumn="0" w:lastColumn="0" w:oddVBand="0" w:evenVBand="0" w:oddHBand="1" w:evenHBand="0" w:firstRowFirstColumn="0" w:firstRowLastColumn="0" w:lastRowFirstColumn="0" w:lastRowLastColumn="0"/>
          <w:trHeight w:hRule="exact" w:val="356"/>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26DC5464" w14:textId="77777777" w:rsidR="00AF04B6" w:rsidRPr="00216889" w:rsidRDefault="00AF04B6" w:rsidP="004E48E8">
            <w:pPr>
              <w:pStyle w:val="08-Tabelageral"/>
              <w:jc w:val="left"/>
              <w:rPr>
                <w:rFonts w:cs="Arial"/>
                <w:szCs w:val="14"/>
              </w:rPr>
            </w:pPr>
          </w:p>
        </w:tc>
        <w:tc>
          <w:tcPr>
            <w:tcW w:w="732" w:type="dxa"/>
            <w:tcBorders>
              <w:top w:val="nil"/>
              <w:bottom w:val="nil"/>
            </w:tcBorders>
            <w:shd w:val="clear" w:color="auto" w:fill="auto"/>
            <w:vAlign w:val="center"/>
          </w:tcPr>
          <w:p w14:paraId="6D9E4C14" w14:textId="77777777" w:rsidR="00AF04B6" w:rsidRPr="008121B0"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92" w:type="dxa"/>
            <w:tcBorders>
              <w:top w:val="nil"/>
              <w:bottom w:val="nil"/>
            </w:tcBorders>
            <w:shd w:val="clear" w:color="auto" w:fill="auto"/>
            <w:vAlign w:val="center"/>
          </w:tcPr>
          <w:p w14:paraId="6CD98D9B"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1276" w:type="dxa"/>
            <w:tcBorders>
              <w:top w:val="nil"/>
              <w:bottom w:val="nil"/>
            </w:tcBorders>
            <w:shd w:val="clear" w:color="auto" w:fill="auto"/>
            <w:vAlign w:val="center"/>
          </w:tcPr>
          <w:p w14:paraId="711A5457"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244" w:type="dxa"/>
            <w:tcBorders>
              <w:top w:val="nil"/>
              <w:bottom w:val="nil"/>
            </w:tcBorders>
            <w:shd w:val="clear" w:color="auto" w:fill="auto"/>
            <w:vAlign w:val="center"/>
          </w:tcPr>
          <w:p w14:paraId="1A227024"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bottom w:val="nil"/>
            </w:tcBorders>
            <w:shd w:val="clear" w:color="auto" w:fill="auto"/>
            <w:vAlign w:val="center"/>
          </w:tcPr>
          <w:p w14:paraId="3634C329"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1418" w:type="dxa"/>
            <w:tcBorders>
              <w:top w:val="nil"/>
              <w:bottom w:val="nil"/>
            </w:tcBorders>
            <w:shd w:val="clear" w:color="auto" w:fill="auto"/>
            <w:vAlign w:val="center"/>
          </w:tcPr>
          <w:p w14:paraId="212FCA92" w14:textId="77777777" w:rsidR="00AF04B6" w:rsidRPr="009C62A1"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bCs/>
              </w:rPr>
            </w:pPr>
          </w:p>
        </w:tc>
      </w:tr>
      <w:tr w:rsidR="00AF04B6" w:rsidRPr="009C4D96" w14:paraId="428A2E82" w14:textId="77777777" w:rsidTr="00E4652D">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297787C7" w14:textId="77777777" w:rsidR="00AF04B6" w:rsidRPr="00C806B0" w:rsidRDefault="00AF04B6" w:rsidP="004E48E8">
            <w:pPr>
              <w:pStyle w:val="08-Tabelageral"/>
              <w:jc w:val="left"/>
              <w:rPr>
                <w:rFonts w:cs="Arial"/>
                <w:bCs w:val="0"/>
                <w:szCs w:val="14"/>
              </w:rPr>
            </w:pPr>
            <w:r>
              <w:rPr>
                <w:rFonts w:cs="Arial"/>
                <w:szCs w:val="14"/>
              </w:rPr>
              <w:t>Net Income</w:t>
            </w:r>
          </w:p>
        </w:tc>
        <w:tc>
          <w:tcPr>
            <w:tcW w:w="732" w:type="dxa"/>
            <w:tcBorders>
              <w:top w:val="nil"/>
              <w:bottom w:val="nil"/>
            </w:tcBorders>
            <w:shd w:val="clear" w:color="auto" w:fill="auto"/>
            <w:vAlign w:val="center"/>
          </w:tcPr>
          <w:p w14:paraId="69A09A0F" w14:textId="77777777" w:rsidR="00AF04B6" w:rsidRPr="009C4D9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92" w:type="dxa"/>
            <w:tcBorders>
              <w:top w:val="nil"/>
              <w:left w:val="nil"/>
              <w:bottom w:val="nil"/>
              <w:right w:val="nil"/>
            </w:tcBorders>
            <w:shd w:val="clear" w:color="auto" w:fill="auto"/>
            <w:vAlign w:val="center"/>
          </w:tcPr>
          <w:p w14:paraId="51431733"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rPr>
            </w:pPr>
            <w:r w:rsidRPr="00477119">
              <w:rPr>
                <w:b/>
              </w:rPr>
              <w:t>6</w:t>
            </w:r>
            <w:r>
              <w:rPr>
                <w:b/>
              </w:rPr>
              <w:t>,</w:t>
            </w:r>
            <w:r w:rsidRPr="00477119">
              <w:rPr>
                <w:b/>
              </w:rPr>
              <w:t>044</w:t>
            </w:r>
            <w:r>
              <w:rPr>
                <w:b/>
              </w:rPr>
              <w:t>,</w:t>
            </w:r>
            <w:r w:rsidRPr="00477119">
              <w:rPr>
                <w:b/>
              </w:rPr>
              <w:t>571</w:t>
            </w:r>
          </w:p>
        </w:tc>
        <w:tc>
          <w:tcPr>
            <w:tcW w:w="1276" w:type="dxa"/>
            <w:tcBorders>
              <w:top w:val="nil"/>
              <w:bottom w:val="nil"/>
            </w:tcBorders>
            <w:shd w:val="clear" w:color="auto" w:fill="auto"/>
            <w:vAlign w:val="center"/>
          </w:tcPr>
          <w:p w14:paraId="15DDF2FF" w14:textId="77777777" w:rsidR="00AF04B6" w:rsidRPr="009027F2"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rPr>
            </w:pPr>
            <w:r w:rsidRPr="00A36934">
              <w:rPr>
                <w:b/>
              </w:rPr>
              <w:t>3</w:t>
            </w:r>
            <w:r>
              <w:rPr>
                <w:b/>
              </w:rPr>
              <w:t>,</w:t>
            </w:r>
            <w:r w:rsidRPr="00A36934">
              <w:rPr>
                <w:b/>
              </w:rPr>
              <w:t>933</w:t>
            </w:r>
            <w:r>
              <w:rPr>
                <w:b/>
              </w:rPr>
              <w:t>,</w:t>
            </w:r>
            <w:r w:rsidRPr="00A36934">
              <w:rPr>
                <w:b/>
              </w:rPr>
              <w:t>217</w:t>
            </w:r>
          </w:p>
        </w:tc>
        <w:tc>
          <w:tcPr>
            <w:tcW w:w="244" w:type="dxa"/>
            <w:tcBorders>
              <w:top w:val="nil"/>
              <w:bottom w:val="nil"/>
            </w:tcBorders>
            <w:shd w:val="clear" w:color="auto" w:fill="auto"/>
            <w:vAlign w:val="center"/>
          </w:tcPr>
          <w:p w14:paraId="7EBFD096" w14:textId="77777777" w:rsidR="00AF04B6" w:rsidRPr="001563D0"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315" w:type="dxa"/>
            <w:tcBorders>
              <w:top w:val="nil"/>
              <w:bottom w:val="nil"/>
            </w:tcBorders>
            <w:shd w:val="clear" w:color="auto" w:fill="auto"/>
            <w:vAlign w:val="center"/>
          </w:tcPr>
          <w:p w14:paraId="1FB2144A" w14:textId="77777777" w:rsidR="00AF04B6" w:rsidRPr="001563D0"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b/>
                <w:bCs/>
              </w:rPr>
            </w:pPr>
            <w:r w:rsidRPr="00CF3ED7">
              <w:rPr>
                <w:b/>
                <w:bCs/>
              </w:rPr>
              <w:t>6</w:t>
            </w:r>
            <w:r>
              <w:rPr>
                <w:b/>
                <w:bCs/>
              </w:rPr>
              <w:t>,</w:t>
            </w:r>
            <w:r w:rsidRPr="00CF3ED7">
              <w:rPr>
                <w:b/>
                <w:bCs/>
              </w:rPr>
              <w:t>044</w:t>
            </w:r>
            <w:r>
              <w:rPr>
                <w:b/>
                <w:bCs/>
              </w:rPr>
              <w:t>,</w:t>
            </w:r>
            <w:r w:rsidRPr="00CF3ED7">
              <w:rPr>
                <w:b/>
                <w:bCs/>
              </w:rPr>
              <w:t>571</w:t>
            </w:r>
          </w:p>
        </w:tc>
        <w:tc>
          <w:tcPr>
            <w:tcW w:w="1418" w:type="dxa"/>
            <w:tcBorders>
              <w:top w:val="nil"/>
              <w:bottom w:val="nil"/>
            </w:tcBorders>
            <w:shd w:val="clear" w:color="auto" w:fill="auto"/>
            <w:vAlign w:val="center"/>
          </w:tcPr>
          <w:p w14:paraId="0DC10FDC" w14:textId="77777777" w:rsidR="00AF04B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A36934">
              <w:rPr>
                <w:b/>
                <w:bCs/>
              </w:rPr>
              <w:t>3</w:t>
            </w:r>
            <w:r>
              <w:rPr>
                <w:b/>
                <w:bCs/>
              </w:rPr>
              <w:t>,</w:t>
            </w:r>
            <w:r w:rsidRPr="00A36934">
              <w:rPr>
                <w:b/>
                <w:bCs/>
              </w:rPr>
              <w:t>933</w:t>
            </w:r>
            <w:r>
              <w:rPr>
                <w:b/>
                <w:bCs/>
              </w:rPr>
              <w:t>,</w:t>
            </w:r>
            <w:r w:rsidRPr="00A36934">
              <w:rPr>
                <w:b/>
                <w:bCs/>
              </w:rPr>
              <w:t>217</w:t>
            </w:r>
          </w:p>
        </w:tc>
      </w:tr>
      <w:tr w:rsidR="00AF04B6" w:rsidRPr="007F63F2" w14:paraId="3208F11B" w14:textId="77777777" w:rsidTr="00E4652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single" w:sz="2" w:space="0" w:color="1F4E79" w:themeColor="accent1" w:themeShade="80"/>
            </w:tcBorders>
            <w:shd w:val="clear" w:color="auto" w:fill="auto"/>
            <w:vAlign w:val="center"/>
          </w:tcPr>
          <w:p w14:paraId="4A2704EC" w14:textId="77777777" w:rsidR="00AF04B6" w:rsidRPr="007F63F2" w:rsidRDefault="00AF04B6" w:rsidP="004E48E8">
            <w:pPr>
              <w:pStyle w:val="08-Tabelageral"/>
              <w:jc w:val="left"/>
              <w:rPr>
                <w:rFonts w:cs="Arial"/>
                <w:bCs w:val="0"/>
                <w:szCs w:val="14"/>
              </w:rPr>
            </w:pPr>
          </w:p>
        </w:tc>
        <w:tc>
          <w:tcPr>
            <w:tcW w:w="732" w:type="dxa"/>
            <w:tcBorders>
              <w:top w:val="nil"/>
              <w:bottom w:val="single" w:sz="2" w:space="0" w:color="1F4E79" w:themeColor="accent1" w:themeShade="80"/>
            </w:tcBorders>
            <w:shd w:val="clear" w:color="auto" w:fill="auto"/>
            <w:vAlign w:val="center"/>
          </w:tcPr>
          <w:p w14:paraId="55F4A774" w14:textId="77777777" w:rsidR="00AF04B6" w:rsidRPr="007F63F2"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92" w:type="dxa"/>
            <w:tcBorders>
              <w:top w:val="nil"/>
              <w:bottom w:val="single" w:sz="2" w:space="0" w:color="1F4E79" w:themeColor="accent1" w:themeShade="80"/>
            </w:tcBorders>
            <w:shd w:val="clear" w:color="auto" w:fill="auto"/>
            <w:vAlign w:val="center"/>
          </w:tcPr>
          <w:p w14:paraId="25C8DF30" w14:textId="77777777" w:rsidR="00AF04B6" w:rsidRPr="007F63F2"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1276" w:type="dxa"/>
            <w:tcBorders>
              <w:top w:val="nil"/>
              <w:bottom w:val="single" w:sz="2" w:space="0" w:color="1F4E79" w:themeColor="accent1" w:themeShade="80"/>
            </w:tcBorders>
            <w:shd w:val="clear" w:color="auto" w:fill="auto"/>
            <w:vAlign w:val="center"/>
          </w:tcPr>
          <w:p w14:paraId="26270A4F" w14:textId="77777777" w:rsidR="00AF04B6" w:rsidRPr="007F63F2"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244" w:type="dxa"/>
            <w:tcBorders>
              <w:top w:val="nil"/>
              <w:bottom w:val="single" w:sz="2" w:space="0" w:color="1F4E79" w:themeColor="accent1" w:themeShade="80"/>
            </w:tcBorders>
            <w:shd w:val="clear" w:color="auto" w:fill="auto"/>
            <w:vAlign w:val="center"/>
          </w:tcPr>
          <w:p w14:paraId="42C33252" w14:textId="77777777" w:rsidR="00AF04B6" w:rsidRPr="007F63F2"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top w:val="nil"/>
              <w:bottom w:val="single" w:sz="2" w:space="0" w:color="1F4E79" w:themeColor="accent1" w:themeShade="80"/>
            </w:tcBorders>
            <w:shd w:val="clear" w:color="auto" w:fill="auto"/>
            <w:vAlign w:val="center"/>
          </w:tcPr>
          <w:p w14:paraId="556E416A" w14:textId="77777777" w:rsidR="00AF04B6" w:rsidRPr="007F63F2"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1418" w:type="dxa"/>
            <w:tcBorders>
              <w:top w:val="nil"/>
              <w:bottom w:val="single" w:sz="2" w:space="0" w:color="1F4E79" w:themeColor="accent1" w:themeShade="80"/>
            </w:tcBorders>
            <w:shd w:val="clear" w:color="auto" w:fill="auto"/>
            <w:vAlign w:val="center"/>
          </w:tcPr>
          <w:p w14:paraId="01D0603F" w14:textId="77777777" w:rsidR="00AF04B6" w:rsidRPr="007F63F2"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r>
      <w:tr w:rsidR="00AF04B6" w:rsidRPr="001D6BE8" w14:paraId="6D59B849" w14:textId="77777777" w:rsidTr="00E4652D">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single" w:sz="2" w:space="0" w:color="1F4E79" w:themeColor="accent1" w:themeShade="80"/>
              <w:bottom w:val="nil"/>
            </w:tcBorders>
            <w:shd w:val="clear" w:color="auto" w:fill="auto"/>
            <w:vAlign w:val="center"/>
          </w:tcPr>
          <w:p w14:paraId="1C1676B3" w14:textId="77777777" w:rsidR="00AF04B6" w:rsidRPr="00C806B0" w:rsidRDefault="00AF04B6" w:rsidP="004E48E8">
            <w:pPr>
              <w:pStyle w:val="08-Tabelageral"/>
              <w:jc w:val="left"/>
              <w:rPr>
                <w:rFonts w:cs="Arial"/>
                <w:b w:val="0"/>
                <w:szCs w:val="14"/>
              </w:rPr>
            </w:pPr>
            <w:r w:rsidRPr="00C87262">
              <w:rPr>
                <w:rFonts w:cs="Arial"/>
                <w:b w:val="0"/>
                <w:szCs w:val="14"/>
              </w:rPr>
              <w:t>Number of shares</w:t>
            </w:r>
          </w:p>
        </w:tc>
        <w:tc>
          <w:tcPr>
            <w:tcW w:w="732" w:type="dxa"/>
            <w:tcBorders>
              <w:top w:val="single" w:sz="2" w:space="0" w:color="1F4E79" w:themeColor="accent1" w:themeShade="80"/>
              <w:bottom w:val="nil"/>
            </w:tcBorders>
            <w:shd w:val="clear" w:color="auto" w:fill="auto"/>
            <w:vAlign w:val="center"/>
          </w:tcPr>
          <w:p w14:paraId="24D46BFF"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4448AA">
              <w:t>[25.a]</w:t>
            </w:r>
          </w:p>
        </w:tc>
        <w:tc>
          <w:tcPr>
            <w:tcW w:w="1492" w:type="dxa"/>
            <w:tcBorders>
              <w:top w:val="single" w:sz="2" w:space="0" w:color="1F4E79" w:themeColor="accent1" w:themeShade="80"/>
              <w:bottom w:val="nil"/>
            </w:tcBorders>
            <w:shd w:val="clear" w:color="auto" w:fill="auto"/>
            <w:vAlign w:val="center"/>
          </w:tcPr>
          <w:p w14:paraId="043FED9B" w14:textId="77777777" w:rsidR="00AF04B6" w:rsidRPr="002B160B"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sidRPr="003D0DA2">
              <w:t>2</w:t>
            </w:r>
            <w:r>
              <w:t>,</w:t>
            </w:r>
            <w:r w:rsidRPr="003D0DA2">
              <w:t>000</w:t>
            </w:r>
            <w:r>
              <w:t>,</w:t>
            </w:r>
            <w:r w:rsidRPr="003D0DA2">
              <w:t>000</w:t>
            </w:r>
            <w:r>
              <w:t>,</w:t>
            </w:r>
            <w:r w:rsidRPr="003D0DA2">
              <w:t>000</w:t>
            </w:r>
          </w:p>
        </w:tc>
        <w:tc>
          <w:tcPr>
            <w:tcW w:w="1276" w:type="dxa"/>
            <w:tcBorders>
              <w:top w:val="single" w:sz="2" w:space="0" w:color="1F4E79" w:themeColor="accent1" w:themeShade="80"/>
              <w:bottom w:val="nil"/>
            </w:tcBorders>
            <w:shd w:val="clear" w:color="auto" w:fill="auto"/>
            <w:vAlign w:val="center"/>
          </w:tcPr>
          <w:p w14:paraId="238B103A" w14:textId="77777777" w:rsidR="00AF04B6" w:rsidRPr="002B160B"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sidRPr="00F261B2">
              <w:t>2</w:t>
            </w:r>
            <w:r>
              <w:t>,</w:t>
            </w:r>
            <w:r w:rsidRPr="00F261B2">
              <w:t>000</w:t>
            </w:r>
            <w:r>
              <w:t>,</w:t>
            </w:r>
            <w:r w:rsidRPr="00F261B2">
              <w:t>000</w:t>
            </w:r>
            <w:r>
              <w:t>,</w:t>
            </w:r>
            <w:r w:rsidRPr="00F261B2">
              <w:t>000</w:t>
            </w:r>
          </w:p>
        </w:tc>
        <w:tc>
          <w:tcPr>
            <w:tcW w:w="244" w:type="dxa"/>
            <w:tcBorders>
              <w:top w:val="single" w:sz="2" w:space="0" w:color="1F4E79" w:themeColor="accent1" w:themeShade="80"/>
              <w:bottom w:val="nil"/>
            </w:tcBorders>
            <w:shd w:val="clear" w:color="auto" w:fill="auto"/>
            <w:vAlign w:val="center"/>
          </w:tcPr>
          <w:p w14:paraId="28FA4E66"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p>
        </w:tc>
        <w:tc>
          <w:tcPr>
            <w:tcW w:w="1315" w:type="dxa"/>
            <w:tcBorders>
              <w:top w:val="single" w:sz="2" w:space="0" w:color="1F4E79" w:themeColor="accent1" w:themeShade="80"/>
              <w:bottom w:val="nil"/>
            </w:tcBorders>
            <w:shd w:val="clear" w:color="auto" w:fill="auto"/>
            <w:vAlign w:val="center"/>
          </w:tcPr>
          <w:p w14:paraId="259E63EA" w14:textId="77777777" w:rsidR="00AF04B6" w:rsidRPr="00C806B0"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sidRPr="003D0DA2">
              <w:t>2</w:t>
            </w:r>
            <w:r>
              <w:t>,</w:t>
            </w:r>
            <w:r w:rsidRPr="003D0DA2">
              <w:t>000</w:t>
            </w:r>
            <w:r>
              <w:t>,</w:t>
            </w:r>
            <w:r w:rsidRPr="003D0DA2">
              <w:t>000</w:t>
            </w:r>
            <w:r>
              <w:t>,</w:t>
            </w:r>
            <w:r w:rsidRPr="003D0DA2">
              <w:t>000</w:t>
            </w:r>
          </w:p>
        </w:tc>
        <w:tc>
          <w:tcPr>
            <w:tcW w:w="1418" w:type="dxa"/>
            <w:tcBorders>
              <w:top w:val="single" w:sz="2" w:space="0" w:color="1F4E79" w:themeColor="accent1" w:themeShade="80"/>
              <w:bottom w:val="nil"/>
            </w:tcBorders>
            <w:shd w:val="clear" w:color="auto" w:fill="auto"/>
            <w:vAlign w:val="center"/>
          </w:tcPr>
          <w:p w14:paraId="486BDF13" w14:textId="77777777" w:rsidR="00AF04B6" w:rsidRPr="006201C4"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sidRPr="00F261B2">
              <w:t>2</w:t>
            </w:r>
            <w:r>
              <w:t>,</w:t>
            </w:r>
            <w:r w:rsidRPr="00F261B2">
              <w:t>000</w:t>
            </w:r>
            <w:r>
              <w:t>,</w:t>
            </w:r>
            <w:r w:rsidRPr="00F261B2">
              <w:t>000</w:t>
            </w:r>
            <w:r>
              <w:t>,</w:t>
            </w:r>
            <w:r w:rsidRPr="00F261B2">
              <w:t>000</w:t>
            </w:r>
          </w:p>
        </w:tc>
      </w:tr>
      <w:tr w:rsidR="00AF04B6" w:rsidRPr="001D6BE8" w14:paraId="5232E60B" w14:textId="77777777" w:rsidTr="00E4652D">
        <w:trPr>
          <w:cnfStyle w:val="000000100000" w:firstRow="0" w:lastRow="0" w:firstColumn="0" w:lastColumn="0" w:oddVBand="0" w:evenVBand="0" w:oddHBand="1" w:evenHBand="0" w:firstRowFirstColumn="0" w:firstRowLastColumn="0" w:lastRowFirstColumn="0" w:lastRowLastColumn="0"/>
          <w:trHeight w:hRule="exact" w:val="397"/>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nil"/>
            </w:tcBorders>
            <w:shd w:val="clear" w:color="auto" w:fill="auto"/>
            <w:vAlign w:val="center"/>
          </w:tcPr>
          <w:p w14:paraId="25FFC74D" w14:textId="77777777" w:rsidR="00AF04B6" w:rsidRPr="0038283D" w:rsidRDefault="00AF04B6" w:rsidP="004E48E8">
            <w:pPr>
              <w:pStyle w:val="08-Tabelageral"/>
              <w:jc w:val="left"/>
              <w:rPr>
                <w:rFonts w:cs="Arial"/>
                <w:b w:val="0"/>
                <w:szCs w:val="14"/>
                <w:lang w:val="en-US"/>
              </w:rPr>
            </w:pPr>
            <w:r w:rsidRPr="00BD6C7E">
              <w:rPr>
                <w:rFonts w:cs="Arial"/>
                <w:b w:val="0"/>
                <w:szCs w:val="14"/>
                <w:lang w:val="en-US"/>
              </w:rPr>
              <w:t>Weighted average number of shares - basic and diluted</w:t>
            </w:r>
          </w:p>
        </w:tc>
        <w:tc>
          <w:tcPr>
            <w:tcW w:w="732" w:type="dxa"/>
            <w:tcBorders>
              <w:top w:val="nil"/>
              <w:bottom w:val="nil"/>
            </w:tcBorders>
            <w:shd w:val="clear" w:color="auto" w:fill="auto"/>
            <w:vAlign w:val="center"/>
          </w:tcPr>
          <w:p w14:paraId="608D9556"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4448AA">
              <w:t>[25.c]</w:t>
            </w:r>
          </w:p>
        </w:tc>
        <w:tc>
          <w:tcPr>
            <w:tcW w:w="1492" w:type="dxa"/>
            <w:tcBorders>
              <w:bottom w:val="nil"/>
            </w:tcBorders>
            <w:shd w:val="clear" w:color="auto" w:fill="auto"/>
            <w:vAlign w:val="center"/>
          </w:tcPr>
          <w:p w14:paraId="32A6DF35" w14:textId="77777777" w:rsidR="00AF04B6" w:rsidRPr="002B160B"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r w:rsidRPr="00597C80">
              <w:rPr>
                <w:rFonts w:cs="Arial"/>
                <w:szCs w:val="14"/>
                <w:lang w:eastAsia="en-US"/>
              </w:rPr>
              <w:t xml:space="preserve">     1</w:t>
            </w:r>
            <w:r>
              <w:rPr>
                <w:rFonts w:cs="Arial"/>
                <w:szCs w:val="14"/>
                <w:lang w:eastAsia="en-US"/>
              </w:rPr>
              <w:t>,</w:t>
            </w:r>
            <w:r w:rsidRPr="00597C80">
              <w:rPr>
                <w:rFonts w:cs="Arial"/>
                <w:szCs w:val="14"/>
                <w:lang w:eastAsia="en-US"/>
              </w:rPr>
              <w:t>996</w:t>
            </w:r>
            <w:r>
              <w:rPr>
                <w:rFonts w:cs="Arial"/>
                <w:szCs w:val="14"/>
                <w:lang w:eastAsia="en-US"/>
              </w:rPr>
              <w:t>,</w:t>
            </w:r>
            <w:r w:rsidRPr="00597C80">
              <w:rPr>
                <w:rFonts w:cs="Arial"/>
                <w:szCs w:val="14"/>
                <w:lang w:eastAsia="en-US"/>
              </w:rPr>
              <w:t>713</w:t>
            </w:r>
            <w:r>
              <w:rPr>
                <w:rFonts w:cs="Arial"/>
                <w:szCs w:val="14"/>
                <w:lang w:eastAsia="en-US"/>
              </w:rPr>
              <w:t>,</w:t>
            </w:r>
            <w:r w:rsidRPr="00597C80">
              <w:rPr>
                <w:rFonts w:cs="Arial"/>
                <w:szCs w:val="14"/>
                <w:lang w:eastAsia="en-US"/>
              </w:rPr>
              <w:t>502</w:t>
            </w:r>
          </w:p>
        </w:tc>
        <w:tc>
          <w:tcPr>
            <w:tcW w:w="1276" w:type="dxa"/>
            <w:tcBorders>
              <w:top w:val="nil"/>
              <w:bottom w:val="nil"/>
            </w:tcBorders>
            <w:shd w:val="clear" w:color="auto" w:fill="auto"/>
            <w:vAlign w:val="center"/>
          </w:tcPr>
          <w:p w14:paraId="46CDBB5C" w14:textId="77777777" w:rsidR="00AF04B6" w:rsidRPr="002B160B"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r w:rsidRPr="00F261B2">
              <w:t xml:space="preserve">     1</w:t>
            </w:r>
            <w:r>
              <w:t>,</w:t>
            </w:r>
            <w:r w:rsidRPr="00F261B2">
              <w:t>996</w:t>
            </w:r>
            <w:r>
              <w:t>,</w:t>
            </w:r>
            <w:r w:rsidRPr="00F261B2">
              <w:t>672</w:t>
            </w:r>
            <w:r>
              <w:t>,</w:t>
            </w:r>
            <w:r w:rsidRPr="00F261B2">
              <w:t>230</w:t>
            </w:r>
          </w:p>
        </w:tc>
        <w:tc>
          <w:tcPr>
            <w:tcW w:w="244" w:type="dxa"/>
            <w:tcBorders>
              <w:top w:val="nil"/>
              <w:bottom w:val="nil"/>
            </w:tcBorders>
            <w:shd w:val="clear" w:color="auto" w:fill="auto"/>
            <w:vAlign w:val="center"/>
          </w:tcPr>
          <w:p w14:paraId="5D99A0B8"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p>
        </w:tc>
        <w:tc>
          <w:tcPr>
            <w:tcW w:w="1315" w:type="dxa"/>
            <w:tcBorders>
              <w:bottom w:val="nil"/>
            </w:tcBorders>
            <w:shd w:val="clear" w:color="auto" w:fill="auto"/>
            <w:vAlign w:val="center"/>
          </w:tcPr>
          <w:p w14:paraId="69B7AD0D" w14:textId="77777777" w:rsidR="00AF04B6" w:rsidRPr="00C806B0"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r w:rsidRPr="00597C80">
              <w:rPr>
                <w:rFonts w:cs="Arial"/>
                <w:szCs w:val="14"/>
                <w:lang w:eastAsia="en-US"/>
              </w:rPr>
              <w:t xml:space="preserve">     1</w:t>
            </w:r>
            <w:r>
              <w:rPr>
                <w:rFonts w:cs="Arial"/>
                <w:szCs w:val="14"/>
                <w:lang w:eastAsia="en-US"/>
              </w:rPr>
              <w:t>,</w:t>
            </w:r>
            <w:r w:rsidRPr="00597C80">
              <w:rPr>
                <w:rFonts w:cs="Arial"/>
                <w:szCs w:val="14"/>
                <w:lang w:eastAsia="en-US"/>
              </w:rPr>
              <w:t>996</w:t>
            </w:r>
            <w:r>
              <w:rPr>
                <w:rFonts w:cs="Arial"/>
                <w:szCs w:val="14"/>
                <w:lang w:eastAsia="en-US"/>
              </w:rPr>
              <w:t>,</w:t>
            </w:r>
            <w:r w:rsidRPr="00597C80">
              <w:rPr>
                <w:rFonts w:cs="Arial"/>
                <w:szCs w:val="14"/>
                <w:lang w:eastAsia="en-US"/>
              </w:rPr>
              <w:t>713</w:t>
            </w:r>
            <w:r>
              <w:rPr>
                <w:rFonts w:cs="Arial"/>
                <w:szCs w:val="14"/>
                <w:lang w:eastAsia="en-US"/>
              </w:rPr>
              <w:t>,</w:t>
            </w:r>
            <w:r w:rsidRPr="00597C80">
              <w:rPr>
                <w:rFonts w:cs="Arial"/>
                <w:szCs w:val="14"/>
                <w:lang w:eastAsia="en-US"/>
              </w:rPr>
              <w:t>502</w:t>
            </w:r>
          </w:p>
        </w:tc>
        <w:tc>
          <w:tcPr>
            <w:tcW w:w="1418" w:type="dxa"/>
            <w:tcBorders>
              <w:top w:val="nil"/>
              <w:bottom w:val="nil"/>
            </w:tcBorders>
            <w:shd w:val="clear" w:color="auto" w:fill="auto"/>
            <w:vAlign w:val="center"/>
          </w:tcPr>
          <w:p w14:paraId="4676AF61" w14:textId="77777777" w:rsidR="00AF04B6" w:rsidRPr="006201C4" w:rsidRDefault="00AF04B6" w:rsidP="004E48E8">
            <w:pPr>
              <w:pStyle w:val="08-Tabelageral"/>
              <w:cnfStyle w:val="000000100000" w:firstRow="0" w:lastRow="0" w:firstColumn="0" w:lastColumn="0" w:oddVBand="0" w:evenVBand="0" w:oddHBand="1" w:evenHBand="0" w:firstRowFirstColumn="0" w:firstRowLastColumn="0" w:lastRowFirstColumn="0" w:lastRowLastColumn="0"/>
            </w:pPr>
            <w:r w:rsidRPr="00F261B2">
              <w:t xml:space="preserve">      1</w:t>
            </w:r>
            <w:r>
              <w:t>,</w:t>
            </w:r>
            <w:r w:rsidRPr="00F261B2">
              <w:t>996</w:t>
            </w:r>
            <w:r>
              <w:t>,</w:t>
            </w:r>
            <w:r w:rsidRPr="00F261B2">
              <w:t>672</w:t>
            </w:r>
            <w:r>
              <w:t>,</w:t>
            </w:r>
            <w:r w:rsidRPr="00F261B2">
              <w:t>230</w:t>
            </w:r>
          </w:p>
        </w:tc>
      </w:tr>
      <w:tr w:rsidR="00AF04B6" w:rsidRPr="003E7906" w14:paraId="3B044E6B" w14:textId="77777777" w:rsidTr="00E4652D">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021" w:type="dxa"/>
            <w:tcBorders>
              <w:top w:val="nil"/>
              <w:bottom w:val="single" w:sz="2" w:space="0" w:color="1F4E79" w:themeColor="accent1" w:themeShade="80"/>
            </w:tcBorders>
            <w:shd w:val="clear" w:color="auto" w:fill="auto"/>
            <w:vAlign w:val="center"/>
          </w:tcPr>
          <w:p w14:paraId="05B00A9E" w14:textId="77777777" w:rsidR="00AF04B6" w:rsidRPr="0038283D" w:rsidRDefault="00AF04B6" w:rsidP="004E48E8">
            <w:pPr>
              <w:pStyle w:val="08-Tabelageral"/>
              <w:jc w:val="left"/>
              <w:rPr>
                <w:rFonts w:cs="Arial"/>
                <w:b w:val="0"/>
                <w:bCs w:val="0"/>
                <w:szCs w:val="14"/>
                <w:lang w:val="en-US"/>
              </w:rPr>
            </w:pPr>
            <w:r w:rsidRPr="00BD6C7E">
              <w:rPr>
                <w:rFonts w:cs="Arial"/>
                <w:b w:val="0"/>
                <w:lang w:val="en-US"/>
              </w:rPr>
              <w:t>Basic and diluted earnings per share (R$)</w:t>
            </w:r>
          </w:p>
        </w:tc>
        <w:tc>
          <w:tcPr>
            <w:tcW w:w="732" w:type="dxa"/>
            <w:tcBorders>
              <w:top w:val="nil"/>
              <w:bottom w:val="single" w:sz="2" w:space="0" w:color="1F4E79" w:themeColor="accent1" w:themeShade="80"/>
            </w:tcBorders>
            <w:shd w:val="clear" w:color="auto" w:fill="auto"/>
            <w:vAlign w:val="center"/>
          </w:tcPr>
          <w:p w14:paraId="4D9401F9" w14:textId="77777777" w:rsidR="00AF04B6" w:rsidRPr="003E790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4448AA">
              <w:t>[25.c]</w:t>
            </w:r>
          </w:p>
        </w:tc>
        <w:tc>
          <w:tcPr>
            <w:tcW w:w="1492" w:type="dxa"/>
            <w:tcBorders>
              <w:top w:val="nil"/>
              <w:bottom w:val="single" w:sz="2" w:space="0" w:color="1F4E79" w:themeColor="accent1" w:themeShade="80"/>
            </w:tcBorders>
            <w:shd w:val="clear" w:color="auto" w:fill="auto"/>
            <w:vAlign w:val="center"/>
          </w:tcPr>
          <w:p w14:paraId="421C9E99" w14:textId="77777777" w:rsidR="00AF04B6" w:rsidRPr="002B160B"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Pr>
                <w:rFonts w:cs="Arial"/>
                <w:b/>
                <w:bCs/>
                <w:sz w:val="20"/>
                <w:szCs w:val="20"/>
              </w:rPr>
              <w:t xml:space="preserve">               </w:t>
            </w:r>
            <w:r w:rsidRPr="00597C80">
              <w:rPr>
                <w:rFonts w:cs="Arial"/>
                <w:szCs w:val="14"/>
              </w:rPr>
              <w:t>3</w:t>
            </w:r>
            <w:r>
              <w:rPr>
                <w:rFonts w:cs="Arial"/>
                <w:szCs w:val="14"/>
              </w:rPr>
              <w:t>.</w:t>
            </w:r>
            <w:r w:rsidRPr="00597C80">
              <w:rPr>
                <w:rFonts w:cs="Arial"/>
                <w:szCs w:val="14"/>
              </w:rPr>
              <w:t>03</w:t>
            </w:r>
            <w:r>
              <w:rPr>
                <w:rFonts w:cs="Arial"/>
                <w:b/>
                <w:bCs/>
                <w:sz w:val="20"/>
                <w:szCs w:val="20"/>
              </w:rPr>
              <w:t xml:space="preserve"> </w:t>
            </w:r>
          </w:p>
        </w:tc>
        <w:tc>
          <w:tcPr>
            <w:tcW w:w="1276" w:type="dxa"/>
            <w:tcBorders>
              <w:top w:val="nil"/>
              <w:bottom w:val="single" w:sz="2" w:space="0" w:color="1F4E79" w:themeColor="accent1" w:themeShade="80"/>
            </w:tcBorders>
            <w:shd w:val="clear" w:color="auto" w:fill="auto"/>
            <w:vAlign w:val="center"/>
          </w:tcPr>
          <w:p w14:paraId="5EFD380F" w14:textId="77777777" w:rsidR="00AF04B6" w:rsidRPr="002B160B"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sidRPr="00F261B2">
              <w:t>1</w:t>
            </w:r>
            <w:r>
              <w:t>.</w:t>
            </w:r>
            <w:r w:rsidRPr="00F261B2">
              <w:t>97</w:t>
            </w:r>
          </w:p>
        </w:tc>
        <w:tc>
          <w:tcPr>
            <w:tcW w:w="244" w:type="dxa"/>
            <w:tcBorders>
              <w:top w:val="nil"/>
              <w:bottom w:val="single" w:sz="2" w:space="0" w:color="1F4E79" w:themeColor="accent1" w:themeShade="80"/>
            </w:tcBorders>
            <w:shd w:val="clear" w:color="auto" w:fill="auto"/>
            <w:vAlign w:val="center"/>
          </w:tcPr>
          <w:p w14:paraId="335C878B" w14:textId="77777777" w:rsidR="00AF04B6" w:rsidRPr="003E7906"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p>
        </w:tc>
        <w:tc>
          <w:tcPr>
            <w:tcW w:w="1315" w:type="dxa"/>
            <w:tcBorders>
              <w:top w:val="nil"/>
              <w:bottom w:val="single" w:sz="2" w:space="0" w:color="1F4E79" w:themeColor="accent1" w:themeShade="80"/>
            </w:tcBorders>
            <w:shd w:val="clear" w:color="auto" w:fill="auto"/>
            <w:vAlign w:val="center"/>
          </w:tcPr>
          <w:p w14:paraId="7FC8AF24" w14:textId="77777777" w:rsidR="00AF04B6" w:rsidRPr="003E7906" w:rsidRDefault="00AF04B6" w:rsidP="004E48E8">
            <w:pPr>
              <w:pStyle w:val="08-Tabelageral"/>
              <w:cnfStyle w:val="000000000000" w:firstRow="0" w:lastRow="0" w:firstColumn="0" w:lastColumn="0" w:oddVBand="0" w:evenVBand="0" w:oddHBand="0" w:evenHBand="0" w:firstRowFirstColumn="0" w:firstRowLastColumn="0" w:lastRowFirstColumn="0" w:lastRowLastColumn="0"/>
              <w:rPr>
                <w:highlight w:val="yellow"/>
              </w:rPr>
            </w:pPr>
            <w:r>
              <w:rPr>
                <w:rFonts w:cs="Arial"/>
                <w:b/>
                <w:bCs/>
                <w:sz w:val="20"/>
                <w:szCs w:val="20"/>
              </w:rPr>
              <w:t xml:space="preserve">    </w:t>
            </w:r>
            <w:r w:rsidRPr="00597C80">
              <w:rPr>
                <w:rFonts w:cs="Arial"/>
                <w:szCs w:val="14"/>
              </w:rPr>
              <w:t>3</w:t>
            </w:r>
            <w:r>
              <w:rPr>
                <w:rFonts w:cs="Arial"/>
                <w:szCs w:val="14"/>
              </w:rPr>
              <w:t>.</w:t>
            </w:r>
            <w:r w:rsidRPr="00597C80">
              <w:rPr>
                <w:rFonts w:cs="Arial"/>
                <w:szCs w:val="14"/>
              </w:rPr>
              <w:t>03</w:t>
            </w:r>
            <w:r>
              <w:rPr>
                <w:rFonts w:cs="Arial"/>
                <w:b/>
                <w:bCs/>
                <w:sz w:val="20"/>
                <w:szCs w:val="20"/>
              </w:rPr>
              <w:t xml:space="preserve"> </w:t>
            </w:r>
          </w:p>
        </w:tc>
        <w:tc>
          <w:tcPr>
            <w:tcW w:w="1418" w:type="dxa"/>
            <w:tcBorders>
              <w:top w:val="nil"/>
              <w:bottom w:val="single" w:sz="2" w:space="0" w:color="1F4E79" w:themeColor="accent1" w:themeShade="80"/>
            </w:tcBorders>
            <w:shd w:val="clear" w:color="auto" w:fill="auto"/>
            <w:vAlign w:val="center"/>
          </w:tcPr>
          <w:p w14:paraId="50F3FB80" w14:textId="77777777" w:rsidR="00AF04B6" w:rsidRPr="006201C4" w:rsidRDefault="00AF04B6" w:rsidP="004E48E8">
            <w:pPr>
              <w:pStyle w:val="08-Tabelageral"/>
              <w:cnfStyle w:val="000000000000" w:firstRow="0" w:lastRow="0" w:firstColumn="0" w:lastColumn="0" w:oddVBand="0" w:evenVBand="0" w:oddHBand="0" w:evenHBand="0" w:firstRowFirstColumn="0" w:firstRowLastColumn="0" w:lastRowFirstColumn="0" w:lastRowLastColumn="0"/>
            </w:pPr>
            <w:r w:rsidRPr="00F261B2">
              <w:t>1</w:t>
            </w:r>
            <w:r>
              <w:t>.</w:t>
            </w:r>
            <w:r w:rsidRPr="00F261B2">
              <w:t>97</w:t>
            </w:r>
          </w:p>
        </w:tc>
      </w:tr>
    </w:tbl>
    <w:p w14:paraId="2F412E72" w14:textId="77777777" w:rsidR="00AF04B6" w:rsidRDefault="00AF04B6" w:rsidP="00F7230A">
      <w:pPr>
        <w:rPr>
          <w:rFonts w:cs="Arial"/>
          <w:sz w:val="14"/>
          <w:szCs w:val="14"/>
          <w:lang w:val="en-US"/>
        </w:rPr>
      </w:pPr>
      <w:r w:rsidRPr="007E0F9F">
        <w:rPr>
          <w:rFonts w:cs="Arial"/>
          <w:sz w:val="14"/>
          <w:szCs w:val="14"/>
          <w:lang w:val="en-US"/>
        </w:rPr>
        <w:t>The accompanying notes are an integral part of these financial statements.</w:t>
      </w:r>
    </w:p>
    <w:p w14:paraId="729FA181" w14:textId="77777777" w:rsidR="00AF04B6" w:rsidRPr="00F7230A" w:rsidRDefault="00AF04B6" w:rsidP="00F7230A">
      <w:pPr>
        <w:rPr>
          <w:lang w:val="en-US" w:eastAsia="pt-BR"/>
        </w:rPr>
      </w:pPr>
    </w:p>
    <w:p w14:paraId="7103C6C0" w14:textId="77777777" w:rsidR="00AF04B6" w:rsidRPr="00BA4C93" w:rsidRDefault="00AF04B6" w:rsidP="00FC4475">
      <w:pPr>
        <w:pStyle w:val="Ttulo1"/>
      </w:pPr>
      <w:bookmarkStart w:id="14" w:name="_Toc126781086"/>
      <w:r w:rsidRPr="00BA4C93">
        <w:t>STATEMENT OF COMPREHENSIVE INCOME</w:t>
      </w:r>
      <w:bookmarkEnd w:id="14"/>
    </w:p>
    <w:p w14:paraId="38EC9B60" w14:textId="77777777" w:rsidR="00AF04B6" w:rsidRPr="000A5535" w:rsidRDefault="00AF04B6" w:rsidP="000A5535">
      <w:pPr>
        <w:pStyle w:val="01-TtulodeNota"/>
        <w:spacing w:after="0"/>
        <w:jc w:val="right"/>
        <w:rPr>
          <w:sz w:val="14"/>
          <w:szCs w:val="14"/>
          <w:lang w:val="en-US"/>
        </w:rPr>
      </w:pPr>
    </w:p>
    <w:p w14:paraId="681193CE" w14:textId="77777777" w:rsidR="00AF04B6" w:rsidRPr="000A5535" w:rsidRDefault="00AF04B6" w:rsidP="000A5535">
      <w:pPr>
        <w:pStyle w:val="01-TtulodeNota"/>
        <w:spacing w:before="0" w:after="0"/>
        <w:jc w:val="right"/>
        <w:rPr>
          <w:sz w:val="14"/>
          <w:szCs w:val="14"/>
          <w:lang w:val="en-US"/>
        </w:rPr>
      </w:pPr>
      <w:r w:rsidRPr="000A5535">
        <w:rPr>
          <w:sz w:val="14"/>
          <w:szCs w:val="14"/>
          <w:lang w:val="en-US"/>
        </w:rPr>
        <w:t>R$ thousand</w:t>
      </w:r>
    </w:p>
    <w:tbl>
      <w:tblPr>
        <w:tblStyle w:val="TabeladeLista6Colorida-nfase5"/>
        <w:tblW w:w="9630" w:type="dxa"/>
        <w:jc w:val="center"/>
        <w:tblLook w:val="04A0" w:firstRow="1" w:lastRow="0" w:firstColumn="1" w:lastColumn="0" w:noHBand="0" w:noVBand="1"/>
      </w:tblPr>
      <w:tblGrid>
        <w:gridCol w:w="3686"/>
        <w:gridCol w:w="705"/>
        <w:gridCol w:w="1304"/>
        <w:gridCol w:w="1097"/>
        <w:gridCol w:w="26"/>
        <w:gridCol w:w="216"/>
        <w:gridCol w:w="26"/>
        <w:gridCol w:w="1436"/>
        <w:gridCol w:w="1134"/>
      </w:tblGrid>
      <w:tr w:rsidR="00AF04B6" w14:paraId="6DE26DF2" w14:textId="77777777" w:rsidTr="00220300">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4E79" w:themeColor="accent1" w:themeShade="80"/>
              <w:bottom w:val="nil"/>
            </w:tcBorders>
            <w:shd w:val="clear" w:color="auto" w:fill="auto"/>
            <w:vAlign w:val="center"/>
          </w:tcPr>
          <w:p w14:paraId="05602F30" w14:textId="77777777" w:rsidR="00AF04B6" w:rsidRPr="0038283D" w:rsidRDefault="00AF04B6" w:rsidP="00491FBC">
            <w:pPr>
              <w:jc w:val="center"/>
              <w:rPr>
                <w:rFonts w:cs="Arial"/>
                <w:b w:val="0"/>
                <w:szCs w:val="18"/>
                <w:lang w:val="en-US"/>
              </w:rPr>
            </w:pPr>
          </w:p>
        </w:tc>
        <w:tc>
          <w:tcPr>
            <w:tcW w:w="705" w:type="dxa"/>
            <w:tcBorders>
              <w:top w:val="single" w:sz="2" w:space="0" w:color="1F4E79" w:themeColor="accent1" w:themeShade="80"/>
              <w:bottom w:val="nil"/>
            </w:tcBorders>
            <w:shd w:val="clear" w:color="auto" w:fill="auto"/>
            <w:vAlign w:val="center"/>
          </w:tcPr>
          <w:p w14:paraId="55FF06BF" w14:textId="77777777" w:rsidR="00AF04B6" w:rsidRPr="0038283D" w:rsidRDefault="00AF04B6" w:rsidP="00491FBC">
            <w:pPr>
              <w:jc w:val="cente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401" w:type="dxa"/>
            <w:gridSpan w:val="2"/>
            <w:tcBorders>
              <w:top w:val="single" w:sz="2" w:space="0" w:color="1F4E79" w:themeColor="accent1" w:themeShade="80"/>
              <w:bottom w:val="single" w:sz="2" w:space="0" w:color="1F4E79" w:themeColor="accent1" w:themeShade="80"/>
            </w:tcBorders>
            <w:shd w:val="clear" w:color="auto" w:fill="auto"/>
            <w:vAlign w:val="center"/>
          </w:tcPr>
          <w:p w14:paraId="33B2C413" w14:textId="77777777" w:rsidR="00AF04B6" w:rsidRPr="001D6BE8" w:rsidRDefault="00AF04B6" w:rsidP="00491FBC">
            <w:pPr>
              <w:jc w:val="center"/>
              <w:cnfStyle w:val="100000000000" w:firstRow="1" w:lastRow="0" w:firstColumn="0" w:lastColumn="0" w:oddVBand="0" w:evenVBand="0" w:oddHBand="0" w:evenHBand="0" w:firstRowFirstColumn="0" w:firstRowLastColumn="0" w:lastRowFirstColumn="0" w:lastRowLastColumn="0"/>
              <w:rPr>
                <w:rFonts w:cs="Arial"/>
                <w:bCs w:val="0"/>
                <w:szCs w:val="18"/>
              </w:rPr>
            </w:pPr>
            <w:r w:rsidRPr="009768B6">
              <w:rPr>
                <w:rFonts w:cs="Arial"/>
                <w:sz w:val="14"/>
                <w:szCs w:val="18"/>
              </w:rPr>
              <w:t>Parent</w:t>
            </w:r>
          </w:p>
        </w:tc>
        <w:tc>
          <w:tcPr>
            <w:tcW w:w="242" w:type="dxa"/>
            <w:gridSpan w:val="2"/>
            <w:tcBorders>
              <w:top w:val="single" w:sz="2" w:space="0" w:color="1F4E79" w:themeColor="accent1" w:themeShade="80"/>
              <w:bottom w:val="nil"/>
            </w:tcBorders>
            <w:shd w:val="clear" w:color="auto" w:fill="auto"/>
            <w:vAlign w:val="center"/>
          </w:tcPr>
          <w:p w14:paraId="6C18DBF3" w14:textId="77777777" w:rsidR="00AF04B6" w:rsidRPr="001D6BE8" w:rsidRDefault="00AF04B6" w:rsidP="00491FBC">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596" w:type="dxa"/>
            <w:gridSpan w:val="3"/>
            <w:tcBorders>
              <w:top w:val="single" w:sz="2" w:space="0" w:color="1F4E79" w:themeColor="accent1" w:themeShade="80"/>
              <w:bottom w:val="single" w:sz="2" w:space="0" w:color="1F4E79" w:themeColor="accent1" w:themeShade="80"/>
            </w:tcBorders>
            <w:vAlign w:val="center"/>
          </w:tcPr>
          <w:p w14:paraId="10BAEB52" w14:textId="77777777" w:rsidR="00AF04B6" w:rsidRPr="001D6BE8" w:rsidRDefault="00AF04B6" w:rsidP="00491FBC">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r w:rsidRPr="009768B6">
              <w:rPr>
                <w:rFonts w:cs="Arial"/>
                <w:sz w:val="14"/>
                <w:szCs w:val="18"/>
              </w:rPr>
              <w:t>Consolidated</w:t>
            </w:r>
          </w:p>
        </w:tc>
      </w:tr>
      <w:tr w:rsidR="00AF04B6" w:rsidRPr="001D6BE8" w14:paraId="42B183F0" w14:textId="77777777" w:rsidTr="00220300">
        <w:trPr>
          <w:cnfStyle w:val="000000100000" w:firstRow="0" w:lastRow="0" w:firstColumn="0" w:lastColumn="0" w:oddVBand="0" w:evenVBand="0" w:oddHBand="1" w:evenHBand="0" w:firstRowFirstColumn="0" w:firstRowLastColumn="0" w:lastRowFirstColumn="0" w:lastRowLastColumn="0"/>
          <w:trHeight w:hRule="exact" w:val="372"/>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2" w:space="0" w:color="1F4E79" w:themeColor="accent1" w:themeShade="80"/>
            </w:tcBorders>
            <w:shd w:val="clear" w:color="auto" w:fill="auto"/>
            <w:vAlign w:val="center"/>
          </w:tcPr>
          <w:p w14:paraId="22A0CFDB" w14:textId="77777777" w:rsidR="00AF04B6" w:rsidRPr="001D6BE8" w:rsidRDefault="00AF04B6" w:rsidP="00220300">
            <w:pPr>
              <w:pStyle w:val="08-Tabelageral"/>
              <w:jc w:val="left"/>
              <w:rPr>
                <w:rFonts w:cs="Arial"/>
                <w:b w:val="0"/>
              </w:rPr>
            </w:pPr>
          </w:p>
        </w:tc>
        <w:tc>
          <w:tcPr>
            <w:tcW w:w="705" w:type="dxa"/>
            <w:tcBorders>
              <w:top w:val="nil"/>
              <w:bottom w:val="single" w:sz="2" w:space="0" w:color="1F4E79" w:themeColor="accent1" w:themeShade="80"/>
            </w:tcBorders>
            <w:shd w:val="clear" w:color="auto" w:fill="auto"/>
            <w:vAlign w:val="center"/>
          </w:tcPr>
          <w:p w14:paraId="0E52D09D" w14:textId="77777777" w:rsidR="00AF04B6" w:rsidRPr="001D6BE8"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304" w:type="dxa"/>
            <w:tcBorders>
              <w:top w:val="single" w:sz="2" w:space="0" w:color="1F4E79" w:themeColor="accent1" w:themeShade="80"/>
              <w:bottom w:val="single" w:sz="2" w:space="0" w:color="1F4E79" w:themeColor="accent1" w:themeShade="80"/>
            </w:tcBorders>
            <w:shd w:val="clear" w:color="auto" w:fill="auto"/>
            <w:vAlign w:val="center"/>
          </w:tcPr>
          <w:p w14:paraId="1A19D886" w14:textId="77777777" w:rsidR="00AF04B6"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453880">
              <w:rPr>
                <w:rFonts w:cs="Arial"/>
                <w:b/>
                <w:bCs/>
              </w:rPr>
              <w:t>202</w:t>
            </w:r>
            <w:r>
              <w:rPr>
                <w:rFonts w:cs="Arial"/>
                <w:b/>
                <w:bCs/>
              </w:rPr>
              <w:t>2</w:t>
            </w:r>
          </w:p>
        </w:tc>
        <w:tc>
          <w:tcPr>
            <w:tcW w:w="1123" w:type="dxa"/>
            <w:gridSpan w:val="2"/>
            <w:tcBorders>
              <w:top w:val="single" w:sz="2" w:space="0" w:color="8EAADB" w:themeColor="accent5" w:themeTint="99"/>
              <w:bottom w:val="single" w:sz="2" w:space="0" w:color="8EAADB" w:themeColor="accent5" w:themeTint="99"/>
            </w:tcBorders>
            <w:shd w:val="clear" w:color="auto" w:fill="auto"/>
            <w:vAlign w:val="center"/>
          </w:tcPr>
          <w:p w14:paraId="6C945D13" w14:textId="77777777" w:rsidR="00AF04B6"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DE2DD7">
              <w:rPr>
                <w:rFonts w:cs="Arial"/>
                <w:b/>
                <w:bCs/>
              </w:rPr>
              <w:t>20</w:t>
            </w:r>
            <w:r>
              <w:rPr>
                <w:rFonts w:cs="Arial"/>
                <w:b/>
                <w:bCs/>
              </w:rPr>
              <w:t>21</w:t>
            </w:r>
          </w:p>
        </w:tc>
        <w:tc>
          <w:tcPr>
            <w:tcW w:w="242" w:type="dxa"/>
            <w:gridSpan w:val="2"/>
            <w:tcBorders>
              <w:top w:val="nil"/>
              <w:bottom w:val="nil"/>
            </w:tcBorders>
            <w:shd w:val="clear" w:color="auto" w:fill="auto"/>
            <w:vAlign w:val="center"/>
          </w:tcPr>
          <w:p w14:paraId="12C39E49" w14:textId="77777777" w:rsidR="00AF04B6"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36" w:type="dxa"/>
            <w:tcBorders>
              <w:top w:val="single" w:sz="2" w:space="0" w:color="1F4E79" w:themeColor="accent1" w:themeShade="80"/>
              <w:bottom w:val="single" w:sz="2" w:space="0" w:color="1F4E79" w:themeColor="accent1" w:themeShade="80"/>
            </w:tcBorders>
            <w:shd w:val="clear" w:color="auto" w:fill="auto"/>
            <w:vAlign w:val="center"/>
          </w:tcPr>
          <w:p w14:paraId="759C1E13" w14:textId="77777777" w:rsidR="00AF04B6"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453880">
              <w:rPr>
                <w:rFonts w:cs="Arial"/>
                <w:b/>
                <w:bCs/>
              </w:rPr>
              <w:t>202</w:t>
            </w:r>
            <w:r>
              <w:rPr>
                <w:rFonts w:cs="Arial"/>
                <w:b/>
                <w:bCs/>
              </w:rPr>
              <w:t>2</w:t>
            </w:r>
          </w:p>
        </w:tc>
        <w:tc>
          <w:tcPr>
            <w:tcW w:w="1134" w:type="dxa"/>
            <w:tcBorders>
              <w:top w:val="single" w:sz="2" w:space="0" w:color="8EAADB" w:themeColor="accent5" w:themeTint="99"/>
              <w:bottom w:val="single" w:sz="2" w:space="0" w:color="8EAADB" w:themeColor="accent5" w:themeTint="99"/>
            </w:tcBorders>
            <w:shd w:val="clear" w:color="auto" w:fill="auto"/>
            <w:vAlign w:val="center"/>
          </w:tcPr>
          <w:p w14:paraId="013AAAA7" w14:textId="77777777" w:rsidR="00AF04B6"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DE2DD7">
              <w:rPr>
                <w:rFonts w:cs="Arial"/>
                <w:b/>
                <w:bCs/>
              </w:rPr>
              <w:t>20</w:t>
            </w:r>
            <w:r>
              <w:rPr>
                <w:rFonts w:cs="Arial"/>
                <w:b/>
                <w:bCs/>
              </w:rPr>
              <w:t>21</w:t>
            </w:r>
          </w:p>
        </w:tc>
      </w:tr>
      <w:tr w:rsidR="00AF04B6" w:rsidRPr="001D6BE8" w14:paraId="396A424D" w14:textId="77777777" w:rsidTr="00220300">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4E79" w:themeColor="accent1" w:themeShade="80"/>
              <w:bottom w:val="nil"/>
            </w:tcBorders>
            <w:shd w:val="clear" w:color="auto" w:fill="auto"/>
            <w:vAlign w:val="center"/>
          </w:tcPr>
          <w:p w14:paraId="2F1F5BAA" w14:textId="77777777" w:rsidR="00AF04B6" w:rsidRPr="00C806B0" w:rsidRDefault="00AF04B6" w:rsidP="00220300">
            <w:pPr>
              <w:pStyle w:val="08-Tabelageral"/>
              <w:jc w:val="left"/>
              <w:rPr>
                <w:rFonts w:cs="Arial"/>
                <w:bCs w:val="0"/>
                <w:szCs w:val="14"/>
              </w:rPr>
            </w:pPr>
            <w:r>
              <w:rPr>
                <w:rFonts w:cs="Arial"/>
                <w:szCs w:val="14"/>
              </w:rPr>
              <w:t>Net Income</w:t>
            </w:r>
          </w:p>
        </w:tc>
        <w:tc>
          <w:tcPr>
            <w:tcW w:w="705" w:type="dxa"/>
            <w:tcBorders>
              <w:top w:val="single" w:sz="2" w:space="0" w:color="1F4E79" w:themeColor="accent1" w:themeShade="80"/>
              <w:bottom w:val="nil"/>
            </w:tcBorders>
            <w:shd w:val="clear" w:color="auto" w:fill="auto"/>
            <w:vAlign w:val="center"/>
          </w:tcPr>
          <w:p w14:paraId="610C6704" w14:textId="77777777" w:rsidR="00AF04B6" w:rsidRPr="00C806B0" w:rsidRDefault="00AF04B6" w:rsidP="0022030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304" w:type="dxa"/>
            <w:tcBorders>
              <w:top w:val="single" w:sz="2" w:space="0" w:color="1F4E79" w:themeColor="accent1" w:themeShade="80"/>
              <w:bottom w:val="nil"/>
            </w:tcBorders>
            <w:shd w:val="clear" w:color="auto" w:fill="auto"/>
            <w:vAlign w:val="center"/>
          </w:tcPr>
          <w:p w14:paraId="33D8F1A0" w14:textId="77777777" w:rsidR="00AF04B6" w:rsidRPr="00C806B0" w:rsidRDefault="00AF04B6" w:rsidP="0022030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F2C88">
              <w:rPr>
                <w:b/>
                <w:bCs/>
              </w:rPr>
              <w:t>6</w:t>
            </w:r>
            <w:r>
              <w:rPr>
                <w:b/>
                <w:bCs/>
              </w:rPr>
              <w:t>,</w:t>
            </w:r>
            <w:r w:rsidRPr="001F2C88">
              <w:rPr>
                <w:b/>
                <w:bCs/>
              </w:rPr>
              <w:t>044</w:t>
            </w:r>
            <w:r>
              <w:rPr>
                <w:b/>
                <w:bCs/>
              </w:rPr>
              <w:t>,</w:t>
            </w:r>
            <w:r w:rsidRPr="001F2C88">
              <w:rPr>
                <w:b/>
                <w:bCs/>
              </w:rPr>
              <w:t>571</w:t>
            </w:r>
          </w:p>
        </w:tc>
        <w:tc>
          <w:tcPr>
            <w:tcW w:w="1123" w:type="dxa"/>
            <w:gridSpan w:val="2"/>
            <w:tcBorders>
              <w:top w:val="single" w:sz="2" w:space="0" w:color="1F4E79" w:themeColor="accent1" w:themeShade="80"/>
              <w:bottom w:val="nil"/>
            </w:tcBorders>
            <w:shd w:val="clear" w:color="auto" w:fill="auto"/>
            <w:vAlign w:val="center"/>
          </w:tcPr>
          <w:p w14:paraId="24BA538E" w14:textId="77777777" w:rsidR="00AF04B6" w:rsidRPr="00C806B0" w:rsidRDefault="00AF04B6" w:rsidP="0022030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417C3">
              <w:rPr>
                <w:b/>
                <w:bCs/>
              </w:rPr>
              <w:t>3</w:t>
            </w:r>
            <w:r>
              <w:rPr>
                <w:b/>
                <w:bCs/>
              </w:rPr>
              <w:t>,</w:t>
            </w:r>
            <w:r w:rsidRPr="002417C3">
              <w:rPr>
                <w:b/>
                <w:bCs/>
              </w:rPr>
              <w:t>933</w:t>
            </w:r>
            <w:r>
              <w:rPr>
                <w:b/>
                <w:bCs/>
              </w:rPr>
              <w:t>,</w:t>
            </w:r>
            <w:r w:rsidRPr="002417C3">
              <w:rPr>
                <w:b/>
                <w:bCs/>
              </w:rPr>
              <w:t>217</w:t>
            </w:r>
          </w:p>
        </w:tc>
        <w:tc>
          <w:tcPr>
            <w:tcW w:w="242" w:type="dxa"/>
            <w:gridSpan w:val="2"/>
            <w:tcBorders>
              <w:top w:val="nil"/>
              <w:bottom w:val="nil"/>
            </w:tcBorders>
            <w:shd w:val="clear" w:color="auto" w:fill="auto"/>
            <w:vAlign w:val="center"/>
          </w:tcPr>
          <w:p w14:paraId="1B242C8E" w14:textId="77777777" w:rsidR="00AF04B6" w:rsidRPr="00C806B0" w:rsidRDefault="00AF04B6" w:rsidP="0022030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36" w:type="dxa"/>
            <w:tcBorders>
              <w:top w:val="single" w:sz="2" w:space="0" w:color="1F4E79" w:themeColor="accent1" w:themeShade="80"/>
              <w:bottom w:val="nil"/>
            </w:tcBorders>
            <w:shd w:val="clear" w:color="auto" w:fill="auto"/>
            <w:vAlign w:val="center"/>
          </w:tcPr>
          <w:p w14:paraId="55CDFF61" w14:textId="77777777" w:rsidR="00AF04B6" w:rsidRPr="00C806B0" w:rsidRDefault="00AF04B6" w:rsidP="0022030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F2C88">
              <w:rPr>
                <w:b/>
                <w:bCs/>
              </w:rPr>
              <w:t>6</w:t>
            </w:r>
            <w:r>
              <w:rPr>
                <w:b/>
                <w:bCs/>
              </w:rPr>
              <w:t>,</w:t>
            </w:r>
            <w:r w:rsidRPr="001F2C88">
              <w:rPr>
                <w:b/>
                <w:bCs/>
              </w:rPr>
              <w:t>044</w:t>
            </w:r>
            <w:r>
              <w:rPr>
                <w:b/>
                <w:bCs/>
              </w:rPr>
              <w:t>,</w:t>
            </w:r>
            <w:r w:rsidRPr="001F2C88">
              <w:rPr>
                <w:b/>
                <w:bCs/>
              </w:rPr>
              <w:t>571</w:t>
            </w:r>
          </w:p>
        </w:tc>
        <w:tc>
          <w:tcPr>
            <w:tcW w:w="1134" w:type="dxa"/>
            <w:tcBorders>
              <w:top w:val="single" w:sz="2" w:space="0" w:color="1F4E79" w:themeColor="accent1" w:themeShade="80"/>
              <w:bottom w:val="nil"/>
            </w:tcBorders>
            <w:shd w:val="clear" w:color="auto" w:fill="auto"/>
            <w:vAlign w:val="center"/>
          </w:tcPr>
          <w:p w14:paraId="5ACB0421" w14:textId="77777777" w:rsidR="00AF04B6" w:rsidRPr="00C806B0" w:rsidRDefault="00AF04B6" w:rsidP="0022030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417C3">
              <w:rPr>
                <w:b/>
                <w:bCs/>
              </w:rPr>
              <w:t>3</w:t>
            </w:r>
            <w:r>
              <w:rPr>
                <w:b/>
                <w:bCs/>
              </w:rPr>
              <w:t>,</w:t>
            </w:r>
            <w:r w:rsidRPr="002417C3">
              <w:rPr>
                <w:b/>
                <w:bCs/>
              </w:rPr>
              <w:t>933</w:t>
            </w:r>
            <w:r>
              <w:rPr>
                <w:b/>
                <w:bCs/>
              </w:rPr>
              <w:t>,</w:t>
            </w:r>
            <w:r w:rsidRPr="002417C3">
              <w:rPr>
                <w:b/>
                <w:bCs/>
              </w:rPr>
              <w:t>217</w:t>
            </w:r>
          </w:p>
        </w:tc>
      </w:tr>
      <w:tr w:rsidR="00AF04B6" w:rsidRPr="001D6BE8" w14:paraId="30656815" w14:textId="77777777" w:rsidTr="00DE5F1A">
        <w:trPr>
          <w:cnfStyle w:val="000000100000" w:firstRow="0" w:lastRow="0" w:firstColumn="0" w:lastColumn="0" w:oddVBand="0" w:evenVBand="0" w:oddHBand="1" w:evenHBand="0" w:firstRowFirstColumn="0" w:firstRowLastColumn="0" w:lastRowFirstColumn="0" w:lastRowLastColumn="0"/>
          <w:trHeight w:hRule="exact" w:val="18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3C7E556C" w14:textId="77777777" w:rsidR="00AF04B6" w:rsidRPr="0038283D" w:rsidRDefault="00AF04B6" w:rsidP="00220300">
            <w:pPr>
              <w:pStyle w:val="08-Tabelageral"/>
              <w:ind w:left="113"/>
              <w:jc w:val="left"/>
              <w:rPr>
                <w:rFonts w:cs="Arial"/>
                <w:b w:val="0"/>
                <w:szCs w:val="14"/>
                <w:lang w:val="en-US"/>
              </w:rPr>
            </w:pPr>
            <w:r w:rsidRPr="007560DA">
              <w:rPr>
                <w:rFonts w:cs="Arial"/>
                <w:szCs w:val="14"/>
                <w:lang w:val="en-US"/>
              </w:rPr>
              <w:t>Share of comprehensive income Investments in Equity Holdings</w:t>
            </w:r>
          </w:p>
        </w:tc>
        <w:tc>
          <w:tcPr>
            <w:tcW w:w="705" w:type="dxa"/>
            <w:tcBorders>
              <w:top w:val="nil"/>
              <w:bottom w:val="nil"/>
            </w:tcBorders>
            <w:shd w:val="clear" w:color="auto" w:fill="auto"/>
            <w:vAlign w:val="center"/>
          </w:tcPr>
          <w:p w14:paraId="559FD4B8" w14:textId="77777777" w:rsidR="00AF04B6" w:rsidRPr="00C806B0"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b/>
                <w:szCs w:val="14"/>
              </w:rPr>
              <w:t>[09.a]</w:t>
            </w:r>
          </w:p>
        </w:tc>
        <w:tc>
          <w:tcPr>
            <w:tcW w:w="1304" w:type="dxa"/>
            <w:tcBorders>
              <w:top w:val="nil"/>
              <w:bottom w:val="nil"/>
            </w:tcBorders>
            <w:shd w:val="clear" w:color="auto" w:fill="auto"/>
            <w:vAlign w:val="center"/>
          </w:tcPr>
          <w:p w14:paraId="6FB0716E" w14:textId="77777777" w:rsidR="00AF04B6"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1F2C88">
              <w:rPr>
                <w:b/>
              </w:rPr>
              <w:t>11</w:t>
            </w:r>
            <w:r>
              <w:rPr>
                <w:b/>
              </w:rPr>
              <w:t>,</w:t>
            </w:r>
            <w:r w:rsidRPr="001F2C88">
              <w:rPr>
                <w:b/>
              </w:rPr>
              <w:t>417</w:t>
            </w:r>
          </w:p>
        </w:tc>
        <w:tc>
          <w:tcPr>
            <w:tcW w:w="1123" w:type="dxa"/>
            <w:gridSpan w:val="2"/>
            <w:tcBorders>
              <w:top w:val="nil"/>
              <w:bottom w:val="nil"/>
            </w:tcBorders>
            <w:shd w:val="clear" w:color="auto" w:fill="auto"/>
            <w:vAlign w:val="center"/>
          </w:tcPr>
          <w:p w14:paraId="5EFC79F4" w14:textId="77777777" w:rsidR="00AF04B6"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2417C3">
              <w:rPr>
                <w:b/>
                <w:bCs/>
              </w:rPr>
              <w:t>(171</w:t>
            </w:r>
            <w:r>
              <w:rPr>
                <w:b/>
                <w:bCs/>
              </w:rPr>
              <w:t>,</w:t>
            </w:r>
            <w:r w:rsidRPr="002417C3">
              <w:rPr>
                <w:b/>
                <w:bCs/>
              </w:rPr>
              <w:t>346)</w:t>
            </w:r>
          </w:p>
        </w:tc>
        <w:tc>
          <w:tcPr>
            <w:tcW w:w="242" w:type="dxa"/>
            <w:gridSpan w:val="2"/>
            <w:tcBorders>
              <w:top w:val="nil"/>
              <w:bottom w:val="nil"/>
            </w:tcBorders>
            <w:shd w:val="clear" w:color="auto" w:fill="auto"/>
            <w:vAlign w:val="center"/>
          </w:tcPr>
          <w:p w14:paraId="16DF5C30" w14:textId="77777777" w:rsidR="00AF04B6"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36" w:type="dxa"/>
            <w:tcBorders>
              <w:top w:val="nil"/>
              <w:bottom w:val="nil"/>
            </w:tcBorders>
            <w:shd w:val="clear" w:color="auto" w:fill="auto"/>
            <w:vAlign w:val="center"/>
          </w:tcPr>
          <w:p w14:paraId="11E0490D" w14:textId="77777777" w:rsidR="00AF04B6"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1F2C88">
              <w:rPr>
                <w:b/>
              </w:rPr>
              <w:t>11</w:t>
            </w:r>
            <w:r>
              <w:rPr>
                <w:b/>
              </w:rPr>
              <w:t>,</w:t>
            </w:r>
            <w:r w:rsidRPr="001F2C88">
              <w:rPr>
                <w:b/>
              </w:rPr>
              <w:t>417</w:t>
            </w:r>
          </w:p>
        </w:tc>
        <w:tc>
          <w:tcPr>
            <w:tcW w:w="1134" w:type="dxa"/>
            <w:tcBorders>
              <w:top w:val="nil"/>
              <w:bottom w:val="nil"/>
            </w:tcBorders>
            <w:shd w:val="clear" w:color="auto" w:fill="auto"/>
            <w:vAlign w:val="center"/>
          </w:tcPr>
          <w:p w14:paraId="645F2042" w14:textId="77777777" w:rsidR="00AF04B6"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2417C3">
              <w:rPr>
                <w:b/>
                <w:bCs/>
              </w:rPr>
              <w:t>(171</w:t>
            </w:r>
            <w:r>
              <w:rPr>
                <w:b/>
                <w:bCs/>
              </w:rPr>
              <w:t>,</w:t>
            </w:r>
            <w:r w:rsidRPr="002417C3">
              <w:rPr>
                <w:b/>
                <w:bCs/>
              </w:rPr>
              <w:t>346)</w:t>
            </w:r>
          </w:p>
        </w:tc>
      </w:tr>
      <w:tr w:rsidR="00AF04B6" w:rsidRPr="001D6BE8" w14:paraId="5B53172B" w14:textId="77777777" w:rsidTr="00DE5F1A">
        <w:trPr>
          <w:trHeight w:hRule="exact" w:val="18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3D56BAE1" w14:textId="77777777" w:rsidR="00AF04B6" w:rsidRPr="0038283D" w:rsidRDefault="00AF04B6" w:rsidP="00220300">
            <w:pPr>
              <w:pStyle w:val="08-Tabelageral"/>
              <w:ind w:left="113"/>
              <w:jc w:val="left"/>
              <w:rPr>
                <w:rFonts w:cs="Arial"/>
                <w:b w:val="0"/>
                <w:szCs w:val="14"/>
                <w:lang w:val="en-US"/>
              </w:rPr>
            </w:pPr>
            <w:r w:rsidRPr="00BD6C7E">
              <w:rPr>
                <w:rFonts w:cs="Arial"/>
                <w:b w:val="0"/>
                <w:szCs w:val="14"/>
                <w:lang w:val="en-US"/>
              </w:rPr>
              <w:t>Gains/(losses) on financial assets available for sale</w:t>
            </w:r>
          </w:p>
        </w:tc>
        <w:tc>
          <w:tcPr>
            <w:tcW w:w="705" w:type="dxa"/>
            <w:tcBorders>
              <w:top w:val="nil"/>
              <w:bottom w:val="nil"/>
            </w:tcBorders>
            <w:shd w:val="clear" w:color="auto" w:fill="auto"/>
            <w:vAlign w:val="center"/>
          </w:tcPr>
          <w:p w14:paraId="434C2DFE" w14:textId="77777777" w:rsidR="00AF04B6" w:rsidRPr="0038283D"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p>
        </w:tc>
        <w:tc>
          <w:tcPr>
            <w:tcW w:w="1304" w:type="dxa"/>
            <w:tcBorders>
              <w:top w:val="nil"/>
              <w:bottom w:val="nil"/>
            </w:tcBorders>
            <w:shd w:val="clear" w:color="auto" w:fill="auto"/>
            <w:vAlign w:val="center"/>
          </w:tcPr>
          <w:p w14:paraId="5C8D4476" w14:textId="77777777" w:rsidR="00AF04B6" w:rsidRPr="00823355"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pPr>
            <w:r w:rsidRPr="001F2C88">
              <w:t>22</w:t>
            </w:r>
            <w:r>
              <w:t>,</w:t>
            </w:r>
            <w:r w:rsidRPr="001F2C88">
              <w:t>09</w:t>
            </w:r>
            <w:r>
              <w:t>5</w:t>
            </w:r>
          </w:p>
        </w:tc>
        <w:tc>
          <w:tcPr>
            <w:tcW w:w="1123" w:type="dxa"/>
            <w:gridSpan w:val="2"/>
            <w:tcBorders>
              <w:top w:val="nil"/>
              <w:bottom w:val="nil"/>
            </w:tcBorders>
            <w:shd w:val="clear" w:color="auto" w:fill="auto"/>
            <w:vAlign w:val="center"/>
          </w:tcPr>
          <w:p w14:paraId="32883EE1" w14:textId="77777777" w:rsidR="00AF04B6" w:rsidRPr="00823355"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pPr>
            <w:r w:rsidRPr="007315BA">
              <w:t>(285</w:t>
            </w:r>
            <w:r>
              <w:t>,</w:t>
            </w:r>
            <w:r w:rsidRPr="007315BA">
              <w:t>578)</w:t>
            </w:r>
          </w:p>
        </w:tc>
        <w:tc>
          <w:tcPr>
            <w:tcW w:w="242" w:type="dxa"/>
            <w:gridSpan w:val="2"/>
            <w:tcBorders>
              <w:top w:val="nil"/>
              <w:bottom w:val="nil"/>
            </w:tcBorders>
            <w:shd w:val="clear" w:color="auto" w:fill="auto"/>
            <w:vAlign w:val="center"/>
          </w:tcPr>
          <w:p w14:paraId="2FE119AD" w14:textId="77777777" w:rsidR="00AF04B6" w:rsidRPr="00823355"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36" w:type="dxa"/>
            <w:tcBorders>
              <w:top w:val="nil"/>
              <w:bottom w:val="nil"/>
            </w:tcBorders>
            <w:shd w:val="clear" w:color="auto" w:fill="auto"/>
            <w:vAlign w:val="center"/>
          </w:tcPr>
          <w:p w14:paraId="69A2D6D0" w14:textId="77777777" w:rsidR="00AF04B6" w:rsidRPr="00823355"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pPr>
            <w:r w:rsidRPr="001F2C88">
              <w:t>22</w:t>
            </w:r>
            <w:r>
              <w:t>,</w:t>
            </w:r>
            <w:r w:rsidRPr="001F2C88">
              <w:t>09</w:t>
            </w:r>
            <w:r>
              <w:t>5</w:t>
            </w:r>
          </w:p>
        </w:tc>
        <w:tc>
          <w:tcPr>
            <w:tcW w:w="1134" w:type="dxa"/>
            <w:tcBorders>
              <w:top w:val="nil"/>
              <w:bottom w:val="nil"/>
            </w:tcBorders>
            <w:shd w:val="clear" w:color="auto" w:fill="auto"/>
            <w:vAlign w:val="center"/>
          </w:tcPr>
          <w:p w14:paraId="2717E904" w14:textId="77777777" w:rsidR="00AF04B6" w:rsidRPr="00823355"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pPr>
            <w:r>
              <w:t>(</w:t>
            </w:r>
            <w:r w:rsidRPr="007315BA">
              <w:t>285</w:t>
            </w:r>
            <w:r>
              <w:t>,</w:t>
            </w:r>
            <w:r w:rsidRPr="007315BA">
              <w:t>578</w:t>
            </w:r>
            <w:r>
              <w:t>)</w:t>
            </w:r>
          </w:p>
        </w:tc>
      </w:tr>
      <w:tr w:rsidR="00AF04B6" w:rsidRPr="001D6BE8" w14:paraId="01B44685" w14:textId="77777777" w:rsidTr="00DE5F1A">
        <w:trPr>
          <w:cnfStyle w:val="000000100000" w:firstRow="0" w:lastRow="0" w:firstColumn="0" w:lastColumn="0" w:oddVBand="0" w:evenVBand="0" w:oddHBand="1" w:evenHBand="0" w:firstRowFirstColumn="0" w:firstRowLastColumn="0" w:lastRowFirstColumn="0" w:lastRowLastColumn="0"/>
          <w:trHeight w:hRule="exact" w:val="18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1DACA8DC" w14:textId="77777777" w:rsidR="00AF04B6" w:rsidRPr="00D35F50" w:rsidRDefault="00AF04B6" w:rsidP="00220300">
            <w:pPr>
              <w:pStyle w:val="08-Tabelageral"/>
              <w:ind w:left="113"/>
              <w:jc w:val="left"/>
              <w:rPr>
                <w:rFonts w:cs="Arial"/>
                <w:b w:val="0"/>
                <w:bCs w:val="0"/>
                <w:szCs w:val="14"/>
                <w:lang w:val="en-US"/>
              </w:rPr>
            </w:pPr>
            <w:r w:rsidRPr="00A43DA5">
              <w:rPr>
                <w:rFonts w:cs="Arial"/>
                <w:b w:val="0"/>
                <w:bCs w:val="0"/>
                <w:szCs w:val="14"/>
                <w:lang w:val="en-US"/>
              </w:rPr>
              <w:t>Other comprehensive results</w:t>
            </w:r>
          </w:p>
        </w:tc>
        <w:tc>
          <w:tcPr>
            <w:tcW w:w="705" w:type="dxa"/>
            <w:tcBorders>
              <w:top w:val="nil"/>
              <w:bottom w:val="nil"/>
            </w:tcBorders>
            <w:shd w:val="clear" w:color="auto" w:fill="auto"/>
            <w:vAlign w:val="center"/>
          </w:tcPr>
          <w:p w14:paraId="03D6CA68" w14:textId="77777777" w:rsidR="00AF04B6" w:rsidRPr="0038283D"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p>
        </w:tc>
        <w:tc>
          <w:tcPr>
            <w:tcW w:w="1304" w:type="dxa"/>
            <w:tcBorders>
              <w:top w:val="nil"/>
              <w:bottom w:val="nil"/>
            </w:tcBorders>
            <w:shd w:val="clear" w:color="auto" w:fill="auto"/>
            <w:vAlign w:val="center"/>
          </w:tcPr>
          <w:p w14:paraId="621F9A06" w14:textId="77777777" w:rsidR="00AF04B6" w:rsidRPr="00823355"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pPr>
            <w:r w:rsidRPr="001F2C88">
              <w:t>(3</w:t>
            </w:r>
            <w:r>
              <w:t>,</w:t>
            </w:r>
            <w:r w:rsidRPr="001F2C88">
              <w:t>115)</w:t>
            </w:r>
          </w:p>
        </w:tc>
        <w:tc>
          <w:tcPr>
            <w:tcW w:w="1123" w:type="dxa"/>
            <w:gridSpan w:val="2"/>
            <w:tcBorders>
              <w:top w:val="nil"/>
              <w:bottom w:val="nil"/>
            </w:tcBorders>
            <w:shd w:val="clear" w:color="auto" w:fill="auto"/>
            <w:vAlign w:val="center"/>
          </w:tcPr>
          <w:p w14:paraId="7164B264" w14:textId="77777777" w:rsidR="00AF04B6" w:rsidRPr="00823355"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42" w:type="dxa"/>
            <w:gridSpan w:val="2"/>
            <w:tcBorders>
              <w:top w:val="nil"/>
              <w:bottom w:val="nil"/>
            </w:tcBorders>
            <w:shd w:val="clear" w:color="auto" w:fill="auto"/>
            <w:vAlign w:val="center"/>
          </w:tcPr>
          <w:p w14:paraId="3F1C9AD8" w14:textId="77777777" w:rsidR="00AF04B6" w:rsidRPr="00823355"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36" w:type="dxa"/>
            <w:tcBorders>
              <w:top w:val="nil"/>
              <w:bottom w:val="nil"/>
            </w:tcBorders>
            <w:shd w:val="clear" w:color="auto" w:fill="auto"/>
            <w:vAlign w:val="center"/>
          </w:tcPr>
          <w:p w14:paraId="476D1554" w14:textId="77777777" w:rsidR="00AF04B6" w:rsidRPr="00D13221"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pPr>
            <w:r w:rsidRPr="001F2C88">
              <w:t>(3</w:t>
            </w:r>
            <w:r>
              <w:t>,</w:t>
            </w:r>
            <w:r w:rsidRPr="001F2C88">
              <w:t>115)</w:t>
            </w:r>
          </w:p>
        </w:tc>
        <w:tc>
          <w:tcPr>
            <w:tcW w:w="1134" w:type="dxa"/>
            <w:tcBorders>
              <w:top w:val="nil"/>
              <w:bottom w:val="nil"/>
            </w:tcBorders>
            <w:shd w:val="clear" w:color="auto" w:fill="auto"/>
            <w:vAlign w:val="center"/>
          </w:tcPr>
          <w:p w14:paraId="3ED80E95" w14:textId="77777777" w:rsidR="00AF04B6" w:rsidRPr="00D13221" w:rsidRDefault="00AF04B6" w:rsidP="00220300">
            <w:pPr>
              <w:pStyle w:val="08-Tabelageral"/>
              <w:ind w:left="113"/>
              <w:cnfStyle w:val="000000100000" w:firstRow="0" w:lastRow="0" w:firstColumn="0" w:lastColumn="0" w:oddVBand="0" w:evenVBand="0" w:oddHBand="1" w:evenHBand="0" w:firstRowFirstColumn="0" w:firstRowLastColumn="0" w:lastRowFirstColumn="0" w:lastRowLastColumn="0"/>
            </w:pPr>
            <w:r>
              <w:t>--</w:t>
            </w:r>
          </w:p>
        </w:tc>
      </w:tr>
      <w:tr w:rsidR="00AF04B6" w:rsidRPr="001D6BE8" w14:paraId="58945C50" w14:textId="77777777" w:rsidTr="00DE5F1A">
        <w:trPr>
          <w:trHeight w:hRule="exact" w:val="18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shd w:val="clear" w:color="auto" w:fill="auto"/>
            <w:vAlign w:val="center"/>
          </w:tcPr>
          <w:p w14:paraId="7C020E5D" w14:textId="77777777" w:rsidR="00AF04B6" w:rsidRPr="00C20080" w:rsidRDefault="00AF04B6" w:rsidP="00220300">
            <w:pPr>
              <w:pStyle w:val="08-Tabelageral"/>
              <w:ind w:left="113"/>
              <w:jc w:val="left"/>
              <w:rPr>
                <w:rFonts w:cs="Arial"/>
                <w:b w:val="0"/>
                <w:szCs w:val="14"/>
              </w:rPr>
            </w:pPr>
            <w:r w:rsidRPr="0095260E">
              <w:rPr>
                <w:rFonts w:cs="Arial"/>
                <w:b w:val="0"/>
                <w:szCs w:val="14"/>
              </w:rPr>
              <w:t>Tax effect</w:t>
            </w:r>
          </w:p>
        </w:tc>
        <w:tc>
          <w:tcPr>
            <w:tcW w:w="705" w:type="dxa"/>
            <w:tcBorders>
              <w:top w:val="nil"/>
              <w:bottom w:val="nil"/>
            </w:tcBorders>
            <w:shd w:val="clear" w:color="auto" w:fill="auto"/>
            <w:vAlign w:val="center"/>
          </w:tcPr>
          <w:p w14:paraId="75EE12E0" w14:textId="77777777" w:rsidR="00AF04B6" w:rsidRPr="00823355"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304" w:type="dxa"/>
            <w:tcBorders>
              <w:top w:val="nil"/>
              <w:bottom w:val="nil"/>
            </w:tcBorders>
            <w:shd w:val="clear" w:color="auto" w:fill="auto"/>
            <w:vAlign w:val="center"/>
          </w:tcPr>
          <w:p w14:paraId="49570D57" w14:textId="77777777" w:rsidR="00AF04B6" w:rsidRPr="00F25D26"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pPr>
            <w:r w:rsidRPr="001F2C88">
              <w:rPr>
                <w:b/>
                <w:bCs/>
              </w:rPr>
              <w:t>(7</w:t>
            </w:r>
            <w:r>
              <w:rPr>
                <w:b/>
                <w:bCs/>
              </w:rPr>
              <w:t>,</w:t>
            </w:r>
            <w:r w:rsidRPr="001F2C88">
              <w:rPr>
                <w:b/>
                <w:bCs/>
              </w:rPr>
              <w:t>563)</w:t>
            </w:r>
          </w:p>
        </w:tc>
        <w:tc>
          <w:tcPr>
            <w:tcW w:w="1123" w:type="dxa"/>
            <w:gridSpan w:val="2"/>
            <w:tcBorders>
              <w:top w:val="nil"/>
              <w:bottom w:val="nil"/>
            </w:tcBorders>
            <w:shd w:val="clear" w:color="auto" w:fill="auto"/>
            <w:vAlign w:val="center"/>
          </w:tcPr>
          <w:p w14:paraId="2BA7A716" w14:textId="77777777" w:rsidR="00AF04B6" w:rsidRPr="00F25D26"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pPr>
            <w:r w:rsidRPr="007315BA">
              <w:rPr>
                <w:bCs/>
              </w:rPr>
              <w:t>114</w:t>
            </w:r>
            <w:r>
              <w:rPr>
                <w:bCs/>
              </w:rPr>
              <w:t>,</w:t>
            </w:r>
            <w:r w:rsidRPr="007315BA">
              <w:rPr>
                <w:bCs/>
              </w:rPr>
              <w:t>232</w:t>
            </w:r>
          </w:p>
        </w:tc>
        <w:tc>
          <w:tcPr>
            <w:tcW w:w="242" w:type="dxa"/>
            <w:gridSpan w:val="2"/>
            <w:tcBorders>
              <w:top w:val="nil"/>
              <w:bottom w:val="nil"/>
            </w:tcBorders>
            <w:shd w:val="clear" w:color="auto" w:fill="auto"/>
            <w:vAlign w:val="center"/>
          </w:tcPr>
          <w:p w14:paraId="59C1C0B8" w14:textId="77777777" w:rsidR="00AF04B6" w:rsidRPr="00F25D26"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36" w:type="dxa"/>
            <w:tcBorders>
              <w:top w:val="nil"/>
              <w:bottom w:val="nil"/>
            </w:tcBorders>
            <w:shd w:val="clear" w:color="auto" w:fill="auto"/>
            <w:vAlign w:val="center"/>
          </w:tcPr>
          <w:p w14:paraId="790B48DA" w14:textId="77777777" w:rsidR="00AF04B6" w:rsidRPr="00F25D26"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pPr>
            <w:r w:rsidRPr="001F2C88">
              <w:rPr>
                <w:b/>
                <w:bCs/>
              </w:rPr>
              <w:t>(7</w:t>
            </w:r>
            <w:r>
              <w:rPr>
                <w:b/>
                <w:bCs/>
              </w:rPr>
              <w:t>,</w:t>
            </w:r>
            <w:r w:rsidRPr="001F2C88">
              <w:rPr>
                <w:b/>
                <w:bCs/>
              </w:rPr>
              <w:t>563)</w:t>
            </w:r>
          </w:p>
        </w:tc>
        <w:tc>
          <w:tcPr>
            <w:tcW w:w="1134" w:type="dxa"/>
            <w:tcBorders>
              <w:top w:val="nil"/>
              <w:bottom w:val="nil"/>
            </w:tcBorders>
            <w:shd w:val="clear" w:color="auto" w:fill="auto"/>
            <w:vAlign w:val="center"/>
          </w:tcPr>
          <w:p w14:paraId="40F6D69F" w14:textId="77777777" w:rsidR="00AF04B6" w:rsidRPr="00F25D26" w:rsidRDefault="00AF04B6" w:rsidP="00220300">
            <w:pPr>
              <w:pStyle w:val="08-Tabelageral"/>
              <w:ind w:left="113"/>
              <w:cnfStyle w:val="000000000000" w:firstRow="0" w:lastRow="0" w:firstColumn="0" w:lastColumn="0" w:oddVBand="0" w:evenVBand="0" w:oddHBand="0" w:evenHBand="0" w:firstRowFirstColumn="0" w:firstRowLastColumn="0" w:lastRowFirstColumn="0" w:lastRowLastColumn="0"/>
            </w:pPr>
            <w:r w:rsidRPr="007315BA">
              <w:rPr>
                <w:bCs/>
              </w:rPr>
              <w:t>114</w:t>
            </w:r>
            <w:r>
              <w:rPr>
                <w:bCs/>
              </w:rPr>
              <w:t>,</w:t>
            </w:r>
            <w:r w:rsidRPr="007315BA">
              <w:rPr>
                <w:bCs/>
              </w:rPr>
              <w:t>232</w:t>
            </w:r>
          </w:p>
        </w:tc>
      </w:tr>
      <w:tr w:rsidR="00AF04B6" w:rsidRPr="003E7906" w14:paraId="02AF4186" w14:textId="77777777" w:rsidTr="00220300">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2" w:space="0" w:color="8EAADB" w:themeColor="accent5" w:themeTint="99"/>
            </w:tcBorders>
            <w:shd w:val="clear" w:color="auto" w:fill="auto"/>
            <w:vAlign w:val="center"/>
          </w:tcPr>
          <w:p w14:paraId="4EA65F00" w14:textId="77777777" w:rsidR="00AF04B6" w:rsidRPr="003E7906" w:rsidRDefault="00AF04B6" w:rsidP="00220300">
            <w:pPr>
              <w:pStyle w:val="08-Tabelageral"/>
              <w:jc w:val="left"/>
              <w:rPr>
                <w:rFonts w:cs="Arial"/>
                <w:b w:val="0"/>
                <w:bCs w:val="0"/>
                <w:szCs w:val="14"/>
              </w:rPr>
            </w:pPr>
            <w:r w:rsidRPr="0095260E">
              <w:rPr>
                <w:rFonts w:cs="Arial"/>
                <w:szCs w:val="14"/>
              </w:rPr>
              <w:t>Total Comprehensive Income</w:t>
            </w:r>
          </w:p>
        </w:tc>
        <w:tc>
          <w:tcPr>
            <w:tcW w:w="705" w:type="dxa"/>
            <w:tcBorders>
              <w:top w:val="nil"/>
              <w:bottom w:val="single" w:sz="2" w:space="0" w:color="1F4E79" w:themeColor="accent1" w:themeShade="80"/>
            </w:tcBorders>
            <w:shd w:val="clear" w:color="auto" w:fill="auto"/>
            <w:vAlign w:val="center"/>
          </w:tcPr>
          <w:p w14:paraId="5F975917" w14:textId="77777777" w:rsidR="00AF04B6" w:rsidRPr="003E7906"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04" w:type="dxa"/>
            <w:tcBorders>
              <w:top w:val="nil"/>
              <w:bottom w:val="single" w:sz="2" w:space="0" w:color="1F4E79" w:themeColor="accent1" w:themeShade="80"/>
            </w:tcBorders>
            <w:shd w:val="clear" w:color="auto" w:fill="auto"/>
            <w:vAlign w:val="center"/>
          </w:tcPr>
          <w:p w14:paraId="4C41BC3E" w14:textId="77777777" w:rsidR="00AF04B6" w:rsidRPr="003E7906"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F2C88">
              <w:rPr>
                <w:b/>
              </w:rPr>
              <w:t>6</w:t>
            </w:r>
            <w:r>
              <w:rPr>
                <w:b/>
              </w:rPr>
              <w:t>,</w:t>
            </w:r>
            <w:r w:rsidRPr="001F2C88">
              <w:rPr>
                <w:b/>
              </w:rPr>
              <w:t>055</w:t>
            </w:r>
            <w:r>
              <w:rPr>
                <w:b/>
              </w:rPr>
              <w:t>,</w:t>
            </w:r>
            <w:r w:rsidRPr="001F2C88">
              <w:rPr>
                <w:b/>
              </w:rPr>
              <w:t>988</w:t>
            </w:r>
          </w:p>
        </w:tc>
        <w:tc>
          <w:tcPr>
            <w:tcW w:w="1123" w:type="dxa"/>
            <w:gridSpan w:val="2"/>
            <w:tcBorders>
              <w:top w:val="nil"/>
              <w:bottom w:val="single" w:sz="2" w:space="0" w:color="1F4E79" w:themeColor="accent1" w:themeShade="80"/>
            </w:tcBorders>
            <w:shd w:val="clear" w:color="auto" w:fill="auto"/>
            <w:vAlign w:val="center"/>
          </w:tcPr>
          <w:p w14:paraId="10DF7E27" w14:textId="77777777" w:rsidR="00AF04B6" w:rsidRPr="003E7906"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417C3">
              <w:rPr>
                <w:b/>
                <w:bCs/>
              </w:rPr>
              <w:t>3</w:t>
            </w:r>
            <w:r>
              <w:rPr>
                <w:b/>
                <w:bCs/>
              </w:rPr>
              <w:t>,</w:t>
            </w:r>
            <w:r w:rsidRPr="002417C3">
              <w:rPr>
                <w:b/>
                <w:bCs/>
              </w:rPr>
              <w:t>761</w:t>
            </w:r>
            <w:r>
              <w:rPr>
                <w:b/>
                <w:bCs/>
              </w:rPr>
              <w:t>,</w:t>
            </w:r>
            <w:r w:rsidRPr="002417C3">
              <w:rPr>
                <w:b/>
                <w:bCs/>
              </w:rPr>
              <w:t>871</w:t>
            </w:r>
          </w:p>
        </w:tc>
        <w:tc>
          <w:tcPr>
            <w:tcW w:w="242" w:type="dxa"/>
            <w:gridSpan w:val="2"/>
            <w:tcBorders>
              <w:top w:val="nil"/>
              <w:bottom w:val="single" w:sz="2" w:space="0" w:color="1F4E79" w:themeColor="accent1" w:themeShade="80"/>
            </w:tcBorders>
            <w:shd w:val="clear" w:color="auto" w:fill="auto"/>
            <w:vAlign w:val="center"/>
          </w:tcPr>
          <w:p w14:paraId="68F759A9" w14:textId="77777777" w:rsidR="00AF04B6" w:rsidRPr="003E7906"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36" w:type="dxa"/>
            <w:tcBorders>
              <w:top w:val="nil"/>
              <w:bottom w:val="single" w:sz="2" w:space="0" w:color="1F4E79" w:themeColor="accent1" w:themeShade="80"/>
            </w:tcBorders>
            <w:shd w:val="clear" w:color="auto" w:fill="auto"/>
            <w:vAlign w:val="center"/>
          </w:tcPr>
          <w:p w14:paraId="74378AC6" w14:textId="77777777" w:rsidR="00AF04B6" w:rsidRPr="003E7906"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F2C88">
              <w:rPr>
                <w:b/>
              </w:rPr>
              <w:t>6</w:t>
            </w:r>
            <w:r>
              <w:rPr>
                <w:b/>
              </w:rPr>
              <w:t>,</w:t>
            </w:r>
            <w:r w:rsidRPr="001F2C88">
              <w:rPr>
                <w:b/>
              </w:rPr>
              <w:t>055</w:t>
            </w:r>
            <w:r>
              <w:rPr>
                <w:b/>
              </w:rPr>
              <w:t>,</w:t>
            </w:r>
            <w:r w:rsidRPr="001F2C88">
              <w:rPr>
                <w:b/>
              </w:rPr>
              <w:t>988</w:t>
            </w:r>
          </w:p>
        </w:tc>
        <w:tc>
          <w:tcPr>
            <w:tcW w:w="1134" w:type="dxa"/>
            <w:tcBorders>
              <w:top w:val="nil"/>
              <w:bottom w:val="single" w:sz="2" w:space="0" w:color="1F4E79" w:themeColor="accent1" w:themeShade="80"/>
            </w:tcBorders>
            <w:shd w:val="clear" w:color="auto" w:fill="auto"/>
            <w:vAlign w:val="center"/>
          </w:tcPr>
          <w:p w14:paraId="11D3BABB" w14:textId="77777777" w:rsidR="00AF04B6" w:rsidRPr="003E7906" w:rsidRDefault="00AF04B6" w:rsidP="0022030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417C3">
              <w:rPr>
                <w:b/>
                <w:bCs/>
              </w:rPr>
              <w:t>3</w:t>
            </w:r>
            <w:r>
              <w:rPr>
                <w:b/>
                <w:bCs/>
              </w:rPr>
              <w:t>,</w:t>
            </w:r>
            <w:r w:rsidRPr="002417C3">
              <w:rPr>
                <w:b/>
                <w:bCs/>
              </w:rPr>
              <w:t>761</w:t>
            </w:r>
            <w:r>
              <w:rPr>
                <w:b/>
                <w:bCs/>
              </w:rPr>
              <w:t>,</w:t>
            </w:r>
            <w:r w:rsidRPr="002417C3">
              <w:rPr>
                <w:b/>
                <w:bCs/>
              </w:rPr>
              <w:t>871</w:t>
            </w:r>
          </w:p>
        </w:tc>
      </w:tr>
    </w:tbl>
    <w:p w14:paraId="18715DE4" w14:textId="77777777" w:rsidR="00AF04B6" w:rsidRDefault="00AF04B6" w:rsidP="00E177EF">
      <w:pPr>
        <w:rPr>
          <w:rFonts w:cs="Arial"/>
          <w:sz w:val="14"/>
          <w:szCs w:val="14"/>
          <w:lang w:val="en-US"/>
        </w:rPr>
      </w:pPr>
      <w:r w:rsidRPr="007E0F9F">
        <w:rPr>
          <w:rFonts w:cs="Arial"/>
          <w:sz w:val="14"/>
          <w:szCs w:val="14"/>
          <w:lang w:val="en-US"/>
        </w:rPr>
        <w:t>The accompanying notes are an integral part of these financial statements.</w:t>
      </w:r>
    </w:p>
    <w:p w14:paraId="502BADC0" w14:textId="77777777" w:rsidR="00AF04B6" w:rsidRDefault="00AF04B6" w:rsidP="00E177EF">
      <w:pPr>
        <w:rPr>
          <w:rFonts w:cs="Arial"/>
          <w:sz w:val="14"/>
          <w:szCs w:val="14"/>
          <w:lang w:val="en-US"/>
        </w:rPr>
        <w:sectPr w:rsidR="00AF04B6" w:rsidSect="004E48E8">
          <w:headerReference w:type="first" r:id="rId13"/>
          <w:footerReference w:type="first" r:id="rId14"/>
          <w:type w:val="oddPage"/>
          <w:pgSz w:w="11906" w:h="16838" w:code="9"/>
          <w:pgMar w:top="1134" w:right="1134" w:bottom="851" w:left="1134" w:header="851" w:footer="284" w:gutter="0"/>
          <w:cols w:space="708"/>
          <w:docGrid w:linePitch="360"/>
        </w:sectPr>
      </w:pPr>
    </w:p>
    <w:p w14:paraId="36B578E4" w14:textId="77777777" w:rsidR="00AF04B6" w:rsidRPr="00BA4C93" w:rsidRDefault="00AF04B6" w:rsidP="00FC4475">
      <w:pPr>
        <w:pStyle w:val="Ttulo1"/>
      </w:pPr>
      <w:bookmarkStart w:id="15" w:name="_Toc28866214"/>
      <w:bookmarkStart w:id="16" w:name="_Toc126781087"/>
      <w:r w:rsidRPr="00BA4C93">
        <w:lastRenderedPageBreak/>
        <w:t>BALANCE SHEET</w:t>
      </w:r>
      <w:bookmarkEnd w:id="15"/>
      <w:bookmarkEnd w:id="16"/>
    </w:p>
    <w:p w14:paraId="6AEB8A02" w14:textId="77777777" w:rsidR="00AF04B6" w:rsidRPr="0004323A" w:rsidRDefault="00AF04B6" w:rsidP="00ED130E">
      <w:pPr>
        <w:pStyle w:val="01-TtulodeNota"/>
        <w:spacing w:before="0" w:after="0"/>
        <w:jc w:val="right"/>
        <w:rPr>
          <w:sz w:val="12"/>
          <w:szCs w:val="12"/>
        </w:rPr>
      </w:pPr>
      <w:r w:rsidRPr="00433D91">
        <w:rPr>
          <w:sz w:val="14"/>
          <w:szCs w:val="12"/>
        </w:rPr>
        <w:t>R$</w:t>
      </w:r>
      <w:r w:rsidRPr="00C27294">
        <w:rPr>
          <w:sz w:val="12"/>
          <w:szCs w:val="12"/>
        </w:rPr>
        <w:t xml:space="preserve"> </w:t>
      </w:r>
      <w:r w:rsidRPr="00433D91">
        <w:rPr>
          <w:sz w:val="14"/>
          <w:szCs w:val="12"/>
        </w:rPr>
        <w:t>thousand</w:t>
      </w:r>
    </w:p>
    <w:tbl>
      <w:tblPr>
        <w:tblStyle w:val="TabeladeLista6Colorida-nfase5"/>
        <w:tblW w:w="9711" w:type="dxa"/>
        <w:jc w:val="center"/>
        <w:tblLayout w:type="fixed"/>
        <w:tblLook w:val="04A0" w:firstRow="1" w:lastRow="0" w:firstColumn="1" w:lastColumn="0" w:noHBand="0" w:noVBand="1"/>
      </w:tblPr>
      <w:tblGrid>
        <w:gridCol w:w="4253"/>
        <w:gridCol w:w="709"/>
        <w:gridCol w:w="1134"/>
        <w:gridCol w:w="1134"/>
        <w:gridCol w:w="283"/>
        <w:gridCol w:w="1134"/>
        <w:gridCol w:w="1064"/>
      </w:tblGrid>
      <w:tr w:rsidR="00AF04B6" w14:paraId="046C15BB" w14:textId="77777777" w:rsidTr="00EB7B94">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253" w:type="dxa"/>
            <w:tcBorders>
              <w:top w:val="single" w:sz="2" w:space="0" w:color="1F4E79" w:themeColor="accent1" w:themeShade="80"/>
              <w:bottom w:val="nil"/>
            </w:tcBorders>
            <w:shd w:val="clear" w:color="auto" w:fill="auto"/>
            <w:vAlign w:val="center"/>
          </w:tcPr>
          <w:p w14:paraId="691A5DFE" w14:textId="77777777" w:rsidR="00AF04B6" w:rsidRPr="001D6BE8" w:rsidRDefault="00AF04B6" w:rsidP="006436B3">
            <w:pPr>
              <w:jc w:val="center"/>
              <w:rPr>
                <w:rFonts w:cs="Arial"/>
                <w:b w:val="0"/>
                <w:szCs w:val="18"/>
              </w:rPr>
            </w:pPr>
          </w:p>
        </w:tc>
        <w:tc>
          <w:tcPr>
            <w:tcW w:w="709" w:type="dxa"/>
            <w:tcBorders>
              <w:top w:val="single" w:sz="2" w:space="0" w:color="1F4E79" w:themeColor="accent1" w:themeShade="80"/>
              <w:bottom w:val="nil"/>
            </w:tcBorders>
            <w:shd w:val="clear" w:color="auto" w:fill="auto"/>
            <w:vAlign w:val="center"/>
          </w:tcPr>
          <w:p w14:paraId="3394CF70" w14:textId="77777777" w:rsidR="00AF04B6" w:rsidRPr="001D6BE8" w:rsidRDefault="00AF04B6" w:rsidP="006436B3">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268" w:type="dxa"/>
            <w:gridSpan w:val="2"/>
            <w:tcBorders>
              <w:top w:val="single" w:sz="2" w:space="0" w:color="1F4E79" w:themeColor="accent1" w:themeShade="80"/>
              <w:bottom w:val="single" w:sz="2" w:space="0" w:color="1F4E79" w:themeColor="accent1" w:themeShade="80"/>
            </w:tcBorders>
            <w:shd w:val="clear" w:color="auto" w:fill="auto"/>
            <w:vAlign w:val="center"/>
          </w:tcPr>
          <w:p w14:paraId="6EE6C052" w14:textId="77777777" w:rsidR="00AF04B6" w:rsidRPr="0038031F" w:rsidRDefault="00AF04B6" w:rsidP="006436B3">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C27294">
              <w:rPr>
                <w:rFonts w:cs="Arial"/>
                <w:sz w:val="14"/>
                <w:szCs w:val="18"/>
              </w:rPr>
              <w:t>Parent</w:t>
            </w:r>
          </w:p>
        </w:tc>
        <w:tc>
          <w:tcPr>
            <w:tcW w:w="283" w:type="dxa"/>
            <w:tcBorders>
              <w:top w:val="single" w:sz="2" w:space="0" w:color="1F4E79" w:themeColor="accent1" w:themeShade="80"/>
              <w:bottom w:val="nil"/>
            </w:tcBorders>
            <w:shd w:val="clear" w:color="auto" w:fill="auto"/>
            <w:vAlign w:val="center"/>
          </w:tcPr>
          <w:p w14:paraId="256CF251" w14:textId="77777777" w:rsidR="00AF04B6" w:rsidRPr="001D6BE8" w:rsidRDefault="00AF04B6" w:rsidP="006436B3">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198" w:type="dxa"/>
            <w:gridSpan w:val="2"/>
            <w:tcBorders>
              <w:top w:val="single" w:sz="2" w:space="0" w:color="1F4E79" w:themeColor="accent1" w:themeShade="80"/>
              <w:bottom w:val="single" w:sz="2" w:space="0" w:color="1F4E79" w:themeColor="accent1" w:themeShade="80"/>
            </w:tcBorders>
            <w:shd w:val="clear" w:color="auto" w:fill="auto"/>
            <w:vAlign w:val="center"/>
          </w:tcPr>
          <w:p w14:paraId="5F98CFE3" w14:textId="77777777" w:rsidR="00AF04B6" w:rsidRPr="0038031F" w:rsidRDefault="00AF04B6" w:rsidP="006436B3">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C27294">
              <w:rPr>
                <w:rFonts w:cs="Arial"/>
                <w:sz w:val="14"/>
                <w:szCs w:val="18"/>
              </w:rPr>
              <w:t>Consolidated</w:t>
            </w:r>
          </w:p>
        </w:tc>
      </w:tr>
      <w:tr w:rsidR="00AF04B6" w:rsidRPr="001D6BE8" w14:paraId="7EC343EB" w14:textId="77777777" w:rsidTr="00EB7B94">
        <w:trPr>
          <w:cnfStyle w:val="000000100000" w:firstRow="0" w:lastRow="0" w:firstColumn="0" w:lastColumn="0" w:oddVBand="0" w:evenVBand="0" w:oddHBand="1" w:evenHBand="0" w:firstRowFirstColumn="0" w:firstRowLastColumn="0" w:lastRowFirstColumn="0" w:lastRowLastColumn="0"/>
          <w:trHeight w:hRule="exact" w:val="354"/>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2" w:space="0" w:color="1F4E79" w:themeColor="accent1" w:themeShade="80"/>
            </w:tcBorders>
            <w:shd w:val="clear" w:color="auto" w:fill="auto"/>
            <w:vAlign w:val="center"/>
          </w:tcPr>
          <w:p w14:paraId="418A4761" w14:textId="77777777" w:rsidR="00AF04B6" w:rsidRPr="001D6BE8" w:rsidRDefault="00AF04B6" w:rsidP="00E422C1">
            <w:pPr>
              <w:pStyle w:val="08-Tabelageral"/>
              <w:jc w:val="left"/>
              <w:rPr>
                <w:rFonts w:cs="Arial"/>
                <w:b w:val="0"/>
              </w:rPr>
            </w:pPr>
          </w:p>
        </w:tc>
        <w:tc>
          <w:tcPr>
            <w:tcW w:w="709" w:type="dxa"/>
            <w:tcBorders>
              <w:top w:val="nil"/>
              <w:bottom w:val="single" w:sz="2" w:space="0" w:color="1F4E79" w:themeColor="accent1" w:themeShade="80"/>
            </w:tcBorders>
            <w:shd w:val="clear" w:color="auto" w:fill="auto"/>
            <w:vAlign w:val="center"/>
          </w:tcPr>
          <w:p w14:paraId="70E120AA" w14:textId="77777777" w:rsidR="00AF04B6" w:rsidRPr="001D6BE8" w:rsidRDefault="00AF04B6" w:rsidP="00E422C1">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Pr>
                <w:rFonts w:cs="Arial"/>
                <w:b/>
              </w:rPr>
              <w:t>Note</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07AEFE17" w14:textId="77777777" w:rsidR="00AF04B6" w:rsidRPr="001D6BE8" w:rsidRDefault="00AF04B6" w:rsidP="00E422C1">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Dec 31, 2022</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5F567439" w14:textId="77777777" w:rsidR="00AF04B6" w:rsidRPr="001D6BE8" w:rsidRDefault="00AF04B6" w:rsidP="00E422C1">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Dec 31, 2021</w:t>
            </w:r>
          </w:p>
        </w:tc>
        <w:tc>
          <w:tcPr>
            <w:tcW w:w="283" w:type="dxa"/>
            <w:tcBorders>
              <w:top w:val="nil"/>
              <w:bottom w:val="nil"/>
            </w:tcBorders>
            <w:shd w:val="clear" w:color="auto" w:fill="auto"/>
            <w:vAlign w:val="center"/>
          </w:tcPr>
          <w:p w14:paraId="12B58D92" w14:textId="77777777" w:rsidR="00AF04B6" w:rsidRPr="001D6BE8" w:rsidRDefault="00AF04B6" w:rsidP="00E422C1">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5A04CBDD" w14:textId="77777777" w:rsidR="00AF04B6" w:rsidRPr="001D6BE8" w:rsidRDefault="00AF04B6" w:rsidP="00E422C1">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Dec 31, 2022</w:t>
            </w:r>
          </w:p>
        </w:tc>
        <w:tc>
          <w:tcPr>
            <w:tcW w:w="1064" w:type="dxa"/>
            <w:tcBorders>
              <w:top w:val="single" w:sz="2" w:space="0" w:color="1F4E79" w:themeColor="accent1" w:themeShade="80"/>
              <w:bottom w:val="single" w:sz="2" w:space="0" w:color="1F4E79" w:themeColor="accent1" w:themeShade="80"/>
            </w:tcBorders>
            <w:shd w:val="clear" w:color="auto" w:fill="auto"/>
            <w:vAlign w:val="center"/>
          </w:tcPr>
          <w:p w14:paraId="050DD579" w14:textId="77777777" w:rsidR="00AF04B6" w:rsidRPr="001D6BE8" w:rsidRDefault="00AF04B6" w:rsidP="00E422C1">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Dec 31, 2021</w:t>
            </w:r>
          </w:p>
        </w:tc>
      </w:tr>
      <w:tr w:rsidR="00AF04B6" w:rsidRPr="001D6BE8" w14:paraId="51CFBC4D" w14:textId="77777777" w:rsidTr="00255F95">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single" w:sz="2" w:space="0" w:color="1F4E79" w:themeColor="accent1" w:themeShade="80"/>
              <w:bottom w:val="nil"/>
            </w:tcBorders>
            <w:shd w:val="clear" w:color="auto" w:fill="auto"/>
            <w:vAlign w:val="center"/>
          </w:tcPr>
          <w:p w14:paraId="24117AB8" w14:textId="77777777" w:rsidR="00AF04B6" w:rsidRPr="00CD3714" w:rsidRDefault="00AF04B6" w:rsidP="00716135">
            <w:pPr>
              <w:pStyle w:val="08-Tabelageral"/>
              <w:jc w:val="left"/>
              <w:rPr>
                <w:rFonts w:cs="Arial"/>
                <w:szCs w:val="14"/>
              </w:rPr>
            </w:pPr>
            <w:r w:rsidRPr="00C27294">
              <w:rPr>
                <w:rFonts w:cs="Arial"/>
                <w:szCs w:val="14"/>
              </w:rPr>
              <w:t>Current Assets</w:t>
            </w:r>
          </w:p>
        </w:tc>
        <w:tc>
          <w:tcPr>
            <w:tcW w:w="709" w:type="dxa"/>
            <w:tcBorders>
              <w:top w:val="single" w:sz="2" w:space="0" w:color="1F4E79" w:themeColor="accent1" w:themeShade="80"/>
              <w:bottom w:val="nil"/>
            </w:tcBorders>
            <w:shd w:val="clear" w:color="auto" w:fill="auto"/>
            <w:vAlign w:val="center"/>
          </w:tcPr>
          <w:p w14:paraId="4D9DB17F" w14:textId="77777777" w:rsidR="00AF04B6" w:rsidRPr="006B5975" w:rsidRDefault="00AF04B6" w:rsidP="00716135">
            <w:pPr>
              <w:pStyle w:val="08-Tabelageral"/>
              <w:jc w:val="center"/>
              <w:cnfStyle w:val="000000000000" w:firstRow="0" w:lastRow="0" w:firstColumn="0" w:lastColumn="0" w:oddVBand="0" w:evenVBand="0" w:oddHBand="0" w:evenHBand="0" w:firstRowFirstColumn="0" w:firstRowLastColumn="0" w:lastRowFirstColumn="0" w:lastRowLastColumn="0"/>
              <w:rPr>
                <w:b/>
              </w:rPr>
            </w:pPr>
          </w:p>
        </w:tc>
        <w:tc>
          <w:tcPr>
            <w:tcW w:w="1134" w:type="dxa"/>
            <w:tcBorders>
              <w:top w:val="nil"/>
              <w:left w:val="nil"/>
              <w:bottom w:val="nil"/>
              <w:right w:val="nil"/>
            </w:tcBorders>
            <w:shd w:val="clear" w:color="auto" w:fill="auto"/>
            <w:vAlign w:val="center"/>
          </w:tcPr>
          <w:p w14:paraId="35AF2802" w14:textId="77777777" w:rsidR="00AF04B6" w:rsidRPr="005808D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AA591E">
              <w:rPr>
                <w:rFonts w:cs="Arial"/>
                <w:b/>
                <w:szCs w:val="14"/>
              </w:rPr>
              <w:t>3</w:t>
            </w:r>
            <w:r>
              <w:rPr>
                <w:rFonts w:cs="Arial"/>
                <w:b/>
                <w:szCs w:val="14"/>
              </w:rPr>
              <w:t>,</w:t>
            </w:r>
            <w:r w:rsidRPr="00AA591E">
              <w:rPr>
                <w:rFonts w:cs="Arial"/>
                <w:b/>
                <w:szCs w:val="14"/>
              </w:rPr>
              <w:t>768</w:t>
            </w:r>
            <w:r>
              <w:rPr>
                <w:rFonts w:cs="Arial"/>
                <w:b/>
                <w:szCs w:val="14"/>
              </w:rPr>
              <w:t>,</w:t>
            </w:r>
            <w:r w:rsidRPr="00AA591E">
              <w:rPr>
                <w:rFonts w:cs="Arial"/>
                <w:b/>
                <w:szCs w:val="14"/>
              </w:rPr>
              <w:t>306</w:t>
            </w:r>
          </w:p>
        </w:tc>
        <w:tc>
          <w:tcPr>
            <w:tcW w:w="1134" w:type="dxa"/>
            <w:tcBorders>
              <w:top w:val="single" w:sz="2" w:space="0" w:color="1F4E79" w:themeColor="accent1" w:themeShade="80"/>
              <w:bottom w:val="nil"/>
            </w:tcBorders>
            <w:shd w:val="clear" w:color="auto" w:fill="auto"/>
            <w:vAlign w:val="center"/>
          </w:tcPr>
          <w:p w14:paraId="1B9EAA86" w14:textId="77777777" w:rsidR="00AF04B6" w:rsidRPr="005808D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590483">
              <w:rPr>
                <w:rFonts w:cs="Arial"/>
                <w:b/>
                <w:szCs w:val="14"/>
              </w:rPr>
              <w:t>1</w:t>
            </w:r>
            <w:r>
              <w:rPr>
                <w:rFonts w:cs="Arial"/>
                <w:b/>
                <w:szCs w:val="14"/>
              </w:rPr>
              <w:t>,</w:t>
            </w:r>
            <w:r w:rsidRPr="00590483">
              <w:rPr>
                <w:rFonts w:cs="Arial"/>
                <w:b/>
                <w:szCs w:val="14"/>
              </w:rPr>
              <w:t>956</w:t>
            </w:r>
            <w:r>
              <w:rPr>
                <w:rFonts w:cs="Arial"/>
                <w:b/>
                <w:szCs w:val="14"/>
              </w:rPr>
              <w:t>,</w:t>
            </w:r>
            <w:r w:rsidRPr="00590483">
              <w:rPr>
                <w:rFonts w:cs="Arial"/>
                <w:b/>
                <w:szCs w:val="14"/>
              </w:rPr>
              <w:t>417</w:t>
            </w:r>
          </w:p>
        </w:tc>
        <w:tc>
          <w:tcPr>
            <w:tcW w:w="283" w:type="dxa"/>
            <w:tcBorders>
              <w:top w:val="nil"/>
              <w:bottom w:val="nil"/>
            </w:tcBorders>
            <w:shd w:val="clear" w:color="auto" w:fill="auto"/>
            <w:vAlign w:val="center"/>
          </w:tcPr>
          <w:p w14:paraId="31008955" w14:textId="77777777" w:rsidR="00AF04B6" w:rsidRPr="005808D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134" w:type="dxa"/>
            <w:tcBorders>
              <w:top w:val="nil"/>
              <w:left w:val="nil"/>
              <w:bottom w:val="nil"/>
              <w:right w:val="nil"/>
            </w:tcBorders>
            <w:shd w:val="clear" w:color="auto" w:fill="auto"/>
            <w:vAlign w:val="center"/>
          </w:tcPr>
          <w:p w14:paraId="7CA1539F" w14:textId="77777777" w:rsidR="00AF04B6" w:rsidRPr="005808D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B63432">
              <w:rPr>
                <w:rFonts w:cs="Arial"/>
                <w:b/>
                <w:bCs/>
                <w:color w:val="000000"/>
                <w:szCs w:val="14"/>
              </w:rPr>
              <w:t>7</w:t>
            </w:r>
            <w:r>
              <w:rPr>
                <w:rFonts w:cs="Arial"/>
                <w:b/>
                <w:bCs/>
                <w:color w:val="000000"/>
                <w:szCs w:val="14"/>
              </w:rPr>
              <w:t>,</w:t>
            </w:r>
            <w:r w:rsidRPr="00B63432">
              <w:rPr>
                <w:rFonts w:cs="Arial"/>
                <w:b/>
                <w:bCs/>
                <w:color w:val="000000"/>
                <w:szCs w:val="14"/>
              </w:rPr>
              <w:t>221</w:t>
            </w:r>
            <w:r>
              <w:rPr>
                <w:rFonts w:cs="Arial"/>
                <w:b/>
                <w:bCs/>
                <w:color w:val="000000"/>
                <w:szCs w:val="14"/>
              </w:rPr>
              <w:t>,</w:t>
            </w:r>
            <w:r w:rsidRPr="00B63432">
              <w:rPr>
                <w:rFonts w:cs="Arial"/>
                <w:b/>
                <w:bCs/>
                <w:color w:val="000000"/>
                <w:szCs w:val="14"/>
              </w:rPr>
              <w:t>098</w:t>
            </w:r>
          </w:p>
        </w:tc>
        <w:tc>
          <w:tcPr>
            <w:tcW w:w="1064" w:type="dxa"/>
            <w:tcBorders>
              <w:top w:val="single" w:sz="2" w:space="0" w:color="1F4E79" w:themeColor="accent1" w:themeShade="80"/>
              <w:bottom w:val="nil"/>
            </w:tcBorders>
            <w:shd w:val="clear" w:color="auto" w:fill="auto"/>
            <w:vAlign w:val="center"/>
          </w:tcPr>
          <w:p w14:paraId="5412017B" w14:textId="77777777" w:rsidR="00AF04B6" w:rsidRPr="005808D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590483">
              <w:rPr>
                <w:rFonts w:cs="Arial"/>
                <w:b/>
                <w:bCs/>
                <w:szCs w:val="14"/>
              </w:rPr>
              <w:t>5</w:t>
            </w:r>
            <w:r>
              <w:rPr>
                <w:rFonts w:cs="Arial"/>
                <w:b/>
                <w:bCs/>
                <w:szCs w:val="14"/>
              </w:rPr>
              <w:t>,</w:t>
            </w:r>
            <w:r w:rsidRPr="00590483">
              <w:rPr>
                <w:rFonts w:cs="Arial"/>
                <w:b/>
                <w:bCs/>
                <w:szCs w:val="14"/>
              </w:rPr>
              <w:t>125</w:t>
            </w:r>
            <w:r>
              <w:rPr>
                <w:rFonts w:cs="Arial"/>
                <w:b/>
                <w:bCs/>
                <w:szCs w:val="14"/>
              </w:rPr>
              <w:t>,</w:t>
            </w:r>
            <w:r w:rsidRPr="00590483">
              <w:rPr>
                <w:rFonts w:cs="Arial"/>
                <w:b/>
                <w:bCs/>
                <w:szCs w:val="14"/>
              </w:rPr>
              <w:t>631</w:t>
            </w:r>
          </w:p>
        </w:tc>
      </w:tr>
      <w:tr w:rsidR="00AF04B6" w:rsidRPr="001D6BE8" w14:paraId="4931D03D" w14:textId="77777777" w:rsidTr="00EB7B9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977B00A" w14:textId="77777777" w:rsidR="00AF04B6" w:rsidRPr="0038031F" w:rsidRDefault="00AF04B6" w:rsidP="00716135">
            <w:pPr>
              <w:pStyle w:val="08-Tabelageral"/>
              <w:ind w:left="113"/>
              <w:jc w:val="left"/>
              <w:rPr>
                <w:rFonts w:cs="Arial"/>
                <w:b w:val="0"/>
                <w:szCs w:val="14"/>
              </w:rPr>
            </w:pPr>
            <w:r w:rsidRPr="00C27294">
              <w:rPr>
                <w:rFonts w:cs="Arial"/>
                <w:b w:val="0"/>
                <w:szCs w:val="14"/>
              </w:rPr>
              <w:t>Cash and cash equivalents</w:t>
            </w:r>
          </w:p>
        </w:tc>
        <w:tc>
          <w:tcPr>
            <w:tcW w:w="709" w:type="dxa"/>
            <w:tcBorders>
              <w:top w:val="nil"/>
              <w:bottom w:val="nil"/>
            </w:tcBorders>
            <w:shd w:val="clear" w:color="auto" w:fill="auto"/>
            <w:vAlign w:val="center"/>
          </w:tcPr>
          <w:p w14:paraId="6FA92FD8"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031868">
              <w:t>[15]</w:t>
            </w:r>
          </w:p>
        </w:tc>
        <w:tc>
          <w:tcPr>
            <w:tcW w:w="1134" w:type="dxa"/>
            <w:tcBorders>
              <w:top w:val="nil"/>
              <w:left w:val="nil"/>
              <w:bottom w:val="nil"/>
              <w:right w:val="nil"/>
            </w:tcBorders>
            <w:shd w:val="clear" w:color="auto" w:fill="auto"/>
            <w:vAlign w:val="center"/>
          </w:tcPr>
          <w:p w14:paraId="489D64DC" w14:textId="77777777" w:rsidR="00AF04B6" w:rsidRPr="00350BA7"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59</w:t>
            </w:r>
            <w:r>
              <w:rPr>
                <w:rFonts w:cs="Arial"/>
                <w:szCs w:val="14"/>
              </w:rPr>
              <w:t>,</w:t>
            </w:r>
            <w:r w:rsidRPr="00AA591E">
              <w:rPr>
                <w:rFonts w:cs="Arial"/>
                <w:szCs w:val="14"/>
              </w:rPr>
              <w:t>003</w:t>
            </w:r>
          </w:p>
        </w:tc>
        <w:tc>
          <w:tcPr>
            <w:tcW w:w="1134" w:type="dxa"/>
            <w:tcBorders>
              <w:top w:val="nil"/>
              <w:bottom w:val="nil"/>
            </w:tcBorders>
            <w:shd w:val="clear" w:color="auto" w:fill="auto"/>
            <w:vAlign w:val="center"/>
          </w:tcPr>
          <w:p w14:paraId="59331B45"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590483">
              <w:rPr>
                <w:rFonts w:cs="Arial"/>
                <w:szCs w:val="14"/>
              </w:rPr>
              <w:t>369</w:t>
            </w:r>
            <w:r>
              <w:rPr>
                <w:rFonts w:cs="Arial"/>
                <w:szCs w:val="14"/>
              </w:rPr>
              <w:t>,</w:t>
            </w:r>
            <w:r w:rsidRPr="00590483">
              <w:rPr>
                <w:rFonts w:cs="Arial"/>
                <w:szCs w:val="14"/>
              </w:rPr>
              <w:t>342</w:t>
            </w:r>
          </w:p>
        </w:tc>
        <w:tc>
          <w:tcPr>
            <w:tcW w:w="283" w:type="dxa"/>
            <w:tcBorders>
              <w:top w:val="nil"/>
              <w:bottom w:val="nil"/>
            </w:tcBorders>
            <w:shd w:val="clear" w:color="auto" w:fill="auto"/>
            <w:vAlign w:val="center"/>
          </w:tcPr>
          <w:p w14:paraId="18AA0D9F" w14:textId="77777777" w:rsidR="00AF04B6" w:rsidRPr="00350BA7"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4ED94149" w14:textId="77777777" w:rsidR="00AF04B6" w:rsidRPr="00350BA7"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63432">
              <w:rPr>
                <w:rFonts w:cs="Arial"/>
                <w:color w:val="000000"/>
                <w:szCs w:val="14"/>
              </w:rPr>
              <w:t>6</w:t>
            </w:r>
            <w:r>
              <w:rPr>
                <w:rFonts w:cs="Arial"/>
                <w:color w:val="000000"/>
                <w:szCs w:val="14"/>
              </w:rPr>
              <w:t>,</w:t>
            </w:r>
            <w:r w:rsidRPr="00B63432">
              <w:rPr>
                <w:rFonts w:cs="Arial"/>
                <w:color w:val="000000"/>
                <w:szCs w:val="14"/>
              </w:rPr>
              <w:t>076</w:t>
            </w:r>
            <w:r>
              <w:rPr>
                <w:rFonts w:cs="Arial"/>
                <w:color w:val="000000"/>
                <w:szCs w:val="14"/>
              </w:rPr>
              <w:t>,</w:t>
            </w:r>
            <w:r w:rsidRPr="00B63432">
              <w:rPr>
                <w:rFonts w:cs="Arial"/>
                <w:color w:val="000000"/>
                <w:szCs w:val="14"/>
              </w:rPr>
              <w:t>618</w:t>
            </w:r>
          </w:p>
        </w:tc>
        <w:tc>
          <w:tcPr>
            <w:tcW w:w="1064" w:type="dxa"/>
            <w:tcBorders>
              <w:top w:val="nil"/>
              <w:bottom w:val="nil"/>
            </w:tcBorders>
            <w:shd w:val="clear" w:color="auto" w:fill="auto"/>
            <w:vAlign w:val="center"/>
          </w:tcPr>
          <w:p w14:paraId="7FAA7405"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590483">
              <w:rPr>
                <w:rFonts w:cs="Arial"/>
                <w:szCs w:val="14"/>
              </w:rPr>
              <w:t>4</w:t>
            </w:r>
            <w:r>
              <w:rPr>
                <w:rFonts w:cs="Arial"/>
                <w:szCs w:val="14"/>
              </w:rPr>
              <w:t>,</w:t>
            </w:r>
            <w:r w:rsidRPr="00590483">
              <w:rPr>
                <w:rFonts w:cs="Arial"/>
                <w:szCs w:val="14"/>
              </w:rPr>
              <w:t>090</w:t>
            </w:r>
            <w:r>
              <w:rPr>
                <w:rFonts w:cs="Arial"/>
                <w:szCs w:val="14"/>
              </w:rPr>
              <w:t>,</w:t>
            </w:r>
            <w:r w:rsidRPr="00590483">
              <w:rPr>
                <w:rFonts w:cs="Arial"/>
                <w:szCs w:val="14"/>
              </w:rPr>
              <w:t>561</w:t>
            </w:r>
          </w:p>
        </w:tc>
      </w:tr>
      <w:tr w:rsidR="00AF04B6" w:rsidRPr="001D6BE8" w14:paraId="1ACF15DE"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70E87B5" w14:textId="77777777" w:rsidR="00AF04B6" w:rsidRPr="00BD6C7E" w:rsidRDefault="00AF04B6" w:rsidP="00716135">
            <w:pPr>
              <w:pStyle w:val="08-Tabelageral"/>
              <w:ind w:left="113"/>
              <w:jc w:val="left"/>
              <w:rPr>
                <w:rFonts w:cs="Arial"/>
                <w:b w:val="0"/>
                <w:szCs w:val="14"/>
                <w:lang w:val="en-US"/>
              </w:rPr>
            </w:pPr>
            <w:r w:rsidRPr="00BD6C7E">
              <w:rPr>
                <w:rFonts w:cs="Arial"/>
                <w:b w:val="0"/>
                <w:szCs w:val="14"/>
                <w:lang w:val="en-US"/>
              </w:rPr>
              <w:t>Dividends/interest on equity receivable</w:t>
            </w:r>
          </w:p>
        </w:tc>
        <w:tc>
          <w:tcPr>
            <w:tcW w:w="709" w:type="dxa"/>
            <w:tcBorders>
              <w:top w:val="nil"/>
              <w:bottom w:val="nil"/>
            </w:tcBorders>
            <w:shd w:val="clear" w:color="auto" w:fill="auto"/>
            <w:vAlign w:val="center"/>
          </w:tcPr>
          <w:p w14:paraId="2378F28A"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031868">
              <w:t>[17]</w:t>
            </w:r>
          </w:p>
        </w:tc>
        <w:tc>
          <w:tcPr>
            <w:tcW w:w="1134" w:type="dxa"/>
            <w:tcBorders>
              <w:top w:val="nil"/>
              <w:left w:val="nil"/>
              <w:bottom w:val="nil"/>
              <w:right w:val="nil"/>
            </w:tcBorders>
            <w:shd w:val="clear" w:color="auto" w:fill="auto"/>
            <w:vAlign w:val="center"/>
          </w:tcPr>
          <w:p w14:paraId="71FD4C0E"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3</w:t>
            </w:r>
            <w:r>
              <w:rPr>
                <w:rFonts w:cs="Arial"/>
                <w:szCs w:val="14"/>
              </w:rPr>
              <w:t>,</w:t>
            </w:r>
            <w:r w:rsidRPr="00AA591E">
              <w:rPr>
                <w:rFonts w:cs="Arial"/>
                <w:szCs w:val="14"/>
              </w:rPr>
              <w:t>683</w:t>
            </w:r>
            <w:r>
              <w:rPr>
                <w:rFonts w:cs="Arial"/>
                <w:szCs w:val="14"/>
              </w:rPr>
              <w:t>,</w:t>
            </w:r>
            <w:r w:rsidRPr="00AA591E">
              <w:rPr>
                <w:rFonts w:cs="Arial"/>
                <w:szCs w:val="14"/>
              </w:rPr>
              <w:t>35</w:t>
            </w:r>
            <w:r>
              <w:rPr>
                <w:rFonts w:cs="Arial"/>
                <w:szCs w:val="14"/>
              </w:rPr>
              <w:t>6</w:t>
            </w:r>
          </w:p>
        </w:tc>
        <w:tc>
          <w:tcPr>
            <w:tcW w:w="1134" w:type="dxa"/>
            <w:tcBorders>
              <w:top w:val="nil"/>
              <w:bottom w:val="nil"/>
            </w:tcBorders>
            <w:shd w:val="clear" w:color="auto" w:fill="auto"/>
            <w:vAlign w:val="center"/>
          </w:tcPr>
          <w:p w14:paraId="1D5BB092"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590483">
              <w:rPr>
                <w:rFonts w:cs="Arial"/>
                <w:szCs w:val="14"/>
              </w:rPr>
              <w:t>1</w:t>
            </w:r>
            <w:r>
              <w:rPr>
                <w:rFonts w:cs="Arial"/>
                <w:szCs w:val="14"/>
              </w:rPr>
              <w:t>,</w:t>
            </w:r>
            <w:r w:rsidRPr="00590483">
              <w:rPr>
                <w:rFonts w:cs="Arial"/>
                <w:szCs w:val="14"/>
              </w:rPr>
              <w:t>572</w:t>
            </w:r>
            <w:r>
              <w:rPr>
                <w:rFonts w:cs="Arial"/>
                <w:szCs w:val="14"/>
              </w:rPr>
              <w:t>,</w:t>
            </w:r>
            <w:r w:rsidRPr="00590483">
              <w:rPr>
                <w:rFonts w:cs="Arial"/>
                <w:szCs w:val="14"/>
              </w:rPr>
              <w:t>428</w:t>
            </w:r>
          </w:p>
        </w:tc>
        <w:tc>
          <w:tcPr>
            <w:tcW w:w="283" w:type="dxa"/>
            <w:tcBorders>
              <w:top w:val="nil"/>
              <w:bottom w:val="nil"/>
            </w:tcBorders>
            <w:shd w:val="clear" w:color="auto" w:fill="auto"/>
            <w:vAlign w:val="center"/>
          </w:tcPr>
          <w:p w14:paraId="619191B3"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88F76DE"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63432">
              <w:rPr>
                <w:rFonts w:cs="Arial"/>
                <w:szCs w:val="14"/>
              </w:rPr>
              <w:t>13</w:t>
            </w:r>
            <w:r>
              <w:rPr>
                <w:rFonts w:cs="Arial"/>
                <w:szCs w:val="14"/>
              </w:rPr>
              <w:t>,</w:t>
            </w:r>
            <w:r w:rsidRPr="00B63432">
              <w:rPr>
                <w:rFonts w:cs="Arial"/>
                <w:szCs w:val="14"/>
              </w:rPr>
              <w:t>519</w:t>
            </w:r>
          </w:p>
        </w:tc>
        <w:tc>
          <w:tcPr>
            <w:tcW w:w="1064" w:type="dxa"/>
            <w:tcBorders>
              <w:top w:val="nil"/>
              <w:bottom w:val="nil"/>
            </w:tcBorders>
            <w:shd w:val="clear" w:color="auto" w:fill="auto"/>
            <w:vAlign w:val="center"/>
          </w:tcPr>
          <w:p w14:paraId="22CFD946"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590483">
              <w:rPr>
                <w:rFonts w:cs="Arial"/>
                <w:szCs w:val="14"/>
              </w:rPr>
              <w:t>1</w:t>
            </w:r>
            <w:r>
              <w:rPr>
                <w:rFonts w:cs="Arial"/>
                <w:szCs w:val="14"/>
              </w:rPr>
              <w:t>,</w:t>
            </w:r>
            <w:r w:rsidRPr="00590483">
              <w:rPr>
                <w:rFonts w:cs="Arial"/>
                <w:szCs w:val="14"/>
              </w:rPr>
              <w:t>648</w:t>
            </w:r>
          </w:p>
        </w:tc>
      </w:tr>
      <w:tr w:rsidR="00AF04B6" w:rsidRPr="001D6BE8" w14:paraId="622C6E44"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586AB69" w14:textId="77777777" w:rsidR="00AF04B6" w:rsidRPr="00C27294" w:rsidRDefault="00AF04B6" w:rsidP="00716135">
            <w:pPr>
              <w:pStyle w:val="08-Tabelageral"/>
              <w:ind w:left="113"/>
              <w:jc w:val="left"/>
              <w:rPr>
                <w:rFonts w:cs="Arial"/>
                <w:szCs w:val="14"/>
              </w:rPr>
            </w:pPr>
            <w:r w:rsidRPr="002E2354">
              <w:rPr>
                <w:b w:val="0"/>
                <w:bCs w:val="0"/>
              </w:rPr>
              <w:t>Current tax assets</w:t>
            </w:r>
          </w:p>
        </w:tc>
        <w:tc>
          <w:tcPr>
            <w:tcW w:w="709" w:type="dxa"/>
            <w:tcBorders>
              <w:top w:val="nil"/>
              <w:bottom w:val="nil"/>
            </w:tcBorders>
            <w:shd w:val="clear" w:color="auto" w:fill="auto"/>
            <w:vAlign w:val="center"/>
          </w:tcPr>
          <w:p w14:paraId="6A6A92BD" w14:textId="77777777" w:rsidR="00AF04B6" w:rsidRPr="00031868"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2E2354">
              <w:t>[12.d]</w:t>
            </w:r>
          </w:p>
        </w:tc>
        <w:tc>
          <w:tcPr>
            <w:tcW w:w="1134" w:type="dxa"/>
            <w:tcBorders>
              <w:top w:val="nil"/>
              <w:left w:val="nil"/>
              <w:bottom w:val="nil"/>
              <w:right w:val="nil"/>
            </w:tcBorders>
            <w:shd w:val="clear" w:color="auto" w:fill="auto"/>
            <w:vAlign w:val="center"/>
          </w:tcPr>
          <w:p w14:paraId="158C5453"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16</w:t>
            </w:r>
            <w:r>
              <w:rPr>
                <w:rFonts w:cs="Arial"/>
                <w:szCs w:val="14"/>
              </w:rPr>
              <w:t>,</w:t>
            </w:r>
            <w:r w:rsidRPr="00AA591E">
              <w:rPr>
                <w:rFonts w:cs="Arial"/>
                <w:szCs w:val="14"/>
              </w:rPr>
              <w:t>131</w:t>
            </w:r>
          </w:p>
        </w:tc>
        <w:tc>
          <w:tcPr>
            <w:tcW w:w="1134" w:type="dxa"/>
            <w:tcBorders>
              <w:top w:val="nil"/>
              <w:bottom w:val="nil"/>
            </w:tcBorders>
            <w:shd w:val="clear" w:color="auto" w:fill="auto"/>
            <w:vAlign w:val="center"/>
          </w:tcPr>
          <w:p w14:paraId="438BAAB3" w14:textId="77777777" w:rsidR="00AF04B6" w:rsidRPr="00243EAC"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590483">
              <w:rPr>
                <w:rFonts w:cs="Arial"/>
                <w:szCs w:val="14"/>
              </w:rPr>
              <w:t>1</w:t>
            </w:r>
            <w:r>
              <w:rPr>
                <w:rFonts w:cs="Arial"/>
                <w:szCs w:val="14"/>
              </w:rPr>
              <w:t>,</w:t>
            </w:r>
            <w:r w:rsidRPr="00590483">
              <w:rPr>
                <w:rFonts w:cs="Arial"/>
                <w:szCs w:val="14"/>
              </w:rPr>
              <w:t>928</w:t>
            </w:r>
          </w:p>
        </w:tc>
        <w:tc>
          <w:tcPr>
            <w:tcW w:w="283" w:type="dxa"/>
            <w:tcBorders>
              <w:top w:val="nil"/>
              <w:bottom w:val="nil"/>
            </w:tcBorders>
            <w:shd w:val="clear" w:color="auto" w:fill="auto"/>
            <w:vAlign w:val="center"/>
          </w:tcPr>
          <w:p w14:paraId="602077DB"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58A2FCCD"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90668">
              <w:rPr>
                <w:rFonts w:cs="Arial"/>
                <w:szCs w:val="14"/>
              </w:rPr>
              <w:t>16</w:t>
            </w:r>
            <w:r>
              <w:rPr>
                <w:rFonts w:cs="Arial"/>
                <w:szCs w:val="14"/>
              </w:rPr>
              <w:t>,</w:t>
            </w:r>
            <w:r w:rsidRPr="00090668">
              <w:rPr>
                <w:rFonts w:cs="Arial"/>
                <w:szCs w:val="14"/>
              </w:rPr>
              <w:t>131</w:t>
            </w:r>
          </w:p>
        </w:tc>
        <w:tc>
          <w:tcPr>
            <w:tcW w:w="1064" w:type="dxa"/>
            <w:tcBorders>
              <w:top w:val="nil"/>
              <w:bottom w:val="nil"/>
            </w:tcBorders>
            <w:shd w:val="clear" w:color="auto" w:fill="auto"/>
            <w:vAlign w:val="center"/>
          </w:tcPr>
          <w:p w14:paraId="7FC9220E" w14:textId="77777777" w:rsidR="00AF04B6" w:rsidRPr="00BA1820"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590483">
              <w:rPr>
                <w:rFonts w:cs="Arial"/>
                <w:szCs w:val="14"/>
              </w:rPr>
              <w:t>1</w:t>
            </w:r>
            <w:r>
              <w:rPr>
                <w:rFonts w:cs="Arial"/>
                <w:szCs w:val="14"/>
              </w:rPr>
              <w:t>,</w:t>
            </w:r>
            <w:r w:rsidRPr="00590483">
              <w:rPr>
                <w:rFonts w:cs="Arial"/>
                <w:szCs w:val="14"/>
              </w:rPr>
              <w:t>928</w:t>
            </w:r>
          </w:p>
        </w:tc>
      </w:tr>
      <w:tr w:rsidR="00AF04B6" w:rsidRPr="001D6BE8" w14:paraId="45F5FB66"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5D8F1838" w14:textId="77777777" w:rsidR="00AF04B6" w:rsidRPr="0038031F" w:rsidRDefault="00AF04B6" w:rsidP="00716135">
            <w:pPr>
              <w:pStyle w:val="08-Tabelageral"/>
              <w:ind w:left="113"/>
              <w:jc w:val="left"/>
              <w:rPr>
                <w:rFonts w:cs="Arial"/>
                <w:b w:val="0"/>
                <w:szCs w:val="14"/>
              </w:rPr>
            </w:pPr>
            <w:r w:rsidRPr="00C27294">
              <w:rPr>
                <w:rFonts w:cs="Arial"/>
                <w:b w:val="0"/>
                <w:szCs w:val="14"/>
              </w:rPr>
              <w:t>Commissions receivable</w:t>
            </w:r>
          </w:p>
        </w:tc>
        <w:tc>
          <w:tcPr>
            <w:tcW w:w="709" w:type="dxa"/>
            <w:tcBorders>
              <w:top w:val="nil"/>
              <w:bottom w:val="nil"/>
            </w:tcBorders>
            <w:shd w:val="clear" w:color="auto" w:fill="auto"/>
            <w:vAlign w:val="center"/>
          </w:tcPr>
          <w:p w14:paraId="55A0FD4D"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031868">
              <w:t>[18]</w:t>
            </w:r>
          </w:p>
        </w:tc>
        <w:tc>
          <w:tcPr>
            <w:tcW w:w="1134" w:type="dxa"/>
            <w:tcBorders>
              <w:top w:val="nil"/>
              <w:left w:val="nil"/>
              <w:bottom w:val="nil"/>
              <w:right w:val="nil"/>
            </w:tcBorders>
            <w:shd w:val="clear" w:color="auto" w:fill="auto"/>
            <w:vAlign w:val="center"/>
          </w:tcPr>
          <w:p w14:paraId="1C224E76"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1134" w:type="dxa"/>
            <w:tcBorders>
              <w:top w:val="nil"/>
              <w:bottom w:val="nil"/>
            </w:tcBorders>
            <w:shd w:val="clear" w:color="auto" w:fill="auto"/>
            <w:vAlign w:val="center"/>
          </w:tcPr>
          <w:p w14:paraId="6B28D663"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18B585C9"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06DA2034"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090668">
              <w:rPr>
                <w:rFonts w:cs="Arial"/>
                <w:szCs w:val="14"/>
              </w:rPr>
              <w:t>1</w:t>
            </w:r>
            <w:r>
              <w:rPr>
                <w:rFonts w:cs="Arial"/>
                <w:szCs w:val="14"/>
              </w:rPr>
              <w:t>,</w:t>
            </w:r>
            <w:r w:rsidRPr="00090668">
              <w:rPr>
                <w:rFonts w:cs="Arial"/>
                <w:szCs w:val="14"/>
              </w:rPr>
              <w:t>114</w:t>
            </w:r>
            <w:r>
              <w:rPr>
                <w:rFonts w:cs="Arial"/>
                <w:szCs w:val="14"/>
              </w:rPr>
              <w:t>,</w:t>
            </w:r>
            <w:r w:rsidRPr="00090668">
              <w:rPr>
                <w:rFonts w:cs="Arial"/>
                <w:szCs w:val="14"/>
              </w:rPr>
              <w:t>256</w:t>
            </w:r>
          </w:p>
        </w:tc>
        <w:tc>
          <w:tcPr>
            <w:tcW w:w="1064" w:type="dxa"/>
            <w:tcBorders>
              <w:top w:val="nil"/>
              <w:bottom w:val="nil"/>
            </w:tcBorders>
            <w:shd w:val="clear" w:color="auto" w:fill="auto"/>
            <w:vAlign w:val="center"/>
          </w:tcPr>
          <w:p w14:paraId="7912167F"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590483">
              <w:rPr>
                <w:rFonts w:cs="Arial"/>
                <w:szCs w:val="14"/>
              </w:rPr>
              <w:t>1</w:t>
            </w:r>
            <w:r>
              <w:rPr>
                <w:rFonts w:cs="Arial"/>
                <w:szCs w:val="14"/>
              </w:rPr>
              <w:t>,</w:t>
            </w:r>
            <w:r w:rsidRPr="00590483">
              <w:rPr>
                <w:rFonts w:cs="Arial"/>
                <w:szCs w:val="14"/>
              </w:rPr>
              <w:t>026</w:t>
            </w:r>
            <w:r>
              <w:rPr>
                <w:rFonts w:cs="Arial"/>
                <w:szCs w:val="14"/>
              </w:rPr>
              <w:t>,</w:t>
            </w:r>
            <w:r w:rsidRPr="00590483">
              <w:rPr>
                <w:rFonts w:cs="Arial"/>
                <w:szCs w:val="14"/>
              </w:rPr>
              <w:t>158</w:t>
            </w:r>
          </w:p>
        </w:tc>
      </w:tr>
      <w:tr w:rsidR="00AF04B6" w:rsidRPr="001D6BE8" w14:paraId="2D157ED2"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8BA5C3D" w14:textId="77777777" w:rsidR="00AF04B6" w:rsidRPr="0038031F" w:rsidRDefault="00AF04B6" w:rsidP="00716135">
            <w:pPr>
              <w:pStyle w:val="08-Tabelageral"/>
              <w:ind w:left="113"/>
              <w:jc w:val="left"/>
              <w:rPr>
                <w:rFonts w:cs="Arial"/>
                <w:b w:val="0"/>
                <w:szCs w:val="14"/>
              </w:rPr>
            </w:pPr>
            <w:r w:rsidRPr="00C27294">
              <w:rPr>
                <w:rFonts w:cs="Arial"/>
                <w:b w:val="0"/>
                <w:szCs w:val="14"/>
              </w:rPr>
              <w:t>Other assets</w:t>
            </w:r>
          </w:p>
        </w:tc>
        <w:tc>
          <w:tcPr>
            <w:tcW w:w="709" w:type="dxa"/>
            <w:tcBorders>
              <w:top w:val="nil"/>
              <w:bottom w:val="nil"/>
            </w:tcBorders>
            <w:shd w:val="clear" w:color="auto" w:fill="auto"/>
            <w:vAlign w:val="center"/>
          </w:tcPr>
          <w:p w14:paraId="70713E03"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031868">
              <w:t>[20]</w:t>
            </w:r>
          </w:p>
        </w:tc>
        <w:tc>
          <w:tcPr>
            <w:tcW w:w="1134" w:type="dxa"/>
            <w:tcBorders>
              <w:top w:val="nil"/>
              <w:left w:val="nil"/>
              <w:bottom w:val="nil"/>
              <w:right w:val="nil"/>
            </w:tcBorders>
            <w:shd w:val="clear" w:color="auto" w:fill="auto"/>
            <w:vAlign w:val="center"/>
          </w:tcPr>
          <w:p w14:paraId="4364FF96" w14:textId="77777777" w:rsidR="00AF04B6" w:rsidRPr="00350BA7"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9</w:t>
            </w:r>
            <w:r>
              <w:rPr>
                <w:rFonts w:cs="Arial"/>
                <w:szCs w:val="14"/>
              </w:rPr>
              <w:t>,</w:t>
            </w:r>
            <w:r w:rsidRPr="00AA591E">
              <w:rPr>
                <w:rFonts w:cs="Arial"/>
                <w:szCs w:val="14"/>
              </w:rPr>
              <w:t>81</w:t>
            </w:r>
            <w:r>
              <w:rPr>
                <w:rFonts w:cs="Arial"/>
                <w:szCs w:val="14"/>
              </w:rPr>
              <w:t>6</w:t>
            </w:r>
          </w:p>
        </w:tc>
        <w:tc>
          <w:tcPr>
            <w:tcW w:w="1134" w:type="dxa"/>
            <w:tcBorders>
              <w:top w:val="nil"/>
              <w:bottom w:val="nil"/>
            </w:tcBorders>
            <w:shd w:val="clear" w:color="auto" w:fill="auto"/>
            <w:vAlign w:val="center"/>
          </w:tcPr>
          <w:p w14:paraId="14ADF922"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590483">
              <w:rPr>
                <w:rFonts w:cs="Arial"/>
                <w:szCs w:val="14"/>
              </w:rPr>
              <w:t>12</w:t>
            </w:r>
            <w:r>
              <w:rPr>
                <w:rFonts w:cs="Arial"/>
                <w:szCs w:val="14"/>
              </w:rPr>
              <w:t>,</w:t>
            </w:r>
            <w:r w:rsidRPr="00590483">
              <w:rPr>
                <w:rFonts w:cs="Arial"/>
                <w:szCs w:val="14"/>
              </w:rPr>
              <w:t>719</w:t>
            </w:r>
          </w:p>
        </w:tc>
        <w:tc>
          <w:tcPr>
            <w:tcW w:w="283" w:type="dxa"/>
            <w:tcBorders>
              <w:top w:val="nil"/>
              <w:bottom w:val="nil"/>
            </w:tcBorders>
            <w:shd w:val="clear" w:color="auto" w:fill="auto"/>
            <w:vAlign w:val="center"/>
          </w:tcPr>
          <w:p w14:paraId="713B4672" w14:textId="77777777" w:rsidR="00AF04B6" w:rsidRPr="00350BA7"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0A0A6CFE" w14:textId="77777777" w:rsidR="00AF04B6" w:rsidRPr="00350BA7"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090668">
              <w:rPr>
                <w:rFonts w:cs="Arial"/>
                <w:szCs w:val="14"/>
              </w:rPr>
              <w:t>574</w:t>
            </w:r>
          </w:p>
        </w:tc>
        <w:tc>
          <w:tcPr>
            <w:tcW w:w="1064" w:type="dxa"/>
            <w:tcBorders>
              <w:top w:val="nil"/>
              <w:bottom w:val="nil"/>
            </w:tcBorders>
            <w:shd w:val="clear" w:color="auto" w:fill="auto"/>
            <w:vAlign w:val="center"/>
          </w:tcPr>
          <w:p w14:paraId="4D03FD33"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590483">
              <w:rPr>
                <w:rFonts w:cs="Arial"/>
                <w:szCs w:val="14"/>
              </w:rPr>
              <w:t>5</w:t>
            </w:r>
            <w:r>
              <w:rPr>
                <w:rFonts w:cs="Arial"/>
                <w:szCs w:val="14"/>
              </w:rPr>
              <w:t>,</w:t>
            </w:r>
            <w:r w:rsidRPr="00590483">
              <w:rPr>
                <w:rFonts w:cs="Arial"/>
                <w:szCs w:val="14"/>
              </w:rPr>
              <w:t>336</w:t>
            </w:r>
          </w:p>
        </w:tc>
      </w:tr>
      <w:tr w:rsidR="00AF04B6" w:rsidRPr="001D6BE8" w14:paraId="7300CD00" w14:textId="77777777" w:rsidTr="009E0AF2">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CAF0A58" w14:textId="77777777" w:rsidR="00AF04B6" w:rsidRPr="0038031F" w:rsidRDefault="00AF04B6" w:rsidP="00716135">
            <w:pPr>
              <w:pStyle w:val="08-Tabelageral"/>
              <w:jc w:val="left"/>
              <w:rPr>
                <w:rFonts w:cs="Arial"/>
                <w:b w:val="0"/>
                <w:szCs w:val="14"/>
              </w:rPr>
            </w:pPr>
          </w:p>
        </w:tc>
        <w:tc>
          <w:tcPr>
            <w:tcW w:w="709" w:type="dxa"/>
            <w:tcBorders>
              <w:top w:val="nil"/>
              <w:bottom w:val="nil"/>
            </w:tcBorders>
            <w:shd w:val="clear" w:color="auto" w:fill="auto"/>
            <w:vAlign w:val="center"/>
          </w:tcPr>
          <w:p w14:paraId="522C9375"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1321BFE8" w14:textId="77777777" w:rsidR="00AF04B6" w:rsidRPr="00350BA7" w:rsidRDefault="00AF04B6" w:rsidP="007161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10CBD6F0"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p>
        </w:tc>
        <w:tc>
          <w:tcPr>
            <w:tcW w:w="283" w:type="dxa"/>
            <w:tcBorders>
              <w:top w:val="nil"/>
              <w:bottom w:val="nil"/>
            </w:tcBorders>
            <w:shd w:val="clear" w:color="auto" w:fill="auto"/>
            <w:vAlign w:val="center"/>
          </w:tcPr>
          <w:p w14:paraId="77017CBE" w14:textId="77777777" w:rsidR="00AF04B6" w:rsidRPr="00350BA7" w:rsidRDefault="00AF04B6" w:rsidP="007161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F1B70C6" w14:textId="77777777" w:rsidR="00AF04B6" w:rsidRPr="00350BA7" w:rsidRDefault="00AF04B6" w:rsidP="007161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4" w:type="dxa"/>
            <w:tcBorders>
              <w:top w:val="nil"/>
              <w:bottom w:val="nil"/>
            </w:tcBorders>
            <w:shd w:val="clear" w:color="auto" w:fill="auto"/>
            <w:vAlign w:val="center"/>
          </w:tcPr>
          <w:p w14:paraId="2AC21733"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p>
        </w:tc>
      </w:tr>
      <w:tr w:rsidR="00AF04B6" w:rsidRPr="001D6BE8" w14:paraId="2D52DF01"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0C5722A" w14:textId="77777777" w:rsidR="00AF04B6" w:rsidRPr="00CD3714" w:rsidRDefault="00AF04B6" w:rsidP="00716135">
            <w:pPr>
              <w:pStyle w:val="08-Tabelageral"/>
              <w:jc w:val="left"/>
              <w:rPr>
                <w:rFonts w:cs="Arial"/>
                <w:szCs w:val="14"/>
              </w:rPr>
            </w:pPr>
            <w:r w:rsidRPr="00C27294">
              <w:rPr>
                <w:rFonts w:cs="Arial"/>
                <w:szCs w:val="14"/>
              </w:rPr>
              <w:t>Non-Current Assets</w:t>
            </w:r>
          </w:p>
        </w:tc>
        <w:tc>
          <w:tcPr>
            <w:tcW w:w="709" w:type="dxa"/>
            <w:tcBorders>
              <w:top w:val="nil"/>
              <w:bottom w:val="nil"/>
            </w:tcBorders>
            <w:shd w:val="clear" w:color="auto" w:fill="auto"/>
            <w:vAlign w:val="center"/>
          </w:tcPr>
          <w:p w14:paraId="31B95DCC" w14:textId="77777777" w:rsidR="00AF04B6" w:rsidRPr="00CD3714"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134" w:type="dxa"/>
            <w:tcBorders>
              <w:top w:val="nil"/>
              <w:left w:val="nil"/>
              <w:bottom w:val="nil"/>
              <w:right w:val="nil"/>
            </w:tcBorders>
            <w:shd w:val="clear" w:color="auto" w:fill="auto"/>
            <w:vAlign w:val="center"/>
          </w:tcPr>
          <w:p w14:paraId="2F5018DA" w14:textId="77777777" w:rsidR="00AF04B6" w:rsidRPr="005808D9"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AA591E">
              <w:rPr>
                <w:rFonts w:cs="Arial"/>
                <w:b/>
                <w:szCs w:val="14"/>
              </w:rPr>
              <w:t>7</w:t>
            </w:r>
            <w:r>
              <w:rPr>
                <w:rFonts w:cs="Arial"/>
                <w:b/>
                <w:szCs w:val="14"/>
              </w:rPr>
              <w:t>,</w:t>
            </w:r>
            <w:r w:rsidRPr="00AA591E">
              <w:rPr>
                <w:rFonts w:cs="Arial"/>
                <w:b/>
                <w:szCs w:val="14"/>
              </w:rPr>
              <w:t>514</w:t>
            </w:r>
            <w:r>
              <w:rPr>
                <w:rFonts w:cs="Arial"/>
                <w:b/>
                <w:szCs w:val="14"/>
              </w:rPr>
              <w:t>,</w:t>
            </w:r>
            <w:r w:rsidRPr="00AA591E">
              <w:rPr>
                <w:rFonts w:cs="Arial"/>
                <w:b/>
                <w:szCs w:val="14"/>
              </w:rPr>
              <w:t>118</w:t>
            </w:r>
          </w:p>
        </w:tc>
        <w:tc>
          <w:tcPr>
            <w:tcW w:w="1134" w:type="dxa"/>
            <w:tcBorders>
              <w:top w:val="nil"/>
              <w:bottom w:val="nil"/>
            </w:tcBorders>
            <w:shd w:val="clear" w:color="auto" w:fill="auto"/>
            <w:vAlign w:val="center"/>
          </w:tcPr>
          <w:p w14:paraId="2ED63BF3" w14:textId="77777777" w:rsidR="00AF04B6" w:rsidRPr="005808D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b/>
                <w:bCs/>
              </w:rPr>
            </w:pPr>
            <w:r w:rsidRPr="00EE1C73">
              <w:rPr>
                <w:rFonts w:cs="Arial"/>
                <w:b/>
                <w:szCs w:val="14"/>
              </w:rPr>
              <w:t>7</w:t>
            </w:r>
            <w:r>
              <w:rPr>
                <w:rFonts w:cs="Arial"/>
                <w:b/>
                <w:szCs w:val="14"/>
              </w:rPr>
              <w:t>,</w:t>
            </w:r>
            <w:r w:rsidRPr="00EE1C73">
              <w:rPr>
                <w:rFonts w:cs="Arial"/>
                <w:b/>
                <w:szCs w:val="14"/>
              </w:rPr>
              <w:t>168</w:t>
            </w:r>
            <w:r>
              <w:rPr>
                <w:rFonts w:cs="Arial"/>
                <w:b/>
                <w:szCs w:val="14"/>
              </w:rPr>
              <w:t>,</w:t>
            </w:r>
            <w:r w:rsidRPr="00EE1C73">
              <w:rPr>
                <w:rFonts w:cs="Arial"/>
                <w:b/>
                <w:szCs w:val="14"/>
              </w:rPr>
              <w:t>001</w:t>
            </w:r>
          </w:p>
        </w:tc>
        <w:tc>
          <w:tcPr>
            <w:tcW w:w="283" w:type="dxa"/>
            <w:tcBorders>
              <w:top w:val="nil"/>
              <w:bottom w:val="nil"/>
            </w:tcBorders>
            <w:shd w:val="clear" w:color="auto" w:fill="auto"/>
            <w:vAlign w:val="center"/>
          </w:tcPr>
          <w:p w14:paraId="6BC6A5D0" w14:textId="77777777" w:rsidR="00AF04B6" w:rsidRPr="005808D9"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134" w:type="dxa"/>
            <w:tcBorders>
              <w:top w:val="nil"/>
              <w:left w:val="nil"/>
              <w:bottom w:val="nil"/>
              <w:right w:val="nil"/>
            </w:tcBorders>
            <w:shd w:val="clear" w:color="auto" w:fill="auto"/>
            <w:vAlign w:val="center"/>
          </w:tcPr>
          <w:p w14:paraId="3ED41E87" w14:textId="77777777" w:rsidR="00AF04B6" w:rsidRPr="005808D9"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B63432">
              <w:rPr>
                <w:rFonts w:cs="Arial"/>
                <w:b/>
                <w:bCs/>
                <w:szCs w:val="14"/>
              </w:rPr>
              <w:t>8</w:t>
            </w:r>
            <w:r>
              <w:rPr>
                <w:rFonts w:cs="Arial"/>
                <w:b/>
                <w:bCs/>
                <w:szCs w:val="14"/>
              </w:rPr>
              <w:t>,</w:t>
            </w:r>
            <w:r w:rsidRPr="00B63432">
              <w:rPr>
                <w:rFonts w:cs="Arial"/>
                <w:b/>
                <w:bCs/>
                <w:szCs w:val="14"/>
              </w:rPr>
              <w:t>908</w:t>
            </w:r>
            <w:r>
              <w:rPr>
                <w:rFonts w:cs="Arial"/>
                <w:b/>
                <w:bCs/>
                <w:szCs w:val="14"/>
              </w:rPr>
              <w:t>,</w:t>
            </w:r>
            <w:r w:rsidRPr="00B63432">
              <w:rPr>
                <w:rFonts w:cs="Arial"/>
                <w:b/>
                <w:bCs/>
                <w:szCs w:val="14"/>
              </w:rPr>
              <w:t>734</w:t>
            </w:r>
          </w:p>
        </w:tc>
        <w:tc>
          <w:tcPr>
            <w:tcW w:w="1064" w:type="dxa"/>
            <w:tcBorders>
              <w:top w:val="nil"/>
              <w:bottom w:val="nil"/>
            </w:tcBorders>
            <w:shd w:val="clear" w:color="auto" w:fill="auto"/>
            <w:vAlign w:val="center"/>
          </w:tcPr>
          <w:p w14:paraId="6AA3E9F2" w14:textId="77777777" w:rsidR="00AF04B6" w:rsidRPr="005808D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b/>
                <w:bCs/>
              </w:rPr>
            </w:pPr>
            <w:r w:rsidRPr="00EE1C73">
              <w:rPr>
                <w:rFonts w:cs="Arial"/>
                <w:b/>
                <w:bCs/>
                <w:szCs w:val="14"/>
              </w:rPr>
              <w:t>8</w:t>
            </w:r>
            <w:r>
              <w:rPr>
                <w:rFonts w:cs="Arial"/>
                <w:b/>
                <w:bCs/>
                <w:szCs w:val="14"/>
              </w:rPr>
              <w:t>,</w:t>
            </w:r>
            <w:r w:rsidRPr="00EE1C73">
              <w:rPr>
                <w:rFonts w:cs="Arial"/>
                <w:b/>
                <w:bCs/>
                <w:szCs w:val="14"/>
              </w:rPr>
              <w:t>188</w:t>
            </w:r>
            <w:r>
              <w:rPr>
                <w:rFonts w:cs="Arial"/>
                <w:b/>
                <w:bCs/>
                <w:szCs w:val="14"/>
              </w:rPr>
              <w:t>,</w:t>
            </w:r>
            <w:r w:rsidRPr="00EE1C73">
              <w:rPr>
                <w:rFonts w:cs="Arial"/>
                <w:b/>
                <w:bCs/>
                <w:szCs w:val="14"/>
              </w:rPr>
              <w:t>590</w:t>
            </w:r>
          </w:p>
        </w:tc>
      </w:tr>
      <w:tr w:rsidR="00AF04B6" w:rsidRPr="001D6BE8" w14:paraId="40AB951B"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5F41E707" w14:textId="77777777" w:rsidR="00AF04B6" w:rsidRPr="00BD6C7E" w:rsidRDefault="00AF04B6" w:rsidP="00716135">
            <w:pPr>
              <w:pStyle w:val="08-Tabelageral"/>
              <w:ind w:left="113"/>
              <w:jc w:val="left"/>
              <w:rPr>
                <w:rFonts w:cs="Arial"/>
                <w:b w:val="0"/>
                <w:szCs w:val="14"/>
                <w:lang w:val="en-US"/>
              </w:rPr>
            </w:pPr>
            <w:r w:rsidRPr="00BD6C7E">
              <w:rPr>
                <w:rFonts w:cs="Arial"/>
                <w:b w:val="0"/>
                <w:szCs w:val="14"/>
                <w:lang w:val="en-US"/>
              </w:rPr>
              <w:t>Financial assets at fair value through profit or loss</w:t>
            </w:r>
          </w:p>
        </w:tc>
        <w:tc>
          <w:tcPr>
            <w:tcW w:w="709" w:type="dxa"/>
            <w:tcBorders>
              <w:top w:val="nil"/>
              <w:bottom w:val="nil"/>
            </w:tcBorders>
            <w:shd w:val="clear" w:color="auto" w:fill="auto"/>
            <w:vAlign w:val="center"/>
          </w:tcPr>
          <w:p w14:paraId="7E48E42F"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CC12E6">
              <w:t>[16.a]</w:t>
            </w:r>
          </w:p>
        </w:tc>
        <w:tc>
          <w:tcPr>
            <w:tcW w:w="1134" w:type="dxa"/>
            <w:tcBorders>
              <w:top w:val="nil"/>
              <w:left w:val="nil"/>
              <w:bottom w:val="nil"/>
              <w:right w:val="nil"/>
            </w:tcBorders>
            <w:shd w:val="clear" w:color="auto" w:fill="auto"/>
            <w:vAlign w:val="center"/>
          </w:tcPr>
          <w:p w14:paraId="4D66EDD0" w14:textId="77777777" w:rsidR="00AF04B6" w:rsidRPr="00350BA7" w:rsidRDefault="00AF04B6" w:rsidP="007161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18</w:t>
            </w:r>
            <w:r>
              <w:rPr>
                <w:rFonts w:cs="Arial"/>
                <w:szCs w:val="14"/>
              </w:rPr>
              <w:t>,</w:t>
            </w:r>
            <w:r w:rsidRPr="00AA591E">
              <w:rPr>
                <w:rFonts w:cs="Arial"/>
                <w:szCs w:val="14"/>
              </w:rPr>
              <w:t>064</w:t>
            </w:r>
          </w:p>
        </w:tc>
        <w:tc>
          <w:tcPr>
            <w:tcW w:w="1134" w:type="dxa"/>
            <w:tcBorders>
              <w:top w:val="nil"/>
              <w:bottom w:val="nil"/>
            </w:tcBorders>
            <w:shd w:val="clear" w:color="auto" w:fill="auto"/>
            <w:vAlign w:val="center"/>
          </w:tcPr>
          <w:p w14:paraId="00BE1F74"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14</w:t>
            </w:r>
            <w:r>
              <w:rPr>
                <w:rFonts w:cs="Arial"/>
                <w:szCs w:val="14"/>
              </w:rPr>
              <w:t>,</w:t>
            </w:r>
            <w:r w:rsidRPr="00EE1C73">
              <w:rPr>
                <w:rFonts w:cs="Arial"/>
                <w:szCs w:val="14"/>
              </w:rPr>
              <w:t>011</w:t>
            </w:r>
          </w:p>
        </w:tc>
        <w:tc>
          <w:tcPr>
            <w:tcW w:w="283" w:type="dxa"/>
            <w:tcBorders>
              <w:top w:val="nil"/>
              <w:bottom w:val="nil"/>
            </w:tcBorders>
            <w:shd w:val="clear" w:color="auto" w:fill="auto"/>
            <w:vAlign w:val="center"/>
          </w:tcPr>
          <w:p w14:paraId="18C96548" w14:textId="77777777" w:rsidR="00AF04B6" w:rsidRPr="00350BA7" w:rsidRDefault="00AF04B6" w:rsidP="007161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013F4138" w14:textId="77777777" w:rsidR="00AF04B6" w:rsidRPr="00350BA7" w:rsidRDefault="00AF04B6" w:rsidP="007161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63432">
              <w:rPr>
                <w:rFonts w:cs="Arial"/>
                <w:szCs w:val="14"/>
              </w:rPr>
              <w:t>368</w:t>
            </w:r>
            <w:r>
              <w:rPr>
                <w:rFonts w:cs="Arial"/>
                <w:szCs w:val="14"/>
              </w:rPr>
              <w:t>,</w:t>
            </w:r>
            <w:r w:rsidRPr="00B63432">
              <w:rPr>
                <w:rFonts w:cs="Arial"/>
                <w:szCs w:val="14"/>
              </w:rPr>
              <w:t>281</w:t>
            </w:r>
          </w:p>
        </w:tc>
        <w:tc>
          <w:tcPr>
            <w:tcW w:w="1064" w:type="dxa"/>
            <w:tcBorders>
              <w:top w:val="nil"/>
              <w:bottom w:val="nil"/>
            </w:tcBorders>
            <w:shd w:val="clear" w:color="auto" w:fill="auto"/>
            <w:vAlign w:val="center"/>
          </w:tcPr>
          <w:p w14:paraId="72B5B9F3"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14</w:t>
            </w:r>
            <w:r>
              <w:rPr>
                <w:rFonts w:cs="Arial"/>
                <w:szCs w:val="14"/>
              </w:rPr>
              <w:t>,</w:t>
            </w:r>
            <w:r w:rsidRPr="00EE1C73">
              <w:rPr>
                <w:rFonts w:cs="Arial"/>
                <w:szCs w:val="14"/>
              </w:rPr>
              <w:t>011</w:t>
            </w:r>
          </w:p>
        </w:tc>
      </w:tr>
      <w:tr w:rsidR="00AF04B6" w:rsidRPr="002E2354" w14:paraId="52F0B57A"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183F0C6" w14:textId="77777777" w:rsidR="00AF04B6" w:rsidRPr="002E2354" w:rsidRDefault="00AF04B6" w:rsidP="00716135">
            <w:pPr>
              <w:pStyle w:val="08-Tabelageral"/>
              <w:ind w:left="113"/>
              <w:jc w:val="left"/>
              <w:rPr>
                <w:rFonts w:cs="Arial"/>
                <w:b w:val="0"/>
                <w:bCs w:val="0"/>
                <w:szCs w:val="14"/>
              </w:rPr>
            </w:pPr>
            <w:r w:rsidRPr="002E2354">
              <w:rPr>
                <w:b w:val="0"/>
                <w:bCs w:val="0"/>
              </w:rPr>
              <w:t>Current tax assets</w:t>
            </w:r>
          </w:p>
        </w:tc>
        <w:tc>
          <w:tcPr>
            <w:tcW w:w="709" w:type="dxa"/>
            <w:tcBorders>
              <w:top w:val="nil"/>
              <w:bottom w:val="nil"/>
            </w:tcBorders>
            <w:shd w:val="clear" w:color="auto" w:fill="auto"/>
            <w:vAlign w:val="center"/>
          </w:tcPr>
          <w:p w14:paraId="0DB885BE" w14:textId="77777777" w:rsidR="00AF04B6" w:rsidRPr="002E2354"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2E2354">
              <w:t>[12.d]</w:t>
            </w:r>
          </w:p>
        </w:tc>
        <w:tc>
          <w:tcPr>
            <w:tcW w:w="1134" w:type="dxa"/>
            <w:tcBorders>
              <w:top w:val="nil"/>
              <w:bottom w:val="nil"/>
            </w:tcBorders>
            <w:shd w:val="clear" w:color="auto" w:fill="auto"/>
            <w:vAlign w:val="center"/>
          </w:tcPr>
          <w:p w14:paraId="7AEF8B22" w14:textId="77777777" w:rsidR="00AF04B6" w:rsidRPr="002E2354"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pPr>
            <w:r w:rsidRPr="00AA591E">
              <w:t>75</w:t>
            </w:r>
            <w:r>
              <w:t>,</w:t>
            </w:r>
            <w:r w:rsidRPr="00AA591E">
              <w:t>177</w:t>
            </w:r>
          </w:p>
        </w:tc>
        <w:tc>
          <w:tcPr>
            <w:tcW w:w="1134" w:type="dxa"/>
            <w:tcBorders>
              <w:top w:val="nil"/>
              <w:bottom w:val="nil"/>
            </w:tcBorders>
            <w:shd w:val="clear" w:color="auto" w:fill="auto"/>
            <w:vAlign w:val="center"/>
          </w:tcPr>
          <w:p w14:paraId="52B991A2" w14:textId="77777777" w:rsidR="00AF04B6" w:rsidRPr="002E2354"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t>68</w:t>
            </w:r>
            <w:r>
              <w:t>,</w:t>
            </w:r>
            <w:r w:rsidRPr="00EE1C73">
              <w:t>332</w:t>
            </w:r>
          </w:p>
        </w:tc>
        <w:tc>
          <w:tcPr>
            <w:tcW w:w="283" w:type="dxa"/>
            <w:tcBorders>
              <w:top w:val="nil"/>
              <w:bottom w:val="nil"/>
            </w:tcBorders>
            <w:shd w:val="clear" w:color="auto" w:fill="auto"/>
            <w:vAlign w:val="center"/>
          </w:tcPr>
          <w:p w14:paraId="3414DE7A" w14:textId="77777777" w:rsidR="00AF04B6" w:rsidRPr="002E2354"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1FA7B402" w14:textId="77777777" w:rsidR="00AF04B6" w:rsidRPr="002E2354"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pPr>
            <w:r w:rsidRPr="00090668">
              <w:t>80</w:t>
            </w:r>
            <w:r>
              <w:t>,</w:t>
            </w:r>
            <w:r w:rsidRPr="00090668">
              <w:t>977</w:t>
            </w:r>
          </w:p>
        </w:tc>
        <w:tc>
          <w:tcPr>
            <w:tcW w:w="1064" w:type="dxa"/>
            <w:tcBorders>
              <w:top w:val="nil"/>
              <w:bottom w:val="nil"/>
            </w:tcBorders>
            <w:shd w:val="clear" w:color="auto" w:fill="auto"/>
            <w:vAlign w:val="center"/>
          </w:tcPr>
          <w:p w14:paraId="7FB1615A" w14:textId="77777777" w:rsidR="00AF04B6" w:rsidRPr="002E2354"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t>84</w:t>
            </w:r>
            <w:r>
              <w:t>,</w:t>
            </w:r>
            <w:r w:rsidRPr="00EE1C73">
              <w:t>337</w:t>
            </w:r>
          </w:p>
        </w:tc>
      </w:tr>
      <w:tr w:rsidR="00AF04B6" w:rsidRPr="001D6BE8" w14:paraId="2944252F"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776EE5DB" w14:textId="77777777" w:rsidR="00AF04B6" w:rsidRPr="0038031F" w:rsidRDefault="00AF04B6" w:rsidP="00716135">
            <w:pPr>
              <w:pStyle w:val="08-Tabelageral"/>
              <w:ind w:left="113"/>
              <w:jc w:val="left"/>
              <w:rPr>
                <w:rFonts w:cs="Arial"/>
                <w:b w:val="0"/>
                <w:szCs w:val="14"/>
              </w:rPr>
            </w:pPr>
            <w:r w:rsidRPr="00C27294">
              <w:rPr>
                <w:rFonts w:cs="Arial"/>
                <w:b w:val="0"/>
                <w:szCs w:val="14"/>
              </w:rPr>
              <w:t>Deferred tax assets</w:t>
            </w:r>
          </w:p>
        </w:tc>
        <w:tc>
          <w:tcPr>
            <w:tcW w:w="709" w:type="dxa"/>
            <w:tcBorders>
              <w:top w:val="nil"/>
              <w:bottom w:val="nil"/>
            </w:tcBorders>
            <w:shd w:val="clear" w:color="auto" w:fill="auto"/>
            <w:vAlign w:val="center"/>
          </w:tcPr>
          <w:p w14:paraId="7474E8E8"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CC12E6">
              <w:t>[12.e]</w:t>
            </w:r>
          </w:p>
        </w:tc>
        <w:tc>
          <w:tcPr>
            <w:tcW w:w="1134" w:type="dxa"/>
            <w:tcBorders>
              <w:top w:val="nil"/>
              <w:bottom w:val="nil"/>
            </w:tcBorders>
            <w:shd w:val="clear" w:color="auto" w:fill="auto"/>
            <w:vAlign w:val="center"/>
          </w:tcPr>
          <w:p w14:paraId="44181147" w14:textId="77777777" w:rsidR="00AF04B6" w:rsidRPr="00350BA7" w:rsidRDefault="00AF04B6" w:rsidP="007161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28</w:t>
            </w:r>
          </w:p>
        </w:tc>
        <w:tc>
          <w:tcPr>
            <w:tcW w:w="1134" w:type="dxa"/>
            <w:tcBorders>
              <w:top w:val="nil"/>
              <w:bottom w:val="nil"/>
            </w:tcBorders>
            <w:shd w:val="clear" w:color="auto" w:fill="auto"/>
            <w:vAlign w:val="center"/>
          </w:tcPr>
          <w:p w14:paraId="6A5BBA84"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10</w:t>
            </w:r>
          </w:p>
        </w:tc>
        <w:tc>
          <w:tcPr>
            <w:tcW w:w="283" w:type="dxa"/>
            <w:tcBorders>
              <w:top w:val="nil"/>
              <w:bottom w:val="nil"/>
            </w:tcBorders>
            <w:shd w:val="clear" w:color="auto" w:fill="auto"/>
            <w:vAlign w:val="center"/>
          </w:tcPr>
          <w:p w14:paraId="5C0F3F1B" w14:textId="77777777" w:rsidR="00AF04B6" w:rsidRPr="00350BA7" w:rsidRDefault="00AF04B6" w:rsidP="007161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4FF4D0E4" w14:textId="77777777" w:rsidR="00AF04B6" w:rsidRPr="00350BA7" w:rsidRDefault="00AF04B6" w:rsidP="007161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090668">
              <w:rPr>
                <w:rFonts w:cs="Arial"/>
                <w:szCs w:val="14"/>
              </w:rPr>
              <w:t>7</w:t>
            </w:r>
            <w:r>
              <w:rPr>
                <w:rFonts w:cs="Arial"/>
                <w:szCs w:val="14"/>
              </w:rPr>
              <w:t>,</w:t>
            </w:r>
            <w:r w:rsidRPr="00090668">
              <w:rPr>
                <w:rFonts w:cs="Arial"/>
                <w:szCs w:val="14"/>
              </w:rPr>
              <w:t>773</w:t>
            </w:r>
          </w:p>
        </w:tc>
        <w:tc>
          <w:tcPr>
            <w:tcW w:w="1064" w:type="dxa"/>
            <w:tcBorders>
              <w:top w:val="nil"/>
              <w:bottom w:val="nil"/>
            </w:tcBorders>
            <w:shd w:val="clear" w:color="auto" w:fill="auto"/>
            <w:vAlign w:val="center"/>
          </w:tcPr>
          <w:p w14:paraId="7DFE8BBF"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35</w:t>
            </w:r>
            <w:r>
              <w:rPr>
                <w:rFonts w:cs="Arial"/>
                <w:szCs w:val="14"/>
              </w:rPr>
              <w:t>,</w:t>
            </w:r>
            <w:r w:rsidRPr="00EE1C73">
              <w:rPr>
                <w:rFonts w:cs="Arial"/>
                <w:szCs w:val="14"/>
              </w:rPr>
              <w:t>420</w:t>
            </w:r>
          </w:p>
        </w:tc>
      </w:tr>
      <w:tr w:rsidR="00AF04B6" w:rsidRPr="00C3029D" w14:paraId="722F1485" w14:textId="77777777" w:rsidTr="00A50AD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36534D39" w14:textId="77777777" w:rsidR="00AF04B6" w:rsidRPr="00C3029D" w:rsidRDefault="00AF04B6" w:rsidP="00716135">
            <w:pPr>
              <w:pStyle w:val="08-Tabelageral"/>
              <w:ind w:left="113"/>
              <w:jc w:val="left"/>
              <w:rPr>
                <w:rFonts w:cs="Arial"/>
                <w:b w:val="0"/>
                <w:szCs w:val="14"/>
              </w:rPr>
            </w:pPr>
            <w:r w:rsidRPr="00C27294">
              <w:rPr>
                <w:rFonts w:cs="Arial"/>
                <w:b w:val="0"/>
                <w:szCs w:val="14"/>
              </w:rPr>
              <w:t>Commissions receivable</w:t>
            </w:r>
          </w:p>
        </w:tc>
        <w:tc>
          <w:tcPr>
            <w:tcW w:w="709" w:type="dxa"/>
            <w:tcBorders>
              <w:top w:val="nil"/>
              <w:bottom w:val="nil"/>
            </w:tcBorders>
            <w:shd w:val="clear" w:color="auto" w:fill="auto"/>
            <w:vAlign w:val="center"/>
          </w:tcPr>
          <w:p w14:paraId="34C652AF" w14:textId="77777777" w:rsidR="00AF04B6" w:rsidRPr="00C3029D"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CC12E6">
              <w:t>[18]</w:t>
            </w:r>
          </w:p>
        </w:tc>
        <w:tc>
          <w:tcPr>
            <w:tcW w:w="1134" w:type="dxa"/>
            <w:tcBorders>
              <w:top w:val="nil"/>
              <w:bottom w:val="nil"/>
            </w:tcBorders>
            <w:shd w:val="clear" w:color="auto" w:fill="auto"/>
            <w:vAlign w:val="center"/>
          </w:tcPr>
          <w:p w14:paraId="375EC849" w14:textId="77777777" w:rsidR="00AF04B6" w:rsidRPr="00C3029D"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134" w:type="dxa"/>
            <w:tcBorders>
              <w:top w:val="nil"/>
              <w:bottom w:val="nil"/>
            </w:tcBorders>
            <w:shd w:val="clear" w:color="auto" w:fill="auto"/>
            <w:vAlign w:val="center"/>
          </w:tcPr>
          <w:p w14:paraId="4A3661A6" w14:textId="77777777" w:rsidR="00AF04B6" w:rsidRPr="00C3029D"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234D01EF" w14:textId="77777777" w:rsidR="00AF04B6" w:rsidRPr="00C3029D"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5C50057D" w14:textId="77777777" w:rsidR="00AF04B6" w:rsidRPr="00C3029D"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090668">
              <w:rPr>
                <w:rFonts w:cs="Arial"/>
                <w:szCs w:val="14"/>
              </w:rPr>
              <w:t>708</w:t>
            </w:r>
            <w:r>
              <w:rPr>
                <w:rFonts w:cs="Arial"/>
                <w:szCs w:val="14"/>
              </w:rPr>
              <w:t>,</w:t>
            </w:r>
            <w:r w:rsidRPr="00090668">
              <w:rPr>
                <w:rFonts w:cs="Arial"/>
                <w:szCs w:val="14"/>
              </w:rPr>
              <w:t>990</w:t>
            </w:r>
          </w:p>
        </w:tc>
        <w:tc>
          <w:tcPr>
            <w:tcW w:w="1064" w:type="dxa"/>
            <w:tcBorders>
              <w:top w:val="nil"/>
              <w:bottom w:val="nil"/>
            </w:tcBorders>
            <w:shd w:val="clear" w:color="auto" w:fill="auto"/>
            <w:vAlign w:val="center"/>
          </w:tcPr>
          <w:p w14:paraId="04EF7A2F" w14:textId="77777777" w:rsidR="00AF04B6" w:rsidRPr="00C3029D"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698</w:t>
            </w:r>
            <w:r>
              <w:rPr>
                <w:rFonts w:cs="Arial"/>
                <w:szCs w:val="14"/>
              </w:rPr>
              <w:t>,</w:t>
            </w:r>
            <w:r w:rsidRPr="00EE1C73">
              <w:rPr>
                <w:rFonts w:cs="Arial"/>
                <w:szCs w:val="14"/>
              </w:rPr>
              <w:t>435</w:t>
            </w:r>
          </w:p>
        </w:tc>
      </w:tr>
      <w:tr w:rsidR="00AF04B6" w:rsidRPr="001D6BE8" w14:paraId="4DF0788A"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3331C0B" w14:textId="77777777" w:rsidR="00AF04B6" w:rsidRPr="00C27294" w:rsidRDefault="00AF04B6" w:rsidP="00716135">
            <w:pPr>
              <w:pStyle w:val="08-Tabelageral"/>
              <w:ind w:left="113"/>
              <w:jc w:val="left"/>
              <w:rPr>
                <w:rFonts w:cs="Arial"/>
                <w:b w:val="0"/>
                <w:szCs w:val="14"/>
              </w:rPr>
            </w:pPr>
            <w:r w:rsidRPr="00C27294">
              <w:rPr>
                <w:rFonts w:cs="Arial"/>
                <w:b w:val="0"/>
                <w:szCs w:val="14"/>
              </w:rPr>
              <w:t>Investments in associates</w:t>
            </w:r>
          </w:p>
        </w:tc>
        <w:tc>
          <w:tcPr>
            <w:tcW w:w="709" w:type="dxa"/>
            <w:tcBorders>
              <w:top w:val="nil"/>
              <w:bottom w:val="nil"/>
            </w:tcBorders>
            <w:shd w:val="clear" w:color="auto" w:fill="auto"/>
            <w:vAlign w:val="center"/>
          </w:tcPr>
          <w:p w14:paraId="2AC790DD" w14:textId="77777777" w:rsidR="00AF04B6" w:rsidRPr="00CC12E6"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CC12E6">
              <w:t>[7.b]</w:t>
            </w:r>
          </w:p>
        </w:tc>
        <w:tc>
          <w:tcPr>
            <w:tcW w:w="1134" w:type="dxa"/>
            <w:tcBorders>
              <w:top w:val="nil"/>
              <w:left w:val="nil"/>
              <w:bottom w:val="nil"/>
              <w:right w:val="nil"/>
            </w:tcBorders>
            <w:shd w:val="clear" w:color="auto" w:fill="auto"/>
            <w:vAlign w:val="center"/>
          </w:tcPr>
          <w:p w14:paraId="450D30F9"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7</w:t>
            </w:r>
            <w:r>
              <w:rPr>
                <w:rFonts w:cs="Arial"/>
                <w:szCs w:val="14"/>
              </w:rPr>
              <w:t>,</w:t>
            </w:r>
            <w:r w:rsidRPr="00AA591E">
              <w:rPr>
                <w:rFonts w:cs="Arial"/>
                <w:szCs w:val="14"/>
              </w:rPr>
              <w:t>416</w:t>
            </w:r>
            <w:r>
              <w:rPr>
                <w:rFonts w:cs="Arial"/>
                <w:szCs w:val="14"/>
              </w:rPr>
              <w:t>,</w:t>
            </w:r>
            <w:r w:rsidRPr="00AA591E">
              <w:rPr>
                <w:rFonts w:cs="Arial"/>
                <w:szCs w:val="14"/>
              </w:rPr>
              <w:t>770</w:t>
            </w:r>
          </w:p>
        </w:tc>
        <w:tc>
          <w:tcPr>
            <w:tcW w:w="1134" w:type="dxa"/>
            <w:tcBorders>
              <w:top w:val="nil"/>
              <w:bottom w:val="nil"/>
            </w:tcBorders>
            <w:shd w:val="clear" w:color="auto" w:fill="auto"/>
            <w:vAlign w:val="center"/>
          </w:tcPr>
          <w:p w14:paraId="261C8D43" w14:textId="77777777" w:rsidR="00AF04B6" w:rsidRPr="00243EAC"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7</w:t>
            </w:r>
            <w:r>
              <w:rPr>
                <w:rFonts w:cs="Arial"/>
                <w:szCs w:val="14"/>
              </w:rPr>
              <w:t>,</w:t>
            </w:r>
            <w:r w:rsidRPr="00EE1C73">
              <w:rPr>
                <w:rFonts w:cs="Arial"/>
                <w:szCs w:val="14"/>
              </w:rPr>
              <w:t>080</w:t>
            </w:r>
            <w:r>
              <w:rPr>
                <w:rFonts w:cs="Arial"/>
                <w:szCs w:val="14"/>
              </w:rPr>
              <w:t>,</w:t>
            </w:r>
            <w:r w:rsidRPr="00EE1C73">
              <w:rPr>
                <w:rFonts w:cs="Arial"/>
                <w:szCs w:val="14"/>
              </w:rPr>
              <w:t>649</w:t>
            </w:r>
          </w:p>
        </w:tc>
        <w:tc>
          <w:tcPr>
            <w:tcW w:w="283" w:type="dxa"/>
            <w:tcBorders>
              <w:top w:val="nil"/>
              <w:bottom w:val="nil"/>
            </w:tcBorders>
            <w:shd w:val="clear" w:color="auto" w:fill="auto"/>
            <w:vAlign w:val="center"/>
          </w:tcPr>
          <w:p w14:paraId="3063FDC9"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070BD593"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090668">
              <w:rPr>
                <w:rFonts w:cs="Arial"/>
                <w:szCs w:val="14"/>
              </w:rPr>
              <w:t>7</w:t>
            </w:r>
            <w:r>
              <w:rPr>
                <w:rFonts w:cs="Arial"/>
                <w:szCs w:val="14"/>
              </w:rPr>
              <w:t>,</w:t>
            </w:r>
            <w:r w:rsidRPr="00090668">
              <w:rPr>
                <w:rFonts w:cs="Arial"/>
                <w:szCs w:val="14"/>
              </w:rPr>
              <w:t>516</w:t>
            </w:r>
            <w:r>
              <w:rPr>
                <w:rFonts w:cs="Arial"/>
                <w:szCs w:val="14"/>
              </w:rPr>
              <w:t>,</w:t>
            </w:r>
            <w:r w:rsidRPr="00090668">
              <w:rPr>
                <w:rFonts w:cs="Arial"/>
                <w:szCs w:val="14"/>
              </w:rPr>
              <w:t>810</w:t>
            </w:r>
          </w:p>
        </w:tc>
        <w:tc>
          <w:tcPr>
            <w:tcW w:w="1064" w:type="dxa"/>
            <w:tcBorders>
              <w:top w:val="nil"/>
              <w:bottom w:val="nil"/>
            </w:tcBorders>
            <w:shd w:val="clear" w:color="auto" w:fill="auto"/>
            <w:vAlign w:val="center"/>
          </w:tcPr>
          <w:p w14:paraId="6C0D1BCD" w14:textId="77777777" w:rsidR="00AF04B6" w:rsidRPr="00BA1820"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7</w:t>
            </w:r>
            <w:r>
              <w:rPr>
                <w:rFonts w:cs="Arial"/>
                <w:szCs w:val="14"/>
              </w:rPr>
              <w:t>,</w:t>
            </w:r>
            <w:r w:rsidRPr="00EE1C73">
              <w:rPr>
                <w:rFonts w:cs="Arial"/>
                <w:szCs w:val="14"/>
              </w:rPr>
              <w:t>137</w:t>
            </w:r>
            <w:r>
              <w:rPr>
                <w:rFonts w:cs="Arial"/>
                <w:szCs w:val="14"/>
              </w:rPr>
              <w:t>,</w:t>
            </w:r>
            <w:r w:rsidRPr="00EE1C73">
              <w:rPr>
                <w:rFonts w:cs="Arial"/>
                <w:szCs w:val="14"/>
              </w:rPr>
              <w:t>241</w:t>
            </w:r>
          </w:p>
        </w:tc>
      </w:tr>
      <w:tr w:rsidR="00AF04B6" w:rsidRPr="001D6BE8" w14:paraId="14B169FD"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D4D23B8" w14:textId="77777777" w:rsidR="00AF04B6" w:rsidRPr="00C27294" w:rsidRDefault="00AF04B6" w:rsidP="00716135">
            <w:pPr>
              <w:pStyle w:val="08-Tabelageral"/>
              <w:ind w:left="113"/>
              <w:jc w:val="left"/>
              <w:rPr>
                <w:rFonts w:cs="Arial"/>
                <w:b w:val="0"/>
                <w:szCs w:val="14"/>
              </w:rPr>
            </w:pPr>
            <w:r w:rsidRPr="00DC0B01">
              <w:rPr>
                <w:rFonts w:cs="Arial"/>
                <w:b w:val="0"/>
                <w:szCs w:val="14"/>
              </w:rPr>
              <w:t>Intangible</w:t>
            </w:r>
          </w:p>
        </w:tc>
        <w:tc>
          <w:tcPr>
            <w:tcW w:w="709" w:type="dxa"/>
            <w:tcBorders>
              <w:top w:val="nil"/>
              <w:bottom w:val="nil"/>
            </w:tcBorders>
            <w:shd w:val="clear" w:color="auto" w:fill="auto"/>
            <w:vAlign w:val="center"/>
          </w:tcPr>
          <w:p w14:paraId="33601EAA" w14:textId="77777777" w:rsidR="00AF04B6" w:rsidRPr="00CC12E6"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CC12E6">
              <w:t>[19]</w:t>
            </w:r>
          </w:p>
        </w:tc>
        <w:tc>
          <w:tcPr>
            <w:tcW w:w="1134" w:type="dxa"/>
            <w:tcBorders>
              <w:top w:val="nil"/>
              <w:left w:val="nil"/>
              <w:bottom w:val="nil"/>
              <w:right w:val="nil"/>
            </w:tcBorders>
            <w:shd w:val="clear" w:color="auto" w:fill="auto"/>
            <w:vAlign w:val="center"/>
          </w:tcPr>
          <w:p w14:paraId="09852AEA"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4</w:t>
            </w:r>
            <w:r>
              <w:rPr>
                <w:rFonts w:cs="Arial"/>
                <w:szCs w:val="14"/>
              </w:rPr>
              <w:t>,</w:t>
            </w:r>
            <w:r w:rsidRPr="00AA591E">
              <w:rPr>
                <w:rFonts w:cs="Arial"/>
                <w:szCs w:val="14"/>
              </w:rPr>
              <w:t>021</w:t>
            </w:r>
          </w:p>
        </w:tc>
        <w:tc>
          <w:tcPr>
            <w:tcW w:w="1134" w:type="dxa"/>
            <w:tcBorders>
              <w:top w:val="nil"/>
              <w:bottom w:val="nil"/>
            </w:tcBorders>
            <w:shd w:val="clear" w:color="auto" w:fill="auto"/>
            <w:vAlign w:val="center"/>
          </w:tcPr>
          <w:p w14:paraId="54CC0D9A" w14:textId="77777777" w:rsidR="00AF04B6" w:rsidRPr="00243EAC"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4</w:t>
            </w:r>
            <w:r>
              <w:rPr>
                <w:rFonts w:cs="Arial"/>
                <w:szCs w:val="14"/>
              </w:rPr>
              <w:t>,</w:t>
            </w:r>
            <w:r w:rsidRPr="00EE1C73">
              <w:rPr>
                <w:rFonts w:cs="Arial"/>
                <w:szCs w:val="14"/>
              </w:rPr>
              <w:t>959</w:t>
            </w:r>
          </w:p>
        </w:tc>
        <w:tc>
          <w:tcPr>
            <w:tcW w:w="283" w:type="dxa"/>
            <w:tcBorders>
              <w:top w:val="nil"/>
              <w:bottom w:val="nil"/>
            </w:tcBorders>
            <w:shd w:val="clear" w:color="auto" w:fill="auto"/>
            <w:vAlign w:val="center"/>
          </w:tcPr>
          <w:p w14:paraId="3332A86F"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39747BD9"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90668">
              <w:rPr>
                <w:rFonts w:cs="Arial"/>
                <w:szCs w:val="14"/>
              </w:rPr>
              <w:t>4</w:t>
            </w:r>
            <w:r>
              <w:rPr>
                <w:rFonts w:cs="Arial"/>
                <w:szCs w:val="14"/>
              </w:rPr>
              <w:t>,</w:t>
            </w:r>
            <w:r w:rsidRPr="00090668">
              <w:rPr>
                <w:rFonts w:cs="Arial"/>
                <w:szCs w:val="14"/>
              </w:rPr>
              <w:t>021</w:t>
            </w:r>
          </w:p>
        </w:tc>
        <w:tc>
          <w:tcPr>
            <w:tcW w:w="1064" w:type="dxa"/>
            <w:tcBorders>
              <w:top w:val="nil"/>
              <w:bottom w:val="nil"/>
            </w:tcBorders>
            <w:shd w:val="clear" w:color="auto" w:fill="auto"/>
            <w:vAlign w:val="center"/>
          </w:tcPr>
          <w:p w14:paraId="44BFFF49" w14:textId="77777777" w:rsidR="00AF04B6" w:rsidRPr="00BA1820"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4</w:t>
            </w:r>
            <w:r>
              <w:rPr>
                <w:rFonts w:cs="Arial"/>
                <w:szCs w:val="14"/>
              </w:rPr>
              <w:t>,</w:t>
            </w:r>
            <w:r w:rsidRPr="00EE1C73">
              <w:rPr>
                <w:rFonts w:cs="Arial"/>
                <w:szCs w:val="14"/>
              </w:rPr>
              <w:t>959</w:t>
            </w:r>
          </w:p>
        </w:tc>
      </w:tr>
      <w:tr w:rsidR="00AF04B6" w:rsidRPr="001D6BE8" w14:paraId="068DC663" w14:textId="77777777" w:rsidTr="009E0AF2">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753BD9E9" w14:textId="77777777" w:rsidR="00AF04B6" w:rsidRPr="0038031F" w:rsidRDefault="00AF04B6" w:rsidP="00716135">
            <w:pPr>
              <w:pStyle w:val="08-Tabelageral"/>
              <w:ind w:left="113"/>
              <w:jc w:val="left"/>
              <w:rPr>
                <w:rFonts w:cs="Arial"/>
                <w:b w:val="0"/>
                <w:szCs w:val="14"/>
              </w:rPr>
            </w:pPr>
            <w:r w:rsidRPr="00C27294">
              <w:rPr>
                <w:rFonts w:cs="Arial"/>
                <w:b w:val="0"/>
                <w:szCs w:val="14"/>
              </w:rPr>
              <w:t>Other assets</w:t>
            </w:r>
          </w:p>
        </w:tc>
        <w:tc>
          <w:tcPr>
            <w:tcW w:w="709" w:type="dxa"/>
            <w:tcBorders>
              <w:top w:val="nil"/>
              <w:bottom w:val="nil"/>
            </w:tcBorders>
            <w:shd w:val="clear" w:color="auto" w:fill="auto"/>
            <w:vAlign w:val="center"/>
          </w:tcPr>
          <w:p w14:paraId="1423B908"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CC12E6">
              <w:t>[20]</w:t>
            </w:r>
          </w:p>
        </w:tc>
        <w:tc>
          <w:tcPr>
            <w:tcW w:w="1134" w:type="dxa"/>
            <w:tcBorders>
              <w:top w:val="nil"/>
              <w:bottom w:val="nil"/>
            </w:tcBorders>
            <w:shd w:val="clear" w:color="auto" w:fill="auto"/>
            <w:vAlign w:val="center"/>
          </w:tcPr>
          <w:p w14:paraId="397E2546"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58</w:t>
            </w:r>
          </w:p>
        </w:tc>
        <w:tc>
          <w:tcPr>
            <w:tcW w:w="1134" w:type="dxa"/>
            <w:tcBorders>
              <w:top w:val="nil"/>
              <w:bottom w:val="nil"/>
            </w:tcBorders>
            <w:shd w:val="clear" w:color="auto" w:fill="auto"/>
            <w:vAlign w:val="center"/>
          </w:tcPr>
          <w:p w14:paraId="3768BF34"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40</w:t>
            </w:r>
          </w:p>
        </w:tc>
        <w:tc>
          <w:tcPr>
            <w:tcW w:w="283" w:type="dxa"/>
            <w:tcBorders>
              <w:top w:val="nil"/>
              <w:bottom w:val="nil"/>
            </w:tcBorders>
            <w:shd w:val="clear" w:color="auto" w:fill="auto"/>
            <w:vAlign w:val="center"/>
          </w:tcPr>
          <w:p w14:paraId="487C0063"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827AF47"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090668">
              <w:rPr>
                <w:rFonts w:cs="Arial"/>
                <w:szCs w:val="14"/>
              </w:rPr>
              <w:t>221</w:t>
            </w:r>
            <w:r>
              <w:rPr>
                <w:rFonts w:cs="Arial"/>
                <w:szCs w:val="14"/>
              </w:rPr>
              <w:t>,</w:t>
            </w:r>
            <w:r w:rsidRPr="00090668">
              <w:rPr>
                <w:rFonts w:cs="Arial"/>
                <w:szCs w:val="14"/>
              </w:rPr>
              <w:t>882</w:t>
            </w:r>
          </w:p>
        </w:tc>
        <w:tc>
          <w:tcPr>
            <w:tcW w:w="1064" w:type="dxa"/>
            <w:tcBorders>
              <w:top w:val="nil"/>
              <w:bottom w:val="nil"/>
            </w:tcBorders>
            <w:shd w:val="clear" w:color="auto" w:fill="auto"/>
            <w:vAlign w:val="center"/>
          </w:tcPr>
          <w:p w14:paraId="057C246B"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214</w:t>
            </w:r>
            <w:r>
              <w:rPr>
                <w:rFonts w:cs="Arial"/>
                <w:szCs w:val="14"/>
              </w:rPr>
              <w:t>,</w:t>
            </w:r>
            <w:r w:rsidRPr="00EE1C73">
              <w:rPr>
                <w:rFonts w:cs="Arial"/>
                <w:szCs w:val="14"/>
              </w:rPr>
              <w:t>187</w:t>
            </w:r>
          </w:p>
        </w:tc>
      </w:tr>
      <w:tr w:rsidR="00AF04B6" w:rsidRPr="001D6BE8" w14:paraId="494C21B1" w14:textId="77777777" w:rsidTr="009E0AF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8006935" w14:textId="77777777" w:rsidR="00AF04B6" w:rsidRPr="0038031F" w:rsidRDefault="00AF04B6" w:rsidP="00716135">
            <w:pPr>
              <w:pStyle w:val="08-Tabelageral"/>
              <w:jc w:val="left"/>
              <w:rPr>
                <w:rFonts w:cs="Arial"/>
                <w:b w:val="0"/>
                <w:szCs w:val="14"/>
              </w:rPr>
            </w:pPr>
          </w:p>
        </w:tc>
        <w:tc>
          <w:tcPr>
            <w:tcW w:w="709" w:type="dxa"/>
            <w:tcBorders>
              <w:top w:val="nil"/>
              <w:bottom w:val="nil"/>
            </w:tcBorders>
            <w:shd w:val="clear" w:color="auto" w:fill="auto"/>
            <w:vAlign w:val="center"/>
          </w:tcPr>
          <w:p w14:paraId="12D0D44C"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706D2A5E"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6FF5249"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2C0470FE"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416F9C23"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4" w:type="dxa"/>
            <w:tcBorders>
              <w:top w:val="nil"/>
              <w:bottom w:val="nil"/>
            </w:tcBorders>
            <w:shd w:val="clear" w:color="auto" w:fill="auto"/>
            <w:vAlign w:val="center"/>
          </w:tcPr>
          <w:p w14:paraId="71C5B8B6"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p>
        </w:tc>
      </w:tr>
      <w:tr w:rsidR="00AF04B6" w:rsidRPr="001D6BE8" w14:paraId="01556AE7" w14:textId="77777777" w:rsidTr="009E0AF2">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8B55BA5" w14:textId="77777777" w:rsidR="00AF04B6" w:rsidRPr="00CD3714" w:rsidRDefault="00AF04B6" w:rsidP="00716135">
            <w:pPr>
              <w:pStyle w:val="08-Tabelageral"/>
              <w:jc w:val="left"/>
              <w:rPr>
                <w:rFonts w:cs="Arial"/>
                <w:szCs w:val="14"/>
              </w:rPr>
            </w:pPr>
            <w:r w:rsidRPr="00C27294">
              <w:rPr>
                <w:rFonts w:cs="Arial"/>
                <w:szCs w:val="14"/>
              </w:rPr>
              <w:t>Total Assets</w:t>
            </w:r>
          </w:p>
        </w:tc>
        <w:tc>
          <w:tcPr>
            <w:tcW w:w="709" w:type="dxa"/>
            <w:tcBorders>
              <w:top w:val="nil"/>
              <w:bottom w:val="nil"/>
            </w:tcBorders>
            <w:shd w:val="clear" w:color="auto" w:fill="auto"/>
            <w:vAlign w:val="center"/>
          </w:tcPr>
          <w:p w14:paraId="30898256" w14:textId="77777777" w:rsidR="00AF04B6" w:rsidRPr="00CD3714"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noProof/>
              </w:rPr>
            </w:pPr>
          </w:p>
        </w:tc>
        <w:tc>
          <w:tcPr>
            <w:tcW w:w="1134" w:type="dxa"/>
            <w:tcBorders>
              <w:top w:val="nil"/>
              <w:bottom w:val="nil"/>
            </w:tcBorders>
            <w:shd w:val="clear" w:color="auto" w:fill="auto"/>
            <w:vAlign w:val="center"/>
          </w:tcPr>
          <w:p w14:paraId="2659FC54"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8C773A">
              <w:rPr>
                <w:rFonts w:cs="Arial"/>
                <w:b/>
                <w:szCs w:val="14"/>
              </w:rPr>
              <w:t>11</w:t>
            </w:r>
            <w:r>
              <w:rPr>
                <w:rFonts w:cs="Arial"/>
                <w:b/>
                <w:szCs w:val="14"/>
              </w:rPr>
              <w:t>,</w:t>
            </w:r>
            <w:r w:rsidRPr="008C773A">
              <w:rPr>
                <w:rFonts w:cs="Arial"/>
                <w:b/>
                <w:szCs w:val="14"/>
              </w:rPr>
              <w:t>282</w:t>
            </w:r>
            <w:r>
              <w:rPr>
                <w:rFonts w:cs="Arial"/>
                <w:b/>
                <w:szCs w:val="14"/>
              </w:rPr>
              <w:t>,</w:t>
            </w:r>
            <w:r w:rsidRPr="008C773A">
              <w:rPr>
                <w:rFonts w:cs="Arial"/>
                <w:b/>
                <w:szCs w:val="14"/>
              </w:rPr>
              <w:t>424</w:t>
            </w:r>
          </w:p>
        </w:tc>
        <w:tc>
          <w:tcPr>
            <w:tcW w:w="1134" w:type="dxa"/>
            <w:tcBorders>
              <w:top w:val="nil"/>
              <w:bottom w:val="nil"/>
            </w:tcBorders>
            <w:shd w:val="clear" w:color="auto" w:fill="auto"/>
            <w:vAlign w:val="center"/>
          </w:tcPr>
          <w:p w14:paraId="6531E93F"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szCs w:val="14"/>
              </w:rPr>
              <w:t>9</w:t>
            </w:r>
            <w:r>
              <w:rPr>
                <w:rFonts w:cs="Arial"/>
                <w:b/>
                <w:szCs w:val="14"/>
              </w:rPr>
              <w:t>,</w:t>
            </w:r>
            <w:r w:rsidRPr="00EE1C73">
              <w:rPr>
                <w:rFonts w:cs="Arial"/>
                <w:b/>
                <w:szCs w:val="14"/>
              </w:rPr>
              <w:t>124</w:t>
            </w:r>
            <w:r>
              <w:rPr>
                <w:rFonts w:cs="Arial"/>
                <w:b/>
                <w:szCs w:val="14"/>
              </w:rPr>
              <w:t>,</w:t>
            </w:r>
            <w:r w:rsidRPr="00EE1C73">
              <w:rPr>
                <w:rFonts w:cs="Arial"/>
                <w:b/>
                <w:szCs w:val="14"/>
              </w:rPr>
              <w:t>418</w:t>
            </w:r>
          </w:p>
        </w:tc>
        <w:tc>
          <w:tcPr>
            <w:tcW w:w="283" w:type="dxa"/>
            <w:tcBorders>
              <w:top w:val="nil"/>
              <w:bottom w:val="nil"/>
            </w:tcBorders>
            <w:shd w:val="clear" w:color="auto" w:fill="auto"/>
            <w:vAlign w:val="center"/>
          </w:tcPr>
          <w:p w14:paraId="46CE01B5"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134" w:type="dxa"/>
            <w:tcBorders>
              <w:top w:val="nil"/>
              <w:bottom w:val="nil"/>
            </w:tcBorders>
            <w:shd w:val="clear" w:color="auto" w:fill="auto"/>
            <w:vAlign w:val="center"/>
          </w:tcPr>
          <w:p w14:paraId="68246534"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090668">
              <w:rPr>
                <w:rFonts w:cs="Arial"/>
                <w:b/>
                <w:bCs/>
                <w:szCs w:val="14"/>
              </w:rPr>
              <w:t>16</w:t>
            </w:r>
            <w:r>
              <w:rPr>
                <w:rFonts w:cs="Arial"/>
                <w:b/>
                <w:bCs/>
                <w:szCs w:val="14"/>
              </w:rPr>
              <w:t>,</w:t>
            </w:r>
            <w:r w:rsidRPr="00090668">
              <w:rPr>
                <w:rFonts w:cs="Arial"/>
                <w:b/>
                <w:bCs/>
                <w:szCs w:val="14"/>
              </w:rPr>
              <w:t>129</w:t>
            </w:r>
            <w:r>
              <w:rPr>
                <w:rFonts w:cs="Arial"/>
                <w:b/>
                <w:bCs/>
                <w:szCs w:val="14"/>
              </w:rPr>
              <w:t>,</w:t>
            </w:r>
            <w:r w:rsidRPr="00090668">
              <w:rPr>
                <w:rFonts w:cs="Arial"/>
                <w:b/>
                <w:bCs/>
                <w:szCs w:val="14"/>
              </w:rPr>
              <w:t>832</w:t>
            </w:r>
          </w:p>
        </w:tc>
        <w:tc>
          <w:tcPr>
            <w:tcW w:w="1064" w:type="dxa"/>
            <w:tcBorders>
              <w:top w:val="nil"/>
              <w:bottom w:val="nil"/>
            </w:tcBorders>
            <w:shd w:val="clear" w:color="auto" w:fill="auto"/>
            <w:vAlign w:val="center"/>
          </w:tcPr>
          <w:p w14:paraId="574B5DAC"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bCs/>
                <w:szCs w:val="14"/>
              </w:rPr>
              <w:t>13</w:t>
            </w:r>
            <w:r>
              <w:rPr>
                <w:rFonts w:cs="Arial"/>
                <w:b/>
                <w:bCs/>
                <w:szCs w:val="14"/>
              </w:rPr>
              <w:t>,</w:t>
            </w:r>
            <w:r w:rsidRPr="00EE1C73">
              <w:rPr>
                <w:rFonts w:cs="Arial"/>
                <w:b/>
                <w:bCs/>
                <w:szCs w:val="14"/>
              </w:rPr>
              <w:t>314</w:t>
            </w:r>
            <w:r>
              <w:rPr>
                <w:rFonts w:cs="Arial"/>
                <w:b/>
                <w:bCs/>
                <w:szCs w:val="14"/>
              </w:rPr>
              <w:t>,</w:t>
            </w:r>
            <w:r w:rsidRPr="00EE1C73">
              <w:rPr>
                <w:rFonts w:cs="Arial"/>
                <w:b/>
                <w:bCs/>
                <w:szCs w:val="14"/>
              </w:rPr>
              <w:t>221</w:t>
            </w:r>
          </w:p>
        </w:tc>
      </w:tr>
      <w:tr w:rsidR="00AF04B6" w:rsidRPr="001D6BE8" w14:paraId="4537E010" w14:textId="77777777" w:rsidTr="009E0AF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44F2C41C" w14:textId="77777777" w:rsidR="00AF04B6" w:rsidRPr="0038031F" w:rsidRDefault="00AF04B6" w:rsidP="00716135">
            <w:pPr>
              <w:pStyle w:val="08-Tabelageral"/>
              <w:jc w:val="left"/>
              <w:rPr>
                <w:rFonts w:cs="Arial"/>
                <w:b w:val="0"/>
                <w:color w:val="FF0000"/>
                <w:szCs w:val="14"/>
              </w:rPr>
            </w:pPr>
          </w:p>
        </w:tc>
        <w:tc>
          <w:tcPr>
            <w:tcW w:w="709" w:type="dxa"/>
            <w:tcBorders>
              <w:top w:val="nil"/>
              <w:bottom w:val="nil"/>
            </w:tcBorders>
            <w:shd w:val="clear" w:color="auto" w:fill="auto"/>
            <w:vAlign w:val="center"/>
          </w:tcPr>
          <w:p w14:paraId="305A35C0"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rPr>
            </w:pPr>
          </w:p>
        </w:tc>
        <w:tc>
          <w:tcPr>
            <w:tcW w:w="1134" w:type="dxa"/>
            <w:tcBorders>
              <w:top w:val="nil"/>
              <w:bottom w:val="nil"/>
            </w:tcBorders>
            <w:shd w:val="clear" w:color="auto" w:fill="auto"/>
            <w:vAlign w:val="center"/>
          </w:tcPr>
          <w:p w14:paraId="0FCCC1F2"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3D39276C"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54AA3126"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02C739F"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4" w:type="dxa"/>
            <w:tcBorders>
              <w:top w:val="nil"/>
              <w:bottom w:val="nil"/>
            </w:tcBorders>
            <w:shd w:val="clear" w:color="auto" w:fill="auto"/>
            <w:vAlign w:val="center"/>
          </w:tcPr>
          <w:p w14:paraId="645C550E"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p>
        </w:tc>
      </w:tr>
      <w:tr w:rsidR="00AF04B6" w:rsidRPr="001D6BE8" w14:paraId="45F6D21D"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B9BA7D2" w14:textId="77777777" w:rsidR="00AF04B6" w:rsidRPr="00CD3714" w:rsidRDefault="00AF04B6" w:rsidP="00716135">
            <w:pPr>
              <w:pStyle w:val="08-Tabelageral"/>
              <w:jc w:val="left"/>
            </w:pPr>
            <w:r w:rsidRPr="00C27294">
              <w:t>Current Liabilities</w:t>
            </w:r>
          </w:p>
        </w:tc>
        <w:tc>
          <w:tcPr>
            <w:tcW w:w="709" w:type="dxa"/>
            <w:tcBorders>
              <w:top w:val="nil"/>
              <w:bottom w:val="nil"/>
            </w:tcBorders>
            <w:shd w:val="clear" w:color="auto" w:fill="auto"/>
            <w:vAlign w:val="center"/>
          </w:tcPr>
          <w:p w14:paraId="6D81ED3E"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rPr>
            </w:pPr>
          </w:p>
        </w:tc>
        <w:tc>
          <w:tcPr>
            <w:tcW w:w="1134" w:type="dxa"/>
            <w:tcBorders>
              <w:top w:val="nil"/>
              <w:left w:val="nil"/>
              <w:bottom w:val="nil"/>
              <w:right w:val="nil"/>
            </w:tcBorders>
            <w:shd w:val="clear" w:color="auto" w:fill="auto"/>
            <w:vAlign w:val="center"/>
          </w:tcPr>
          <w:p w14:paraId="2C774814"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8C773A">
              <w:rPr>
                <w:rFonts w:cs="Arial"/>
                <w:b/>
                <w:bCs/>
                <w:szCs w:val="14"/>
              </w:rPr>
              <w:t>3</w:t>
            </w:r>
            <w:r>
              <w:rPr>
                <w:rFonts w:cs="Arial"/>
                <w:b/>
                <w:bCs/>
                <w:szCs w:val="14"/>
              </w:rPr>
              <w:t>,</w:t>
            </w:r>
            <w:r w:rsidRPr="008C773A">
              <w:rPr>
                <w:rFonts w:cs="Arial"/>
                <w:b/>
                <w:bCs/>
                <w:szCs w:val="14"/>
              </w:rPr>
              <w:t>686</w:t>
            </w:r>
            <w:r>
              <w:rPr>
                <w:rFonts w:cs="Arial"/>
                <w:b/>
                <w:bCs/>
                <w:szCs w:val="14"/>
              </w:rPr>
              <w:t>,</w:t>
            </w:r>
            <w:r w:rsidRPr="008C773A">
              <w:rPr>
                <w:rFonts w:cs="Arial"/>
                <w:b/>
                <w:bCs/>
                <w:szCs w:val="14"/>
              </w:rPr>
              <w:t>29</w:t>
            </w:r>
            <w:r>
              <w:rPr>
                <w:rFonts w:cs="Arial"/>
                <w:b/>
                <w:bCs/>
                <w:szCs w:val="14"/>
              </w:rPr>
              <w:t>5</w:t>
            </w:r>
          </w:p>
        </w:tc>
        <w:tc>
          <w:tcPr>
            <w:tcW w:w="1134" w:type="dxa"/>
            <w:tcBorders>
              <w:top w:val="nil"/>
              <w:bottom w:val="nil"/>
            </w:tcBorders>
            <w:shd w:val="clear" w:color="auto" w:fill="auto"/>
            <w:vAlign w:val="center"/>
          </w:tcPr>
          <w:p w14:paraId="7714F81C"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szCs w:val="14"/>
              </w:rPr>
              <w:t>1</w:t>
            </w:r>
            <w:r>
              <w:rPr>
                <w:rFonts w:cs="Arial"/>
                <w:b/>
                <w:szCs w:val="14"/>
              </w:rPr>
              <w:t>,</w:t>
            </w:r>
            <w:r w:rsidRPr="00EE1C73">
              <w:rPr>
                <w:rFonts w:cs="Arial"/>
                <w:b/>
                <w:szCs w:val="14"/>
              </w:rPr>
              <w:t>842</w:t>
            </w:r>
            <w:r>
              <w:rPr>
                <w:rFonts w:cs="Arial"/>
                <w:b/>
                <w:szCs w:val="14"/>
              </w:rPr>
              <w:t>,</w:t>
            </w:r>
            <w:r w:rsidRPr="00EE1C73">
              <w:rPr>
                <w:rFonts w:cs="Arial"/>
                <w:b/>
                <w:szCs w:val="14"/>
              </w:rPr>
              <w:t>974</w:t>
            </w:r>
          </w:p>
        </w:tc>
        <w:tc>
          <w:tcPr>
            <w:tcW w:w="283" w:type="dxa"/>
            <w:tcBorders>
              <w:top w:val="nil"/>
              <w:bottom w:val="nil"/>
            </w:tcBorders>
            <w:shd w:val="clear" w:color="auto" w:fill="auto"/>
            <w:vAlign w:val="center"/>
          </w:tcPr>
          <w:p w14:paraId="7A7F49FF"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134" w:type="dxa"/>
            <w:tcBorders>
              <w:top w:val="nil"/>
              <w:left w:val="nil"/>
              <w:bottom w:val="nil"/>
              <w:right w:val="nil"/>
            </w:tcBorders>
            <w:shd w:val="clear" w:color="auto" w:fill="auto"/>
            <w:vAlign w:val="center"/>
          </w:tcPr>
          <w:p w14:paraId="0046B759"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090668">
              <w:rPr>
                <w:rFonts w:cs="Arial"/>
                <w:b/>
                <w:bCs/>
                <w:szCs w:val="14"/>
              </w:rPr>
              <w:t>6</w:t>
            </w:r>
            <w:r>
              <w:rPr>
                <w:rFonts w:cs="Arial"/>
                <w:b/>
                <w:bCs/>
                <w:szCs w:val="14"/>
              </w:rPr>
              <w:t>,</w:t>
            </w:r>
            <w:r w:rsidRPr="00090668">
              <w:rPr>
                <w:rFonts w:cs="Arial"/>
                <w:b/>
                <w:bCs/>
                <w:szCs w:val="14"/>
              </w:rPr>
              <w:t>508</w:t>
            </w:r>
            <w:r>
              <w:rPr>
                <w:rFonts w:cs="Arial"/>
                <w:b/>
                <w:bCs/>
                <w:szCs w:val="14"/>
              </w:rPr>
              <w:t>,</w:t>
            </w:r>
            <w:r w:rsidRPr="00090668">
              <w:rPr>
                <w:rFonts w:cs="Arial"/>
                <w:b/>
                <w:bCs/>
                <w:szCs w:val="14"/>
              </w:rPr>
              <w:t>16</w:t>
            </w:r>
            <w:r>
              <w:rPr>
                <w:rFonts w:cs="Arial"/>
                <w:b/>
                <w:bCs/>
                <w:szCs w:val="14"/>
              </w:rPr>
              <w:t>8</w:t>
            </w:r>
          </w:p>
        </w:tc>
        <w:tc>
          <w:tcPr>
            <w:tcW w:w="1064" w:type="dxa"/>
            <w:tcBorders>
              <w:top w:val="nil"/>
              <w:bottom w:val="nil"/>
            </w:tcBorders>
            <w:shd w:val="clear" w:color="auto" w:fill="auto"/>
            <w:vAlign w:val="center"/>
          </w:tcPr>
          <w:p w14:paraId="33F4809D"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F57304">
              <w:rPr>
                <w:rFonts w:cs="Arial"/>
                <w:b/>
                <w:bCs/>
                <w:szCs w:val="14"/>
              </w:rPr>
              <w:t>3</w:t>
            </w:r>
            <w:r>
              <w:rPr>
                <w:rFonts w:cs="Arial"/>
                <w:b/>
                <w:bCs/>
                <w:szCs w:val="14"/>
              </w:rPr>
              <w:t>,</w:t>
            </w:r>
            <w:r w:rsidRPr="00F57304">
              <w:rPr>
                <w:rFonts w:cs="Arial"/>
                <w:b/>
                <w:bCs/>
                <w:szCs w:val="14"/>
              </w:rPr>
              <w:t>999</w:t>
            </w:r>
            <w:r>
              <w:rPr>
                <w:rFonts w:cs="Arial"/>
                <w:b/>
                <w:bCs/>
                <w:szCs w:val="14"/>
              </w:rPr>
              <w:t>,</w:t>
            </w:r>
            <w:r w:rsidRPr="00F57304">
              <w:rPr>
                <w:rFonts w:cs="Arial"/>
                <w:b/>
                <w:bCs/>
                <w:szCs w:val="14"/>
              </w:rPr>
              <w:t>277</w:t>
            </w:r>
          </w:p>
        </w:tc>
      </w:tr>
      <w:tr w:rsidR="00AF04B6" w:rsidRPr="001D6BE8" w14:paraId="04767643"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8E78AE9" w14:textId="77777777" w:rsidR="00AF04B6" w:rsidRPr="0038031F" w:rsidRDefault="00AF04B6" w:rsidP="00716135">
            <w:pPr>
              <w:pStyle w:val="08-Tabelageral"/>
              <w:ind w:left="113"/>
              <w:jc w:val="left"/>
              <w:rPr>
                <w:b w:val="0"/>
              </w:rPr>
            </w:pPr>
            <w:r>
              <w:rPr>
                <w:b w:val="0"/>
              </w:rPr>
              <w:t>S</w:t>
            </w:r>
            <w:r w:rsidRPr="00D546E8">
              <w:rPr>
                <w:b w:val="0"/>
              </w:rPr>
              <w:t>tatutory obligation</w:t>
            </w:r>
          </w:p>
        </w:tc>
        <w:tc>
          <w:tcPr>
            <w:tcW w:w="709" w:type="dxa"/>
            <w:tcBorders>
              <w:top w:val="nil"/>
              <w:bottom w:val="nil"/>
            </w:tcBorders>
            <w:shd w:val="clear" w:color="auto" w:fill="auto"/>
            <w:vAlign w:val="center"/>
          </w:tcPr>
          <w:p w14:paraId="55C8E775"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szCs w:val="14"/>
              </w:rPr>
            </w:pPr>
            <w:r w:rsidRPr="00696134">
              <w:t>[21]</w:t>
            </w:r>
          </w:p>
        </w:tc>
        <w:tc>
          <w:tcPr>
            <w:tcW w:w="1134" w:type="dxa"/>
            <w:tcBorders>
              <w:top w:val="nil"/>
              <w:left w:val="nil"/>
              <w:bottom w:val="nil"/>
              <w:right w:val="nil"/>
            </w:tcBorders>
            <w:shd w:val="clear" w:color="auto" w:fill="auto"/>
            <w:vAlign w:val="center"/>
          </w:tcPr>
          <w:p w14:paraId="1764530A"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773A">
              <w:rPr>
                <w:rFonts w:cs="Arial"/>
                <w:szCs w:val="14"/>
              </w:rPr>
              <w:t>3</w:t>
            </w:r>
            <w:r>
              <w:rPr>
                <w:rFonts w:cs="Arial"/>
                <w:szCs w:val="14"/>
              </w:rPr>
              <w:t>,</w:t>
            </w:r>
            <w:r w:rsidRPr="008C773A">
              <w:rPr>
                <w:rFonts w:cs="Arial"/>
                <w:szCs w:val="14"/>
              </w:rPr>
              <w:t>674</w:t>
            </w:r>
            <w:r>
              <w:rPr>
                <w:rFonts w:cs="Arial"/>
                <w:szCs w:val="14"/>
              </w:rPr>
              <w:t>,</w:t>
            </w:r>
            <w:r w:rsidRPr="008C773A">
              <w:rPr>
                <w:rFonts w:cs="Arial"/>
                <w:szCs w:val="14"/>
              </w:rPr>
              <w:t>027</w:t>
            </w:r>
          </w:p>
        </w:tc>
        <w:tc>
          <w:tcPr>
            <w:tcW w:w="1134" w:type="dxa"/>
            <w:tcBorders>
              <w:top w:val="nil"/>
              <w:bottom w:val="nil"/>
            </w:tcBorders>
            <w:shd w:val="clear" w:color="auto" w:fill="auto"/>
            <w:vAlign w:val="center"/>
          </w:tcPr>
          <w:p w14:paraId="7ED270CF"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1</w:t>
            </w:r>
            <w:r>
              <w:rPr>
                <w:rFonts w:cs="Arial"/>
                <w:szCs w:val="14"/>
              </w:rPr>
              <w:t>,</w:t>
            </w:r>
            <w:r w:rsidRPr="00EE1C73">
              <w:rPr>
                <w:rFonts w:cs="Arial"/>
                <w:szCs w:val="14"/>
              </w:rPr>
              <w:t>831</w:t>
            </w:r>
            <w:r>
              <w:rPr>
                <w:rFonts w:cs="Arial"/>
                <w:szCs w:val="14"/>
              </w:rPr>
              <w:t>,</w:t>
            </w:r>
            <w:r w:rsidRPr="00EE1C73">
              <w:rPr>
                <w:rFonts w:cs="Arial"/>
                <w:szCs w:val="14"/>
              </w:rPr>
              <w:t>691</w:t>
            </w:r>
          </w:p>
        </w:tc>
        <w:tc>
          <w:tcPr>
            <w:tcW w:w="283" w:type="dxa"/>
            <w:tcBorders>
              <w:top w:val="nil"/>
              <w:bottom w:val="nil"/>
            </w:tcBorders>
            <w:shd w:val="clear" w:color="auto" w:fill="auto"/>
            <w:vAlign w:val="center"/>
          </w:tcPr>
          <w:p w14:paraId="6A3EAEA8"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01BF4DCF"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91FE2">
              <w:rPr>
                <w:rFonts w:cs="Arial"/>
                <w:szCs w:val="14"/>
              </w:rPr>
              <w:t>3</w:t>
            </w:r>
            <w:r>
              <w:rPr>
                <w:rFonts w:cs="Arial"/>
                <w:szCs w:val="14"/>
              </w:rPr>
              <w:t>,</w:t>
            </w:r>
            <w:r w:rsidRPr="00191FE2">
              <w:rPr>
                <w:rFonts w:cs="Arial"/>
                <w:szCs w:val="14"/>
              </w:rPr>
              <w:t>674</w:t>
            </w:r>
            <w:r>
              <w:rPr>
                <w:rFonts w:cs="Arial"/>
                <w:szCs w:val="14"/>
              </w:rPr>
              <w:t>,</w:t>
            </w:r>
            <w:r w:rsidRPr="00191FE2">
              <w:rPr>
                <w:rFonts w:cs="Arial"/>
                <w:szCs w:val="14"/>
              </w:rPr>
              <w:t>027</w:t>
            </w:r>
          </w:p>
        </w:tc>
        <w:tc>
          <w:tcPr>
            <w:tcW w:w="1064" w:type="dxa"/>
            <w:tcBorders>
              <w:top w:val="nil"/>
              <w:bottom w:val="nil"/>
            </w:tcBorders>
            <w:shd w:val="clear" w:color="auto" w:fill="auto"/>
            <w:vAlign w:val="center"/>
          </w:tcPr>
          <w:p w14:paraId="2318AB75"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1</w:t>
            </w:r>
            <w:r>
              <w:rPr>
                <w:rFonts w:cs="Arial"/>
                <w:szCs w:val="14"/>
              </w:rPr>
              <w:t>,</w:t>
            </w:r>
            <w:r w:rsidRPr="00EE1C73">
              <w:rPr>
                <w:rFonts w:cs="Arial"/>
                <w:szCs w:val="14"/>
              </w:rPr>
              <w:t>831</w:t>
            </w:r>
            <w:r>
              <w:rPr>
                <w:rFonts w:cs="Arial"/>
                <w:szCs w:val="14"/>
              </w:rPr>
              <w:t>,</w:t>
            </w:r>
            <w:r w:rsidRPr="00EE1C73">
              <w:rPr>
                <w:rFonts w:cs="Arial"/>
                <w:szCs w:val="14"/>
              </w:rPr>
              <w:t>691</w:t>
            </w:r>
          </w:p>
        </w:tc>
      </w:tr>
      <w:tr w:rsidR="00AF04B6" w:rsidRPr="001D6BE8" w14:paraId="4763E215"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4FA388C8" w14:textId="77777777" w:rsidR="00AF04B6" w:rsidRPr="0038031F" w:rsidRDefault="00AF04B6" w:rsidP="00716135">
            <w:pPr>
              <w:pStyle w:val="08-Tabelageral"/>
              <w:ind w:left="113"/>
              <w:jc w:val="left"/>
              <w:rPr>
                <w:b w:val="0"/>
              </w:rPr>
            </w:pPr>
            <w:r w:rsidRPr="00C27294">
              <w:rPr>
                <w:b w:val="0"/>
              </w:rPr>
              <w:t>Contingent liabilities</w:t>
            </w:r>
          </w:p>
        </w:tc>
        <w:tc>
          <w:tcPr>
            <w:tcW w:w="709" w:type="dxa"/>
            <w:tcBorders>
              <w:top w:val="nil"/>
              <w:bottom w:val="nil"/>
            </w:tcBorders>
            <w:shd w:val="clear" w:color="auto" w:fill="auto"/>
            <w:vAlign w:val="center"/>
          </w:tcPr>
          <w:p w14:paraId="4FC35372"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szCs w:val="14"/>
              </w:rPr>
            </w:pPr>
            <w:r w:rsidRPr="00696134">
              <w:t>[22]</w:t>
            </w:r>
          </w:p>
        </w:tc>
        <w:tc>
          <w:tcPr>
            <w:tcW w:w="1134" w:type="dxa"/>
            <w:tcBorders>
              <w:top w:val="nil"/>
              <w:left w:val="nil"/>
              <w:bottom w:val="nil"/>
              <w:right w:val="nil"/>
            </w:tcBorders>
            <w:shd w:val="clear" w:color="auto" w:fill="auto"/>
            <w:vAlign w:val="center"/>
          </w:tcPr>
          <w:p w14:paraId="136520BF"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8C773A">
              <w:rPr>
                <w:rFonts w:cs="Arial"/>
                <w:szCs w:val="14"/>
              </w:rPr>
              <w:t>53</w:t>
            </w:r>
          </w:p>
        </w:tc>
        <w:tc>
          <w:tcPr>
            <w:tcW w:w="1134" w:type="dxa"/>
            <w:tcBorders>
              <w:top w:val="nil"/>
              <w:bottom w:val="nil"/>
            </w:tcBorders>
            <w:shd w:val="clear" w:color="auto" w:fill="auto"/>
            <w:vAlign w:val="center"/>
          </w:tcPr>
          <w:p w14:paraId="29A5FB2E"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5FA1EB9A"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61D84F41"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91FE2">
              <w:rPr>
                <w:rFonts w:cs="Arial"/>
                <w:szCs w:val="14"/>
              </w:rPr>
              <w:t>4</w:t>
            </w:r>
            <w:r>
              <w:rPr>
                <w:rFonts w:cs="Arial"/>
                <w:szCs w:val="14"/>
              </w:rPr>
              <w:t>,</w:t>
            </w:r>
            <w:r w:rsidRPr="00191FE2">
              <w:rPr>
                <w:rFonts w:cs="Arial"/>
                <w:szCs w:val="14"/>
              </w:rPr>
              <w:t>431</w:t>
            </w:r>
          </w:p>
        </w:tc>
        <w:tc>
          <w:tcPr>
            <w:tcW w:w="1064" w:type="dxa"/>
            <w:tcBorders>
              <w:top w:val="nil"/>
              <w:bottom w:val="nil"/>
            </w:tcBorders>
            <w:shd w:val="clear" w:color="auto" w:fill="auto"/>
            <w:vAlign w:val="center"/>
          </w:tcPr>
          <w:p w14:paraId="4265686C"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4</w:t>
            </w:r>
            <w:r>
              <w:rPr>
                <w:rFonts w:cs="Arial"/>
                <w:szCs w:val="14"/>
              </w:rPr>
              <w:t>,</w:t>
            </w:r>
            <w:r w:rsidRPr="00EE1C73">
              <w:rPr>
                <w:rFonts w:cs="Arial"/>
                <w:szCs w:val="14"/>
              </w:rPr>
              <w:t>996</w:t>
            </w:r>
          </w:p>
        </w:tc>
      </w:tr>
      <w:tr w:rsidR="00AF04B6" w:rsidRPr="001D6BE8" w14:paraId="23340D7C"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5DE51A37" w14:textId="77777777" w:rsidR="00AF04B6" w:rsidRPr="0038031F" w:rsidRDefault="00AF04B6" w:rsidP="00716135">
            <w:pPr>
              <w:pStyle w:val="08-Tabelageral"/>
              <w:ind w:left="113"/>
              <w:jc w:val="left"/>
              <w:rPr>
                <w:b w:val="0"/>
              </w:rPr>
            </w:pPr>
            <w:r w:rsidRPr="00C27294">
              <w:rPr>
                <w:b w:val="0"/>
              </w:rPr>
              <w:t>Current tax liabilities</w:t>
            </w:r>
          </w:p>
        </w:tc>
        <w:tc>
          <w:tcPr>
            <w:tcW w:w="709" w:type="dxa"/>
            <w:tcBorders>
              <w:top w:val="nil"/>
              <w:bottom w:val="nil"/>
            </w:tcBorders>
            <w:shd w:val="clear" w:color="auto" w:fill="auto"/>
            <w:vAlign w:val="center"/>
          </w:tcPr>
          <w:p w14:paraId="392BA0F9"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696134">
              <w:t>[12.g]</w:t>
            </w:r>
          </w:p>
        </w:tc>
        <w:tc>
          <w:tcPr>
            <w:tcW w:w="1134" w:type="dxa"/>
            <w:tcBorders>
              <w:top w:val="nil"/>
              <w:left w:val="nil"/>
              <w:bottom w:val="nil"/>
              <w:right w:val="nil"/>
            </w:tcBorders>
            <w:shd w:val="clear" w:color="auto" w:fill="auto"/>
            <w:vAlign w:val="center"/>
          </w:tcPr>
          <w:p w14:paraId="59CB46FF"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773A">
              <w:rPr>
                <w:rFonts w:cs="Arial"/>
                <w:szCs w:val="14"/>
              </w:rPr>
              <w:t>31</w:t>
            </w:r>
          </w:p>
        </w:tc>
        <w:tc>
          <w:tcPr>
            <w:tcW w:w="1134" w:type="dxa"/>
            <w:tcBorders>
              <w:top w:val="nil"/>
              <w:bottom w:val="nil"/>
            </w:tcBorders>
            <w:shd w:val="clear" w:color="auto" w:fill="auto"/>
            <w:vAlign w:val="center"/>
          </w:tcPr>
          <w:p w14:paraId="666F9CF8"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444</w:t>
            </w:r>
          </w:p>
        </w:tc>
        <w:tc>
          <w:tcPr>
            <w:tcW w:w="283" w:type="dxa"/>
            <w:tcBorders>
              <w:top w:val="nil"/>
              <w:bottom w:val="nil"/>
            </w:tcBorders>
            <w:shd w:val="clear" w:color="auto" w:fill="auto"/>
            <w:vAlign w:val="center"/>
          </w:tcPr>
          <w:p w14:paraId="62E5CB5B"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24B7462A"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91FE2">
              <w:rPr>
                <w:rFonts w:cs="Arial"/>
                <w:szCs w:val="14"/>
              </w:rPr>
              <w:t>963</w:t>
            </w:r>
            <w:r>
              <w:rPr>
                <w:rFonts w:cs="Arial"/>
                <w:szCs w:val="14"/>
              </w:rPr>
              <w:t>,</w:t>
            </w:r>
            <w:r w:rsidRPr="00191FE2">
              <w:rPr>
                <w:rFonts w:cs="Arial"/>
                <w:szCs w:val="14"/>
              </w:rPr>
              <w:t>874</w:t>
            </w:r>
          </w:p>
        </w:tc>
        <w:tc>
          <w:tcPr>
            <w:tcW w:w="1064" w:type="dxa"/>
            <w:tcBorders>
              <w:top w:val="nil"/>
              <w:bottom w:val="nil"/>
            </w:tcBorders>
            <w:shd w:val="clear" w:color="auto" w:fill="auto"/>
            <w:vAlign w:val="center"/>
          </w:tcPr>
          <w:p w14:paraId="260B8683"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762</w:t>
            </w:r>
            <w:r>
              <w:rPr>
                <w:rFonts w:cs="Arial"/>
                <w:szCs w:val="14"/>
              </w:rPr>
              <w:t>,</w:t>
            </w:r>
            <w:r w:rsidRPr="00EE1C73">
              <w:rPr>
                <w:rFonts w:cs="Arial"/>
                <w:szCs w:val="14"/>
              </w:rPr>
              <w:t>519</w:t>
            </w:r>
          </w:p>
        </w:tc>
      </w:tr>
      <w:tr w:rsidR="00AF04B6" w:rsidRPr="001D6BE8" w14:paraId="4EB0D003"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EF602E0" w14:textId="77777777" w:rsidR="00AF04B6" w:rsidRPr="0038031F" w:rsidRDefault="00AF04B6" w:rsidP="00716135">
            <w:pPr>
              <w:pStyle w:val="08-Tabelageral"/>
              <w:ind w:left="113"/>
              <w:jc w:val="left"/>
              <w:rPr>
                <w:b w:val="0"/>
              </w:rPr>
            </w:pPr>
            <w:r w:rsidRPr="00C27294">
              <w:rPr>
                <w:b w:val="0"/>
              </w:rPr>
              <w:t>Unearned commissions</w:t>
            </w:r>
          </w:p>
        </w:tc>
        <w:tc>
          <w:tcPr>
            <w:tcW w:w="709" w:type="dxa"/>
            <w:tcBorders>
              <w:top w:val="nil"/>
              <w:bottom w:val="nil"/>
            </w:tcBorders>
            <w:shd w:val="clear" w:color="auto" w:fill="auto"/>
            <w:vAlign w:val="center"/>
          </w:tcPr>
          <w:p w14:paraId="5ED90106"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szCs w:val="14"/>
              </w:rPr>
            </w:pPr>
            <w:r w:rsidRPr="00696134">
              <w:t>[23]</w:t>
            </w:r>
          </w:p>
        </w:tc>
        <w:tc>
          <w:tcPr>
            <w:tcW w:w="1134" w:type="dxa"/>
            <w:tcBorders>
              <w:top w:val="nil"/>
              <w:left w:val="nil"/>
              <w:bottom w:val="nil"/>
              <w:right w:val="nil"/>
            </w:tcBorders>
            <w:shd w:val="clear" w:color="auto" w:fill="auto"/>
            <w:vAlign w:val="center"/>
          </w:tcPr>
          <w:p w14:paraId="46091F1E"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1134" w:type="dxa"/>
            <w:tcBorders>
              <w:top w:val="nil"/>
              <w:bottom w:val="nil"/>
            </w:tcBorders>
            <w:shd w:val="clear" w:color="auto" w:fill="auto"/>
            <w:vAlign w:val="center"/>
          </w:tcPr>
          <w:p w14:paraId="66FB96DD"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5CD79BBD"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567E7A60"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91FE2">
              <w:rPr>
                <w:rFonts w:cs="Arial"/>
                <w:szCs w:val="14"/>
              </w:rPr>
              <w:t>1</w:t>
            </w:r>
            <w:r>
              <w:rPr>
                <w:rFonts w:cs="Arial"/>
                <w:szCs w:val="14"/>
              </w:rPr>
              <w:t>,</w:t>
            </w:r>
            <w:r w:rsidRPr="00191FE2">
              <w:rPr>
                <w:rFonts w:cs="Arial"/>
                <w:szCs w:val="14"/>
              </w:rPr>
              <w:t>760</w:t>
            </w:r>
            <w:r>
              <w:rPr>
                <w:rFonts w:cs="Arial"/>
                <w:szCs w:val="14"/>
              </w:rPr>
              <w:t>,</w:t>
            </w:r>
            <w:r w:rsidRPr="00191FE2">
              <w:rPr>
                <w:rFonts w:cs="Arial"/>
                <w:szCs w:val="14"/>
              </w:rPr>
              <w:t>473</w:t>
            </w:r>
          </w:p>
        </w:tc>
        <w:tc>
          <w:tcPr>
            <w:tcW w:w="1064" w:type="dxa"/>
            <w:tcBorders>
              <w:top w:val="nil"/>
              <w:bottom w:val="nil"/>
            </w:tcBorders>
            <w:shd w:val="clear" w:color="auto" w:fill="auto"/>
            <w:vAlign w:val="center"/>
          </w:tcPr>
          <w:p w14:paraId="4D29911C"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F57304">
              <w:rPr>
                <w:rFonts w:cs="Arial"/>
                <w:szCs w:val="14"/>
              </w:rPr>
              <w:t>1</w:t>
            </w:r>
            <w:r>
              <w:rPr>
                <w:rFonts w:cs="Arial"/>
                <w:szCs w:val="14"/>
              </w:rPr>
              <w:t>,</w:t>
            </w:r>
            <w:r w:rsidRPr="00F57304">
              <w:rPr>
                <w:rFonts w:cs="Arial"/>
                <w:szCs w:val="14"/>
              </w:rPr>
              <w:t>172</w:t>
            </w:r>
            <w:r>
              <w:rPr>
                <w:rFonts w:cs="Arial"/>
                <w:szCs w:val="14"/>
              </w:rPr>
              <w:t>,</w:t>
            </w:r>
            <w:r w:rsidRPr="00F57304">
              <w:rPr>
                <w:rFonts w:cs="Arial"/>
                <w:szCs w:val="14"/>
              </w:rPr>
              <w:t>483</w:t>
            </w:r>
          </w:p>
        </w:tc>
      </w:tr>
      <w:tr w:rsidR="00AF04B6" w:rsidRPr="001D6BE8" w14:paraId="745D129C"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7028F20E" w14:textId="77777777" w:rsidR="00AF04B6" w:rsidRPr="0038031F" w:rsidRDefault="00AF04B6" w:rsidP="00716135">
            <w:pPr>
              <w:pStyle w:val="08-Tabelageral"/>
              <w:ind w:left="113"/>
              <w:jc w:val="left"/>
              <w:rPr>
                <w:b w:val="0"/>
              </w:rPr>
            </w:pPr>
            <w:r w:rsidRPr="00C27294">
              <w:rPr>
                <w:b w:val="0"/>
              </w:rPr>
              <w:t>Other liabilities</w:t>
            </w:r>
          </w:p>
        </w:tc>
        <w:tc>
          <w:tcPr>
            <w:tcW w:w="709" w:type="dxa"/>
            <w:tcBorders>
              <w:top w:val="nil"/>
              <w:bottom w:val="nil"/>
            </w:tcBorders>
            <w:shd w:val="clear" w:color="auto" w:fill="auto"/>
            <w:vAlign w:val="center"/>
          </w:tcPr>
          <w:p w14:paraId="6DDB03A9"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szCs w:val="14"/>
              </w:rPr>
            </w:pPr>
            <w:r w:rsidRPr="00696134">
              <w:t>[24]</w:t>
            </w:r>
          </w:p>
        </w:tc>
        <w:tc>
          <w:tcPr>
            <w:tcW w:w="1134" w:type="dxa"/>
            <w:tcBorders>
              <w:top w:val="nil"/>
              <w:left w:val="nil"/>
              <w:bottom w:val="nil"/>
              <w:right w:val="nil"/>
            </w:tcBorders>
            <w:shd w:val="clear" w:color="auto" w:fill="auto"/>
            <w:vAlign w:val="center"/>
          </w:tcPr>
          <w:p w14:paraId="06285EE9"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773A">
              <w:rPr>
                <w:rFonts w:cs="Arial"/>
                <w:szCs w:val="14"/>
              </w:rPr>
              <w:t>12</w:t>
            </w:r>
            <w:r>
              <w:rPr>
                <w:rFonts w:cs="Arial"/>
                <w:szCs w:val="14"/>
              </w:rPr>
              <w:t>,</w:t>
            </w:r>
            <w:r w:rsidRPr="008C773A">
              <w:rPr>
                <w:rFonts w:cs="Arial"/>
                <w:szCs w:val="14"/>
              </w:rPr>
              <w:t>18</w:t>
            </w:r>
            <w:r>
              <w:rPr>
                <w:rFonts w:cs="Arial"/>
                <w:szCs w:val="14"/>
              </w:rPr>
              <w:t>4</w:t>
            </w:r>
          </w:p>
        </w:tc>
        <w:tc>
          <w:tcPr>
            <w:tcW w:w="1134" w:type="dxa"/>
            <w:tcBorders>
              <w:top w:val="nil"/>
              <w:bottom w:val="nil"/>
            </w:tcBorders>
            <w:shd w:val="clear" w:color="auto" w:fill="auto"/>
            <w:vAlign w:val="center"/>
          </w:tcPr>
          <w:p w14:paraId="55CDD581"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10</w:t>
            </w:r>
            <w:r>
              <w:rPr>
                <w:rFonts w:cs="Arial"/>
                <w:szCs w:val="14"/>
              </w:rPr>
              <w:t>,</w:t>
            </w:r>
            <w:r w:rsidRPr="00EE1C73">
              <w:rPr>
                <w:rFonts w:cs="Arial"/>
                <w:szCs w:val="14"/>
              </w:rPr>
              <w:t>839</w:t>
            </w:r>
          </w:p>
        </w:tc>
        <w:tc>
          <w:tcPr>
            <w:tcW w:w="283" w:type="dxa"/>
            <w:tcBorders>
              <w:top w:val="nil"/>
              <w:bottom w:val="nil"/>
            </w:tcBorders>
            <w:shd w:val="clear" w:color="auto" w:fill="auto"/>
            <w:vAlign w:val="center"/>
          </w:tcPr>
          <w:p w14:paraId="54848CEE"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7C1F62D8"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91FE2">
              <w:rPr>
                <w:rFonts w:cs="Arial"/>
                <w:szCs w:val="14"/>
              </w:rPr>
              <w:t>105</w:t>
            </w:r>
            <w:r>
              <w:rPr>
                <w:rFonts w:cs="Arial"/>
                <w:szCs w:val="14"/>
              </w:rPr>
              <w:t>,</w:t>
            </w:r>
            <w:r w:rsidRPr="00191FE2">
              <w:rPr>
                <w:rFonts w:cs="Arial"/>
                <w:szCs w:val="14"/>
              </w:rPr>
              <w:t>36</w:t>
            </w:r>
            <w:r>
              <w:rPr>
                <w:rFonts w:cs="Arial"/>
                <w:szCs w:val="14"/>
              </w:rPr>
              <w:t>3</w:t>
            </w:r>
          </w:p>
        </w:tc>
        <w:tc>
          <w:tcPr>
            <w:tcW w:w="1064" w:type="dxa"/>
            <w:tcBorders>
              <w:top w:val="nil"/>
              <w:bottom w:val="nil"/>
            </w:tcBorders>
            <w:shd w:val="clear" w:color="auto" w:fill="auto"/>
            <w:vAlign w:val="center"/>
          </w:tcPr>
          <w:p w14:paraId="5B1FF73F"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227</w:t>
            </w:r>
            <w:r>
              <w:rPr>
                <w:rFonts w:cs="Arial"/>
                <w:szCs w:val="14"/>
              </w:rPr>
              <w:t>,</w:t>
            </w:r>
            <w:r w:rsidRPr="00EE1C73">
              <w:rPr>
                <w:rFonts w:cs="Arial"/>
                <w:szCs w:val="14"/>
              </w:rPr>
              <w:t>588</w:t>
            </w:r>
          </w:p>
        </w:tc>
      </w:tr>
      <w:tr w:rsidR="00AF04B6" w:rsidRPr="001D6BE8" w14:paraId="74EA8423" w14:textId="77777777" w:rsidTr="009E0AF2">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319FEC00" w14:textId="77777777" w:rsidR="00AF04B6" w:rsidRPr="0038031F" w:rsidRDefault="00AF04B6" w:rsidP="00716135">
            <w:pPr>
              <w:pStyle w:val="08-Tabelageral"/>
              <w:jc w:val="left"/>
              <w:rPr>
                <w:b w:val="0"/>
              </w:rPr>
            </w:pPr>
          </w:p>
        </w:tc>
        <w:tc>
          <w:tcPr>
            <w:tcW w:w="709" w:type="dxa"/>
            <w:tcBorders>
              <w:top w:val="nil"/>
              <w:bottom w:val="nil"/>
            </w:tcBorders>
            <w:shd w:val="clear" w:color="auto" w:fill="auto"/>
            <w:vAlign w:val="center"/>
          </w:tcPr>
          <w:p w14:paraId="5F2D8341"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szCs w:val="14"/>
              </w:rPr>
            </w:pPr>
          </w:p>
        </w:tc>
        <w:tc>
          <w:tcPr>
            <w:tcW w:w="1134" w:type="dxa"/>
            <w:tcBorders>
              <w:top w:val="nil"/>
              <w:bottom w:val="nil"/>
            </w:tcBorders>
            <w:shd w:val="clear" w:color="auto" w:fill="auto"/>
            <w:vAlign w:val="center"/>
          </w:tcPr>
          <w:p w14:paraId="70114AD9"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627158CC"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p>
        </w:tc>
        <w:tc>
          <w:tcPr>
            <w:tcW w:w="283" w:type="dxa"/>
            <w:tcBorders>
              <w:top w:val="nil"/>
              <w:bottom w:val="nil"/>
            </w:tcBorders>
            <w:shd w:val="clear" w:color="auto" w:fill="auto"/>
            <w:vAlign w:val="center"/>
          </w:tcPr>
          <w:p w14:paraId="31686E97"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E676097"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4" w:type="dxa"/>
            <w:tcBorders>
              <w:top w:val="nil"/>
              <w:bottom w:val="nil"/>
            </w:tcBorders>
            <w:shd w:val="clear" w:color="auto" w:fill="auto"/>
            <w:vAlign w:val="center"/>
          </w:tcPr>
          <w:p w14:paraId="2EF12A24"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p>
        </w:tc>
      </w:tr>
      <w:tr w:rsidR="00AF04B6" w:rsidRPr="00E62509" w14:paraId="2BAE79AE" w14:textId="77777777" w:rsidTr="009E0AF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3DC237B" w14:textId="77777777" w:rsidR="00AF04B6" w:rsidRPr="00E62509" w:rsidRDefault="00AF04B6" w:rsidP="00716135">
            <w:pPr>
              <w:pStyle w:val="08-Tabelageral"/>
              <w:jc w:val="left"/>
            </w:pPr>
            <w:r w:rsidRPr="00C27294">
              <w:t>Non-Current Liabilities</w:t>
            </w:r>
          </w:p>
        </w:tc>
        <w:tc>
          <w:tcPr>
            <w:tcW w:w="709" w:type="dxa"/>
            <w:tcBorders>
              <w:top w:val="nil"/>
              <w:bottom w:val="nil"/>
            </w:tcBorders>
            <w:shd w:val="clear" w:color="auto" w:fill="auto"/>
            <w:vAlign w:val="center"/>
          </w:tcPr>
          <w:p w14:paraId="0F4A0DC3" w14:textId="77777777" w:rsidR="00AF04B6" w:rsidRPr="00E6250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b/>
                <w:szCs w:val="14"/>
              </w:rPr>
            </w:pPr>
          </w:p>
        </w:tc>
        <w:tc>
          <w:tcPr>
            <w:tcW w:w="1134" w:type="dxa"/>
            <w:tcBorders>
              <w:top w:val="nil"/>
              <w:bottom w:val="nil"/>
            </w:tcBorders>
            <w:shd w:val="clear" w:color="auto" w:fill="auto"/>
            <w:vAlign w:val="center"/>
          </w:tcPr>
          <w:p w14:paraId="26FEB0C8" w14:textId="77777777" w:rsidR="00AF04B6" w:rsidRPr="006B5975"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C773A">
              <w:rPr>
                <w:rFonts w:cs="Arial"/>
                <w:b/>
                <w:szCs w:val="14"/>
              </w:rPr>
              <w:t>28</w:t>
            </w:r>
          </w:p>
        </w:tc>
        <w:tc>
          <w:tcPr>
            <w:tcW w:w="1134" w:type="dxa"/>
            <w:tcBorders>
              <w:top w:val="nil"/>
              <w:bottom w:val="nil"/>
            </w:tcBorders>
            <w:shd w:val="clear" w:color="auto" w:fill="auto"/>
            <w:vAlign w:val="center"/>
          </w:tcPr>
          <w:p w14:paraId="13D0B250" w14:textId="77777777" w:rsidR="00AF04B6" w:rsidRPr="006B5975"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b/>
                <w:bCs/>
              </w:rPr>
            </w:pPr>
            <w:r w:rsidRPr="00EE1C73">
              <w:rPr>
                <w:rFonts w:cs="Arial"/>
                <w:b/>
                <w:szCs w:val="14"/>
              </w:rPr>
              <w:t>28</w:t>
            </w:r>
          </w:p>
        </w:tc>
        <w:tc>
          <w:tcPr>
            <w:tcW w:w="283" w:type="dxa"/>
            <w:tcBorders>
              <w:top w:val="nil"/>
              <w:bottom w:val="nil"/>
            </w:tcBorders>
            <w:shd w:val="clear" w:color="auto" w:fill="auto"/>
            <w:vAlign w:val="center"/>
          </w:tcPr>
          <w:p w14:paraId="48556FBE" w14:textId="77777777" w:rsidR="00AF04B6" w:rsidRPr="006B5975"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134" w:type="dxa"/>
            <w:tcBorders>
              <w:top w:val="nil"/>
              <w:bottom w:val="nil"/>
            </w:tcBorders>
            <w:shd w:val="clear" w:color="auto" w:fill="auto"/>
            <w:vAlign w:val="center"/>
          </w:tcPr>
          <w:p w14:paraId="10ACAD35" w14:textId="77777777" w:rsidR="00AF04B6" w:rsidRPr="006B5975"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91FE2">
              <w:rPr>
                <w:rFonts w:cs="Arial"/>
                <w:b/>
                <w:bCs/>
                <w:szCs w:val="14"/>
              </w:rPr>
              <w:t>2</w:t>
            </w:r>
            <w:r>
              <w:rPr>
                <w:rFonts w:cs="Arial"/>
                <w:b/>
                <w:bCs/>
                <w:szCs w:val="14"/>
              </w:rPr>
              <w:t>,</w:t>
            </w:r>
            <w:r w:rsidRPr="00191FE2">
              <w:rPr>
                <w:rFonts w:cs="Arial"/>
                <w:b/>
                <w:bCs/>
                <w:szCs w:val="14"/>
              </w:rPr>
              <w:t>025</w:t>
            </w:r>
            <w:r>
              <w:rPr>
                <w:rFonts w:cs="Arial"/>
                <w:b/>
                <w:bCs/>
                <w:szCs w:val="14"/>
              </w:rPr>
              <w:t>,</w:t>
            </w:r>
            <w:r w:rsidRPr="00191FE2">
              <w:rPr>
                <w:rFonts w:cs="Arial"/>
                <w:b/>
                <w:bCs/>
                <w:szCs w:val="14"/>
              </w:rPr>
              <w:t>563</w:t>
            </w:r>
          </w:p>
        </w:tc>
        <w:tc>
          <w:tcPr>
            <w:tcW w:w="1064" w:type="dxa"/>
            <w:tcBorders>
              <w:top w:val="nil"/>
              <w:bottom w:val="nil"/>
            </w:tcBorders>
            <w:shd w:val="clear" w:color="auto" w:fill="auto"/>
            <w:vAlign w:val="center"/>
          </w:tcPr>
          <w:p w14:paraId="4B7D9448" w14:textId="77777777" w:rsidR="00AF04B6" w:rsidRPr="006B5975"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b/>
                <w:bCs/>
              </w:rPr>
            </w:pPr>
            <w:r w:rsidRPr="00F57304">
              <w:rPr>
                <w:rFonts w:cs="Arial"/>
                <w:b/>
                <w:bCs/>
                <w:szCs w:val="14"/>
              </w:rPr>
              <w:t>2</w:t>
            </w:r>
            <w:r>
              <w:rPr>
                <w:rFonts w:cs="Arial"/>
                <w:b/>
                <w:bCs/>
                <w:szCs w:val="14"/>
              </w:rPr>
              <w:t>,</w:t>
            </w:r>
            <w:r w:rsidRPr="00F57304">
              <w:rPr>
                <w:rFonts w:cs="Arial"/>
                <w:b/>
                <w:bCs/>
                <w:szCs w:val="14"/>
              </w:rPr>
              <w:t>033</w:t>
            </w:r>
            <w:r>
              <w:rPr>
                <w:rFonts w:cs="Arial"/>
                <w:b/>
                <w:bCs/>
                <w:szCs w:val="14"/>
              </w:rPr>
              <w:t>,</w:t>
            </w:r>
            <w:r w:rsidRPr="00F57304">
              <w:rPr>
                <w:rFonts w:cs="Arial"/>
                <w:b/>
                <w:bCs/>
                <w:szCs w:val="14"/>
              </w:rPr>
              <w:t>528</w:t>
            </w:r>
          </w:p>
        </w:tc>
      </w:tr>
      <w:tr w:rsidR="00AF04B6" w:rsidRPr="001D6BE8" w14:paraId="6950FFDD"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5F7ED4C9" w14:textId="77777777" w:rsidR="00AF04B6" w:rsidRPr="0038031F" w:rsidRDefault="00AF04B6" w:rsidP="00716135">
            <w:pPr>
              <w:pStyle w:val="08-Tabelageral"/>
              <w:ind w:left="113"/>
              <w:jc w:val="left"/>
              <w:rPr>
                <w:b w:val="0"/>
              </w:rPr>
            </w:pPr>
            <w:r w:rsidRPr="00C27294">
              <w:rPr>
                <w:b w:val="0"/>
              </w:rPr>
              <w:t>Contingent liabilities</w:t>
            </w:r>
          </w:p>
        </w:tc>
        <w:tc>
          <w:tcPr>
            <w:tcW w:w="709" w:type="dxa"/>
            <w:tcBorders>
              <w:top w:val="nil"/>
              <w:bottom w:val="nil"/>
            </w:tcBorders>
            <w:shd w:val="clear" w:color="auto" w:fill="auto"/>
            <w:vAlign w:val="center"/>
          </w:tcPr>
          <w:p w14:paraId="1FB6154A"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szCs w:val="14"/>
              </w:rPr>
            </w:pPr>
            <w:r w:rsidRPr="005D7FD0">
              <w:t>[22]</w:t>
            </w:r>
          </w:p>
        </w:tc>
        <w:tc>
          <w:tcPr>
            <w:tcW w:w="1134" w:type="dxa"/>
            <w:tcBorders>
              <w:top w:val="nil"/>
              <w:bottom w:val="nil"/>
            </w:tcBorders>
            <w:shd w:val="clear" w:color="auto" w:fill="auto"/>
            <w:vAlign w:val="center"/>
          </w:tcPr>
          <w:p w14:paraId="275B6B6F"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8C773A">
              <w:rPr>
                <w:rFonts w:cs="Arial"/>
                <w:szCs w:val="14"/>
              </w:rPr>
              <w:t>28</w:t>
            </w:r>
          </w:p>
        </w:tc>
        <w:tc>
          <w:tcPr>
            <w:tcW w:w="1134" w:type="dxa"/>
            <w:tcBorders>
              <w:top w:val="nil"/>
              <w:bottom w:val="nil"/>
            </w:tcBorders>
            <w:shd w:val="clear" w:color="auto" w:fill="auto"/>
            <w:vAlign w:val="center"/>
          </w:tcPr>
          <w:p w14:paraId="793559F6"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28</w:t>
            </w:r>
          </w:p>
        </w:tc>
        <w:tc>
          <w:tcPr>
            <w:tcW w:w="283" w:type="dxa"/>
            <w:tcBorders>
              <w:top w:val="nil"/>
              <w:bottom w:val="nil"/>
            </w:tcBorders>
            <w:shd w:val="clear" w:color="auto" w:fill="auto"/>
            <w:vAlign w:val="center"/>
          </w:tcPr>
          <w:p w14:paraId="0EC92E01"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56F684C0"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91FE2">
              <w:rPr>
                <w:rFonts w:cs="Arial"/>
                <w:szCs w:val="14"/>
              </w:rPr>
              <w:t>9</w:t>
            </w:r>
            <w:r>
              <w:rPr>
                <w:rFonts w:cs="Arial"/>
                <w:szCs w:val="14"/>
              </w:rPr>
              <w:t>,</w:t>
            </w:r>
            <w:r w:rsidRPr="00191FE2">
              <w:rPr>
                <w:rFonts w:cs="Arial"/>
                <w:szCs w:val="14"/>
              </w:rPr>
              <w:t>451</w:t>
            </w:r>
          </w:p>
        </w:tc>
        <w:tc>
          <w:tcPr>
            <w:tcW w:w="1064" w:type="dxa"/>
            <w:tcBorders>
              <w:top w:val="nil"/>
              <w:bottom w:val="nil"/>
            </w:tcBorders>
            <w:shd w:val="clear" w:color="auto" w:fill="auto"/>
            <w:vAlign w:val="center"/>
          </w:tcPr>
          <w:p w14:paraId="4A4F8FEB"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10</w:t>
            </w:r>
            <w:r>
              <w:rPr>
                <w:rFonts w:cs="Arial"/>
                <w:szCs w:val="14"/>
              </w:rPr>
              <w:t>,</w:t>
            </w:r>
            <w:r w:rsidRPr="00EE1C73">
              <w:rPr>
                <w:rFonts w:cs="Arial"/>
                <w:szCs w:val="14"/>
              </w:rPr>
              <w:t>419</w:t>
            </w:r>
          </w:p>
        </w:tc>
      </w:tr>
      <w:tr w:rsidR="00AF04B6" w:rsidRPr="001D6BE8" w14:paraId="04923A51"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374A4CA" w14:textId="77777777" w:rsidR="00AF04B6" w:rsidRPr="0038031F" w:rsidRDefault="00AF04B6" w:rsidP="00716135">
            <w:pPr>
              <w:pStyle w:val="08-Tabelageral"/>
              <w:ind w:left="113"/>
              <w:jc w:val="left"/>
              <w:rPr>
                <w:b w:val="0"/>
              </w:rPr>
            </w:pPr>
            <w:r>
              <w:rPr>
                <w:b w:val="0"/>
              </w:rPr>
              <w:t>Deferred</w:t>
            </w:r>
            <w:r w:rsidRPr="00C27294">
              <w:rPr>
                <w:b w:val="0"/>
              </w:rPr>
              <w:t xml:space="preserve"> tax liabilities</w:t>
            </w:r>
          </w:p>
        </w:tc>
        <w:tc>
          <w:tcPr>
            <w:tcW w:w="709" w:type="dxa"/>
            <w:tcBorders>
              <w:top w:val="nil"/>
              <w:bottom w:val="nil"/>
            </w:tcBorders>
            <w:shd w:val="clear" w:color="auto" w:fill="auto"/>
            <w:vAlign w:val="center"/>
          </w:tcPr>
          <w:p w14:paraId="0CE2BB9E"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szCs w:val="14"/>
              </w:rPr>
            </w:pPr>
            <w:r w:rsidRPr="005D7FD0">
              <w:t>[12.h]</w:t>
            </w:r>
          </w:p>
        </w:tc>
        <w:tc>
          <w:tcPr>
            <w:tcW w:w="1134" w:type="dxa"/>
            <w:tcBorders>
              <w:top w:val="nil"/>
              <w:bottom w:val="nil"/>
            </w:tcBorders>
            <w:shd w:val="clear" w:color="auto" w:fill="auto"/>
            <w:vAlign w:val="center"/>
          </w:tcPr>
          <w:p w14:paraId="714454E4"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134" w:type="dxa"/>
            <w:tcBorders>
              <w:top w:val="nil"/>
              <w:bottom w:val="nil"/>
            </w:tcBorders>
            <w:shd w:val="clear" w:color="auto" w:fill="auto"/>
            <w:vAlign w:val="center"/>
          </w:tcPr>
          <w:p w14:paraId="6579AD61"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07FD5A80"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1D85A86F"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91FE2">
              <w:rPr>
                <w:rFonts w:cs="Arial"/>
                <w:szCs w:val="14"/>
              </w:rPr>
              <w:t>228</w:t>
            </w:r>
            <w:r>
              <w:rPr>
                <w:rFonts w:cs="Arial"/>
                <w:szCs w:val="14"/>
              </w:rPr>
              <w:t>,</w:t>
            </w:r>
            <w:r w:rsidRPr="00191FE2">
              <w:rPr>
                <w:rFonts w:cs="Arial"/>
                <w:szCs w:val="14"/>
              </w:rPr>
              <w:t>565</w:t>
            </w:r>
          </w:p>
        </w:tc>
        <w:tc>
          <w:tcPr>
            <w:tcW w:w="1064" w:type="dxa"/>
            <w:tcBorders>
              <w:top w:val="nil"/>
              <w:bottom w:val="nil"/>
            </w:tcBorders>
            <w:shd w:val="clear" w:color="auto" w:fill="auto"/>
            <w:vAlign w:val="center"/>
          </w:tcPr>
          <w:p w14:paraId="2B9B6C30"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228</w:t>
            </w:r>
            <w:r>
              <w:rPr>
                <w:rFonts w:cs="Arial"/>
                <w:szCs w:val="14"/>
              </w:rPr>
              <w:t>,</w:t>
            </w:r>
            <w:r w:rsidRPr="00EE1C73">
              <w:rPr>
                <w:rFonts w:cs="Arial"/>
                <w:szCs w:val="14"/>
              </w:rPr>
              <w:t>565</w:t>
            </w:r>
          </w:p>
        </w:tc>
      </w:tr>
      <w:tr w:rsidR="00AF04B6" w:rsidRPr="001D6BE8" w14:paraId="0742E035"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78D3F6D6" w14:textId="77777777" w:rsidR="00AF04B6" w:rsidRPr="0038031F" w:rsidRDefault="00AF04B6" w:rsidP="00716135">
            <w:pPr>
              <w:pStyle w:val="08-Tabelageral"/>
              <w:ind w:left="113"/>
              <w:jc w:val="left"/>
              <w:rPr>
                <w:b w:val="0"/>
              </w:rPr>
            </w:pPr>
            <w:r w:rsidRPr="00C27294">
              <w:rPr>
                <w:b w:val="0"/>
              </w:rPr>
              <w:t>Unearned commissions</w:t>
            </w:r>
          </w:p>
        </w:tc>
        <w:tc>
          <w:tcPr>
            <w:tcW w:w="709" w:type="dxa"/>
            <w:tcBorders>
              <w:top w:val="nil"/>
              <w:bottom w:val="nil"/>
            </w:tcBorders>
            <w:shd w:val="clear" w:color="auto" w:fill="auto"/>
            <w:vAlign w:val="center"/>
          </w:tcPr>
          <w:p w14:paraId="76B15F88"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szCs w:val="14"/>
              </w:rPr>
            </w:pPr>
            <w:r w:rsidRPr="005D7FD0">
              <w:t>[23]</w:t>
            </w:r>
          </w:p>
        </w:tc>
        <w:tc>
          <w:tcPr>
            <w:tcW w:w="1134" w:type="dxa"/>
            <w:tcBorders>
              <w:top w:val="nil"/>
              <w:bottom w:val="nil"/>
            </w:tcBorders>
            <w:shd w:val="clear" w:color="auto" w:fill="auto"/>
            <w:vAlign w:val="center"/>
          </w:tcPr>
          <w:p w14:paraId="0DAAE4E9"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1134" w:type="dxa"/>
            <w:tcBorders>
              <w:top w:val="nil"/>
              <w:bottom w:val="nil"/>
            </w:tcBorders>
            <w:shd w:val="clear" w:color="auto" w:fill="auto"/>
            <w:vAlign w:val="center"/>
          </w:tcPr>
          <w:p w14:paraId="701C85E6"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1149BECB"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55293D7F"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91FE2">
              <w:rPr>
                <w:rFonts w:cs="Arial"/>
                <w:szCs w:val="14"/>
              </w:rPr>
              <w:t>1</w:t>
            </w:r>
            <w:r>
              <w:rPr>
                <w:rFonts w:cs="Arial"/>
                <w:szCs w:val="14"/>
              </w:rPr>
              <w:t>,</w:t>
            </w:r>
            <w:r w:rsidRPr="00191FE2">
              <w:rPr>
                <w:rFonts w:cs="Arial"/>
                <w:szCs w:val="14"/>
              </w:rPr>
              <w:t>787</w:t>
            </w:r>
            <w:r>
              <w:rPr>
                <w:rFonts w:cs="Arial"/>
                <w:szCs w:val="14"/>
              </w:rPr>
              <w:t>,</w:t>
            </w:r>
            <w:r w:rsidRPr="00191FE2">
              <w:rPr>
                <w:rFonts w:cs="Arial"/>
                <w:szCs w:val="14"/>
              </w:rPr>
              <w:t>547</w:t>
            </w:r>
          </w:p>
        </w:tc>
        <w:tc>
          <w:tcPr>
            <w:tcW w:w="1064" w:type="dxa"/>
            <w:tcBorders>
              <w:top w:val="nil"/>
              <w:bottom w:val="nil"/>
            </w:tcBorders>
            <w:shd w:val="clear" w:color="auto" w:fill="auto"/>
            <w:vAlign w:val="center"/>
          </w:tcPr>
          <w:p w14:paraId="2A29237B"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F57304">
              <w:rPr>
                <w:rFonts w:cs="Arial"/>
                <w:szCs w:val="14"/>
              </w:rPr>
              <w:t>1</w:t>
            </w:r>
            <w:r>
              <w:rPr>
                <w:rFonts w:cs="Arial"/>
                <w:szCs w:val="14"/>
              </w:rPr>
              <w:t>,</w:t>
            </w:r>
            <w:r w:rsidRPr="00F57304">
              <w:rPr>
                <w:rFonts w:cs="Arial"/>
                <w:szCs w:val="14"/>
              </w:rPr>
              <w:t>794</w:t>
            </w:r>
            <w:r>
              <w:rPr>
                <w:rFonts w:cs="Arial"/>
                <w:szCs w:val="14"/>
              </w:rPr>
              <w:t>,</w:t>
            </w:r>
            <w:r w:rsidRPr="00F57304">
              <w:rPr>
                <w:rFonts w:cs="Arial"/>
                <w:szCs w:val="14"/>
              </w:rPr>
              <w:t>544</w:t>
            </w:r>
          </w:p>
        </w:tc>
      </w:tr>
      <w:tr w:rsidR="00AF04B6" w:rsidRPr="001D6BE8" w14:paraId="4EAD5034" w14:textId="77777777" w:rsidTr="009E0AF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B9FFF69" w14:textId="77777777" w:rsidR="00AF04B6" w:rsidRPr="0038031F" w:rsidRDefault="00AF04B6" w:rsidP="00716135">
            <w:pPr>
              <w:pStyle w:val="08-Tabelageral"/>
              <w:jc w:val="left"/>
              <w:rPr>
                <w:b w:val="0"/>
              </w:rPr>
            </w:pPr>
          </w:p>
        </w:tc>
        <w:tc>
          <w:tcPr>
            <w:tcW w:w="709" w:type="dxa"/>
            <w:tcBorders>
              <w:top w:val="nil"/>
              <w:bottom w:val="nil"/>
            </w:tcBorders>
            <w:shd w:val="clear" w:color="auto" w:fill="auto"/>
            <w:vAlign w:val="center"/>
          </w:tcPr>
          <w:p w14:paraId="341634CA"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134" w:type="dxa"/>
            <w:tcBorders>
              <w:top w:val="nil"/>
              <w:bottom w:val="nil"/>
            </w:tcBorders>
            <w:shd w:val="clear" w:color="auto" w:fill="auto"/>
            <w:vAlign w:val="center"/>
          </w:tcPr>
          <w:p w14:paraId="52F3F476"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73F62CDA"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4623AD2B"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61B71BC4"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4" w:type="dxa"/>
            <w:tcBorders>
              <w:top w:val="nil"/>
              <w:bottom w:val="nil"/>
            </w:tcBorders>
            <w:shd w:val="clear" w:color="auto" w:fill="auto"/>
            <w:vAlign w:val="center"/>
          </w:tcPr>
          <w:p w14:paraId="48B1238A"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p>
        </w:tc>
      </w:tr>
      <w:tr w:rsidR="00AF04B6" w:rsidRPr="001D6BE8" w14:paraId="126AA9A6" w14:textId="77777777" w:rsidTr="009E0AF2">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9EACA62" w14:textId="77777777" w:rsidR="00AF04B6" w:rsidRPr="00CD3714" w:rsidRDefault="00AF04B6" w:rsidP="00716135">
            <w:pPr>
              <w:pStyle w:val="08-Tabelageral"/>
              <w:jc w:val="left"/>
            </w:pPr>
            <w:r w:rsidRPr="00C27294">
              <w:t>Total Liabilities</w:t>
            </w:r>
          </w:p>
        </w:tc>
        <w:tc>
          <w:tcPr>
            <w:tcW w:w="709" w:type="dxa"/>
            <w:tcBorders>
              <w:top w:val="nil"/>
              <w:bottom w:val="nil"/>
            </w:tcBorders>
            <w:shd w:val="clear" w:color="auto" w:fill="auto"/>
            <w:vAlign w:val="center"/>
          </w:tcPr>
          <w:p w14:paraId="6F62F63A"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szCs w:val="14"/>
              </w:rPr>
            </w:pPr>
          </w:p>
        </w:tc>
        <w:tc>
          <w:tcPr>
            <w:tcW w:w="1134" w:type="dxa"/>
            <w:tcBorders>
              <w:top w:val="nil"/>
              <w:bottom w:val="nil"/>
            </w:tcBorders>
            <w:shd w:val="clear" w:color="auto" w:fill="auto"/>
            <w:vAlign w:val="center"/>
          </w:tcPr>
          <w:p w14:paraId="428D0D1A"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8C773A">
              <w:rPr>
                <w:rFonts w:cs="Arial"/>
                <w:b/>
                <w:szCs w:val="14"/>
              </w:rPr>
              <w:t>3</w:t>
            </w:r>
            <w:r>
              <w:rPr>
                <w:rFonts w:cs="Arial"/>
                <w:b/>
                <w:szCs w:val="14"/>
              </w:rPr>
              <w:t>,</w:t>
            </w:r>
            <w:r w:rsidRPr="008C773A">
              <w:rPr>
                <w:rFonts w:cs="Arial"/>
                <w:b/>
                <w:szCs w:val="14"/>
              </w:rPr>
              <w:t>686</w:t>
            </w:r>
            <w:r>
              <w:rPr>
                <w:rFonts w:cs="Arial"/>
                <w:b/>
                <w:szCs w:val="14"/>
              </w:rPr>
              <w:t>,</w:t>
            </w:r>
            <w:r w:rsidRPr="008C773A">
              <w:rPr>
                <w:rFonts w:cs="Arial"/>
                <w:b/>
                <w:szCs w:val="14"/>
              </w:rPr>
              <w:t>32</w:t>
            </w:r>
            <w:r>
              <w:rPr>
                <w:rFonts w:cs="Arial"/>
                <w:b/>
                <w:szCs w:val="14"/>
              </w:rPr>
              <w:t>3</w:t>
            </w:r>
          </w:p>
        </w:tc>
        <w:tc>
          <w:tcPr>
            <w:tcW w:w="1134" w:type="dxa"/>
            <w:tcBorders>
              <w:top w:val="nil"/>
              <w:bottom w:val="nil"/>
            </w:tcBorders>
            <w:shd w:val="clear" w:color="auto" w:fill="auto"/>
            <w:vAlign w:val="center"/>
          </w:tcPr>
          <w:p w14:paraId="383C6601"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szCs w:val="14"/>
              </w:rPr>
              <w:t>1</w:t>
            </w:r>
            <w:r>
              <w:rPr>
                <w:rFonts w:cs="Arial"/>
                <w:b/>
                <w:szCs w:val="14"/>
              </w:rPr>
              <w:t>,</w:t>
            </w:r>
            <w:r w:rsidRPr="00EE1C73">
              <w:rPr>
                <w:rFonts w:cs="Arial"/>
                <w:b/>
                <w:szCs w:val="14"/>
              </w:rPr>
              <w:t>843</w:t>
            </w:r>
            <w:r>
              <w:rPr>
                <w:rFonts w:cs="Arial"/>
                <w:b/>
                <w:szCs w:val="14"/>
              </w:rPr>
              <w:t>,</w:t>
            </w:r>
            <w:r w:rsidRPr="00EE1C73">
              <w:rPr>
                <w:rFonts w:cs="Arial"/>
                <w:b/>
                <w:szCs w:val="14"/>
              </w:rPr>
              <w:t>002</w:t>
            </w:r>
          </w:p>
        </w:tc>
        <w:tc>
          <w:tcPr>
            <w:tcW w:w="283" w:type="dxa"/>
            <w:tcBorders>
              <w:top w:val="nil"/>
              <w:bottom w:val="nil"/>
            </w:tcBorders>
            <w:shd w:val="clear" w:color="auto" w:fill="auto"/>
            <w:vAlign w:val="center"/>
          </w:tcPr>
          <w:p w14:paraId="0021F9C0"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134" w:type="dxa"/>
            <w:tcBorders>
              <w:top w:val="nil"/>
              <w:bottom w:val="nil"/>
            </w:tcBorders>
            <w:shd w:val="clear" w:color="auto" w:fill="auto"/>
            <w:vAlign w:val="center"/>
          </w:tcPr>
          <w:p w14:paraId="3276F5DF"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191FE2">
              <w:rPr>
                <w:rFonts w:cs="Arial"/>
                <w:b/>
                <w:bCs/>
                <w:szCs w:val="14"/>
              </w:rPr>
              <w:t>8</w:t>
            </w:r>
            <w:r>
              <w:rPr>
                <w:rFonts w:cs="Arial"/>
                <w:b/>
                <w:bCs/>
                <w:szCs w:val="14"/>
              </w:rPr>
              <w:t>,</w:t>
            </w:r>
            <w:r w:rsidRPr="00191FE2">
              <w:rPr>
                <w:rFonts w:cs="Arial"/>
                <w:b/>
                <w:bCs/>
                <w:szCs w:val="14"/>
              </w:rPr>
              <w:t>533</w:t>
            </w:r>
            <w:r>
              <w:rPr>
                <w:rFonts w:cs="Arial"/>
                <w:b/>
                <w:bCs/>
                <w:szCs w:val="14"/>
              </w:rPr>
              <w:t>,</w:t>
            </w:r>
            <w:r w:rsidRPr="00191FE2">
              <w:rPr>
                <w:rFonts w:cs="Arial"/>
                <w:b/>
                <w:bCs/>
                <w:szCs w:val="14"/>
              </w:rPr>
              <w:t>73</w:t>
            </w:r>
            <w:r>
              <w:rPr>
                <w:rFonts w:cs="Arial"/>
                <w:b/>
                <w:bCs/>
                <w:szCs w:val="14"/>
              </w:rPr>
              <w:t>1</w:t>
            </w:r>
          </w:p>
        </w:tc>
        <w:tc>
          <w:tcPr>
            <w:tcW w:w="1064" w:type="dxa"/>
            <w:tcBorders>
              <w:top w:val="nil"/>
              <w:bottom w:val="nil"/>
            </w:tcBorders>
            <w:shd w:val="clear" w:color="auto" w:fill="auto"/>
            <w:vAlign w:val="center"/>
          </w:tcPr>
          <w:p w14:paraId="18C32B8E"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bCs/>
                <w:szCs w:val="14"/>
              </w:rPr>
              <w:t>6</w:t>
            </w:r>
            <w:r>
              <w:rPr>
                <w:rFonts w:cs="Arial"/>
                <w:b/>
                <w:bCs/>
                <w:szCs w:val="14"/>
              </w:rPr>
              <w:t>,</w:t>
            </w:r>
            <w:r w:rsidRPr="00EE1C73">
              <w:rPr>
                <w:rFonts w:cs="Arial"/>
                <w:b/>
                <w:bCs/>
                <w:szCs w:val="14"/>
              </w:rPr>
              <w:t>032</w:t>
            </w:r>
            <w:r>
              <w:rPr>
                <w:rFonts w:cs="Arial"/>
                <w:b/>
                <w:bCs/>
                <w:szCs w:val="14"/>
              </w:rPr>
              <w:t>,</w:t>
            </w:r>
            <w:r w:rsidRPr="00EE1C73">
              <w:rPr>
                <w:rFonts w:cs="Arial"/>
                <w:b/>
                <w:bCs/>
                <w:szCs w:val="14"/>
              </w:rPr>
              <w:t>805</w:t>
            </w:r>
          </w:p>
        </w:tc>
      </w:tr>
      <w:tr w:rsidR="00AF04B6" w:rsidRPr="001D6BE8" w14:paraId="401DDE6F" w14:textId="77777777" w:rsidTr="009E0AF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0FB0E96" w14:textId="77777777" w:rsidR="00AF04B6" w:rsidRPr="0038031F" w:rsidRDefault="00AF04B6" w:rsidP="00716135">
            <w:pPr>
              <w:pStyle w:val="08-Tabelageral"/>
              <w:jc w:val="left"/>
              <w:rPr>
                <w:b w:val="0"/>
              </w:rPr>
            </w:pPr>
          </w:p>
        </w:tc>
        <w:tc>
          <w:tcPr>
            <w:tcW w:w="709" w:type="dxa"/>
            <w:tcBorders>
              <w:top w:val="nil"/>
              <w:bottom w:val="nil"/>
            </w:tcBorders>
            <w:shd w:val="clear" w:color="auto" w:fill="auto"/>
            <w:vAlign w:val="center"/>
          </w:tcPr>
          <w:p w14:paraId="5A6B5CB1"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134" w:type="dxa"/>
            <w:tcBorders>
              <w:top w:val="nil"/>
              <w:bottom w:val="nil"/>
            </w:tcBorders>
            <w:shd w:val="clear" w:color="auto" w:fill="auto"/>
            <w:vAlign w:val="center"/>
          </w:tcPr>
          <w:p w14:paraId="63CFE816"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3A078283"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4D26B25B"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609533EF"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4" w:type="dxa"/>
            <w:tcBorders>
              <w:top w:val="nil"/>
              <w:bottom w:val="nil"/>
            </w:tcBorders>
            <w:shd w:val="clear" w:color="auto" w:fill="auto"/>
            <w:vAlign w:val="center"/>
          </w:tcPr>
          <w:p w14:paraId="56F640B9"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p>
        </w:tc>
      </w:tr>
      <w:tr w:rsidR="00AF04B6" w:rsidRPr="001D6BE8" w14:paraId="11BFE42D"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54EB315F" w14:textId="77777777" w:rsidR="00AF04B6" w:rsidRPr="00CD3714" w:rsidRDefault="00AF04B6" w:rsidP="00716135">
            <w:pPr>
              <w:pStyle w:val="08-Tabelageral"/>
              <w:jc w:val="left"/>
            </w:pPr>
            <w:r w:rsidRPr="00C27294">
              <w:t>Equity</w:t>
            </w:r>
          </w:p>
        </w:tc>
        <w:tc>
          <w:tcPr>
            <w:tcW w:w="709" w:type="dxa"/>
            <w:tcBorders>
              <w:top w:val="nil"/>
              <w:bottom w:val="nil"/>
            </w:tcBorders>
            <w:shd w:val="clear" w:color="auto" w:fill="auto"/>
            <w:vAlign w:val="center"/>
          </w:tcPr>
          <w:p w14:paraId="5DD1FCAD"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szCs w:val="14"/>
              </w:rPr>
            </w:pPr>
          </w:p>
        </w:tc>
        <w:tc>
          <w:tcPr>
            <w:tcW w:w="1134" w:type="dxa"/>
            <w:tcBorders>
              <w:top w:val="nil"/>
              <w:left w:val="nil"/>
              <w:bottom w:val="nil"/>
              <w:right w:val="nil"/>
            </w:tcBorders>
            <w:shd w:val="clear" w:color="auto" w:fill="auto"/>
            <w:vAlign w:val="center"/>
          </w:tcPr>
          <w:p w14:paraId="5BD759A7"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AA591E">
              <w:rPr>
                <w:rFonts w:cs="Arial"/>
                <w:b/>
                <w:bCs/>
                <w:szCs w:val="14"/>
              </w:rPr>
              <w:t>7</w:t>
            </w:r>
            <w:r>
              <w:rPr>
                <w:rFonts w:cs="Arial"/>
                <w:b/>
                <w:bCs/>
                <w:szCs w:val="14"/>
              </w:rPr>
              <w:t>,</w:t>
            </w:r>
            <w:r w:rsidRPr="00AA591E">
              <w:rPr>
                <w:rFonts w:cs="Arial"/>
                <w:b/>
                <w:bCs/>
                <w:szCs w:val="14"/>
              </w:rPr>
              <w:t>596</w:t>
            </w:r>
            <w:r>
              <w:rPr>
                <w:rFonts w:cs="Arial"/>
                <w:b/>
                <w:bCs/>
                <w:szCs w:val="14"/>
              </w:rPr>
              <w:t>,</w:t>
            </w:r>
            <w:r w:rsidRPr="00AA591E">
              <w:rPr>
                <w:rFonts w:cs="Arial"/>
                <w:b/>
                <w:bCs/>
                <w:szCs w:val="14"/>
              </w:rPr>
              <w:t>10</w:t>
            </w:r>
            <w:r>
              <w:rPr>
                <w:rFonts w:cs="Arial"/>
                <w:b/>
                <w:bCs/>
                <w:szCs w:val="14"/>
              </w:rPr>
              <w:t>1</w:t>
            </w:r>
          </w:p>
        </w:tc>
        <w:tc>
          <w:tcPr>
            <w:tcW w:w="1134" w:type="dxa"/>
            <w:tcBorders>
              <w:top w:val="nil"/>
              <w:bottom w:val="nil"/>
            </w:tcBorders>
            <w:shd w:val="clear" w:color="auto" w:fill="auto"/>
            <w:vAlign w:val="center"/>
          </w:tcPr>
          <w:p w14:paraId="6F974F94"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bCs/>
                <w:szCs w:val="14"/>
              </w:rPr>
              <w:t>7</w:t>
            </w:r>
            <w:r>
              <w:rPr>
                <w:rFonts w:cs="Arial"/>
                <w:b/>
                <w:bCs/>
                <w:szCs w:val="14"/>
              </w:rPr>
              <w:t>,</w:t>
            </w:r>
            <w:r w:rsidRPr="00EE1C73">
              <w:rPr>
                <w:rFonts w:cs="Arial"/>
                <w:b/>
                <w:bCs/>
                <w:szCs w:val="14"/>
              </w:rPr>
              <w:t>281</w:t>
            </w:r>
            <w:r>
              <w:rPr>
                <w:rFonts w:cs="Arial"/>
                <w:b/>
                <w:bCs/>
                <w:szCs w:val="14"/>
              </w:rPr>
              <w:t>,</w:t>
            </w:r>
            <w:r w:rsidRPr="00EE1C73">
              <w:rPr>
                <w:rFonts w:cs="Arial"/>
                <w:b/>
                <w:bCs/>
                <w:szCs w:val="14"/>
              </w:rPr>
              <w:t>416</w:t>
            </w:r>
          </w:p>
        </w:tc>
        <w:tc>
          <w:tcPr>
            <w:tcW w:w="283" w:type="dxa"/>
            <w:tcBorders>
              <w:top w:val="nil"/>
              <w:bottom w:val="nil"/>
            </w:tcBorders>
            <w:shd w:val="clear" w:color="auto" w:fill="auto"/>
            <w:vAlign w:val="center"/>
          </w:tcPr>
          <w:p w14:paraId="1AD4E0E5"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134" w:type="dxa"/>
            <w:tcBorders>
              <w:top w:val="nil"/>
              <w:left w:val="nil"/>
              <w:bottom w:val="nil"/>
              <w:right w:val="nil"/>
            </w:tcBorders>
            <w:shd w:val="clear" w:color="auto" w:fill="auto"/>
            <w:vAlign w:val="center"/>
          </w:tcPr>
          <w:p w14:paraId="73C47C0B"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AA591E">
              <w:rPr>
                <w:rFonts w:cs="Arial"/>
                <w:b/>
                <w:bCs/>
                <w:szCs w:val="14"/>
              </w:rPr>
              <w:t>7</w:t>
            </w:r>
            <w:r>
              <w:rPr>
                <w:rFonts w:cs="Arial"/>
                <w:b/>
                <w:bCs/>
                <w:szCs w:val="14"/>
              </w:rPr>
              <w:t>,</w:t>
            </w:r>
            <w:r w:rsidRPr="00AA591E">
              <w:rPr>
                <w:rFonts w:cs="Arial"/>
                <w:b/>
                <w:bCs/>
                <w:szCs w:val="14"/>
              </w:rPr>
              <w:t>596</w:t>
            </w:r>
            <w:r>
              <w:rPr>
                <w:rFonts w:cs="Arial"/>
                <w:b/>
                <w:bCs/>
                <w:szCs w:val="14"/>
              </w:rPr>
              <w:t>,</w:t>
            </w:r>
            <w:r w:rsidRPr="00AA591E">
              <w:rPr>
                <w:rFonts w:cs="Arial"/>
                <w:b/>
                <w:bCs/>
                <w:szCs w:val="14"/>
              </w:rPr>
              <w:t>10</w:t>
            </w:r>
            <w:r>
              <w:rPr>
                <w:rFonts w:cs="Arial"/>
                <w:b/>
                <w:bCs/>
                <w:szCs w:val="14"/>
              </w:rPr>
              <w:t>1</w:t>
            </w:r>
          </w:p>
        </w:tc>
        <w:tc>
          <w:tcPr>
            <w:tcW w:w="1064" w:type="dxa"/>
            <w:tcBorders>
              <w:top w:val="nil"/>
              <w:bottom w:val="nil"/>
            </w:tcBorders>
            <w:shd w:val="clear" w:color="auto" w:fill="auto"/>
            <w:vAlign w:val="center"/>
          </w:tcPr>
          <w:p w14:paraId="53D79D71" w14:textId="77777777" w:rsidR="00AF04B6" w:rsidRPr="006B5975"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bCs/>
                <w:szCs w:val="14"/>
              </w:rPr>
              <w:t>7</w:t>
            </w:r>
            <w:r>
              <w:rPr>
                <w:rFonts w:cs="Arial"/>
                <w:b/>
                <w:bCs/>
                <w:szCs w:val="14"/>
              </w:rPr>
              <w:t>,</w:t>
            </w:r>
            <w:r w:rsidRPr="00EE1C73">
              <w:rPr>
                <w:rFonts w:cs="Arial"/>
                <w:b/>
                <w:bCs/>
                <w:szCs w:val="14"/>
              </w:rPr>
              <w:t>281</w:t>
            </w:r>
            <w:r>
              <w:rPr>
                <w:rFonts w:cs="Arial"/>
                <w:b/>
                <w:bCs/>
                <w:szCs w:val="14"/>
              </w:rPr>
              <w:t>,</w:t>
            </w:r>
            <w:r w:rsidRPr="00EE1C73">
              <w:rPr>
                <w:rFonts w:cs="Arial"/>
                <w:b/>
                <w:bCs/>
                <w:szCs w:val="14"/>
              </w:rPr>
              <w:t>416</w:t>
            </w:r>
          </w:p>
        </w:tc>
      </w:tr>
      <w:tr w:rsidR="00AF04B6" w:rsidRPr="001D6BE8" w14:paraId="3D952B7C"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9A149F3" w14:textId="77777777" w:rsidR="00AF04B6" w:rsidRPr="0038031F" w:rsidRDefault="00AF04B6" w:rsidP="00716135">
            <w:pPr>
              <w:pStyle w:val="08-Tabelageral"/>
              <w:ind w:left="113"/>
              <w:jc w:val="left"/>
              <w:rPr>
                <w:b w:val="0"/>
              </w:rPr>
            </w:pPr>
            <w:r w:rsidRPr="00C27294">
              <w:rPr>
                <w:b w:val="0"/>
              </w:rPr>
              <w:t>Capital</w:t>
            </w:r>
          </w:p>
        </w:tc>
        <w:tc>
          <w:tcPr>
            <w:tcW w:w="709" w:type="dxa"/>
            <w:tcBorders>
              <w:top w:val="nil"/>
              <w:bottom w:val="nil"/>
            </w:tcBorders>
            <w:shd w:val="clear" w:color="auto" w:fill="auto"/>
            <w:vAlign w:val="center"/>
          </w:tcPr>
          <w:p w14:paraId="0B9E9A37"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szCs w:val="14"/>
              </w:rPr>
            </w:pPr>
            <w:r w:rsidRPr="00616539">
              <w:t>[25.a]</w:t>
            </w:r>
          </w:p>
        </w:tc>
        <w:tc>
          <w:tcPr>
            <w:tcW w:w="1134" w:type="dxa"/>
            <w:tcBorders>
              <w:top w:val="nil"/>
              <w:left w:val="nil"/>
              <w:bottom w:val="nil"/>
              <w:right w:val="nil"/>
            </w:tcBorders>
            <w:shd w:val="clear" w:color="auto" w:fill="auto"/>
            <w:vAlign w:val="center"/>
          </w:tcPr>
          <w:p w14:paraId="5E8EE687"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6</w:t>
            </w:r>
            <w:r>
              <w:rPr>
                <w:rFonts w:cs="Arial"/>
                <w:szCs w:val="14"/>
              </w:rPr>
              <w:t>,</w:t>
            </w:r>
            <w:r w:rsidRPr="00AA591E">
              <w:rPr>
                <w:rFonts w:cs="Arial"/>
                <w:szCs w:val="14"/>
              </w:rPr>
              <w:t>269</w:t>
            </w:r>
            <w:r>
              <w:rPr>
                <w:rFonts w:cs="Arial"/>
                <w:szCs w:val="14"/>
              </w:rPr>
              <w:t>,</w:t>
            </w:r>
            <w:r w:rsidRPr="00AA591E">
              <w:rPr>
                <w:rFonts w:cs="Arial"/>
                <w:szCs w:val="14"/>
              </w:rPr>
              <w:t>692</w:t>
            </w:r>
          </w:p>
        </w:tc>
        <w:tc>
          <w:tcPr>
            <w:tcW w:w="1134" w:type="dxa"/>
            <w:tcBorders>
              <w:top w:val="nil"/>
              <w:bottom w:val="nil"/>
            </w:tcBorders>
            <w:shd w:val="clear" w:color="auto" w:fill="auto"/>
            <w:vAlign w:val="center"/>
          </w:tcPr>
          <w:p w14:paraId="2B2EABE0"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3</w:t>
            </w:r>
            <w:r>
              <w:rPr>
                <w:rFonts w:cs="Arial"/>
                <w:szCs w:val="14"/>
              </w:rPr>
              <w:t>,</w:t>
            </w:r>
            <w:r w:rsidRPr="00EE1C73">
              <w:rPr>
                <w:rFonts w:cs="Arial"/>
                <w:szCs w:val="14"/>
              </w:rPr>
              <w:t>396</w:t>
            </w:r>
            <w:r>
              <w:rPr>
                <w:rFonts w:cs="Arial"/>
                <w:szCs w:val="14"/>
              </w:rPr>
              <w:t>,</w:t>
            </w:r>
            <w:r w:rsidRPr="00EE1C73">
              <w:rPr>
                <w:rFonts w:cs="Arial"/>
                <w:szCs w:val="14"/>
              </w:rPr>
              <w:t>767</w:t>
            </w:r>
          </w:p>
        </w:tc>
        <w:tc>
          <w:tcPr>
            <w:tcW w:w="283" w:type="dxa"/>
            <w:tcBorders>
              <w:top w:val="nil"/>
              <w:bottom w:val="nil"/>
            </w:tcBorders>
            <w:shd w:val="clear" w:color="auto" w:fill="auto"/>
            <w:vAlign w:val="center"/>
          </w:tcPr>
          <w:p w14:paraId="38847A41"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4D52ED33"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6</w:t>
            </w:r>
            <w:r>
              <w:rPr>
                <w:rFonts w:cs="Arial"/>
                <w:szCs w:val="14"/>
              </w:rPr>
              <w:t>,</w:t>
            </w:r>
            <w:r w:rsidRPr="00AA591E">
              <w:rPr>
                <w:rFonts w:cs="Arial"/>
                <w:szCs w:val="14"/>
              </w:rPr>
              <w:t>269</w:t>
            </w:r>
            <w:r>
              <w:rPr>
                <w:rFonts w:cs="Arial"/>
                <w:szCs w:val="14"/>
              </w:rPr>
              <w:t>,</w:t>
            </w:r>
            <w:r w:rsidRPr="00AA591E">
              <w:rPr>
                <w:rFonts w:cs="Arial"/>
                <w:szCs w:val="14"/>
              </w:rPr>
              <w:t>692</w:t>
            </w:r>
          </w:p>
        </w:tc>
        <w:tc>
          <w:tcPr>
            <w:tcW w:w="1064" w:type="dxa"/>
            <w:tcBorders>
              <w:top w:val="nil"/>
              <w:bottom w:val="nil"/>
            </w:tcBorders>
            <w:shd w:val="clear" w:color="auto" w:fill="auto"/>
            <w:vAlign w:val="center"/>
          </w:tcPr>
          <w:p w14:paraId="0162925A"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3</w:t>
            </w:r>
            <w:r>
              <w:rPr>
                <w:rFonts w:cs="Arial"/>
                <w:szCs w:val="14"/>
              </w:rPr>
              <w:t>,</w:t>
            </w:r>
            <w:r w:rsidRPr="00EE1C73">
              <w:rPr>
                <w:rFonts w:cs="Arial"/>
                <w:szCs w:val="14"/>
              </w:rPr>
              <w:t>396</w:t>
            </w:r>
            <w:r>
              <w:rPr>
                <w:rFonts w:cs="Arial"/>
                <w:szCs w:val="14"/>
              </w:rPr>
              <w:t>,</w:t>
            </w:r>
            <w:r w:rsidRPr="00EE1C73">
              <w:rPr>
                <w:rFonts w:cs="Arial"/>
                <w:szCs w:val="14"/>
              </w:rPr>
              <w:t>767</w:t>
            </w:r>
          </w:p>
        </w:tc>
      </w:tr>
      <w:tr w:rsidR="00AF04B6" w:rsidRPr="001D6BE8" w14:paraId="078C616F"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EB21502" w14:textId="77777777" w:rsidR="00AF04B6" w:rsidRPr="0038031F" w:rsidRDefault="00AF04B6" w:rsidP="00716135">
            <w:pPr>
              <w:pStyle w:val="08-Tabelageral"/>
              <w:ind w:left="113"/>
              <w:jc w:val="left"/>
              <w:rPr>
                <w:b w:val="0"/>
              </w:rPr>
            </w:pPr>
            <w:r w:rsidRPr="00C27294">
              <w:rPr>
                <w:b w:val="0"/>
              </w:rPr>
              <w:t>Capital reserves</w:t>
            </w:r>
          </w:p>
        </w:tc>
        <w:tc>
          <w:tcPr>
            <w:tcW w:w="709" w:type="dxa"/>
            <w:tcBorders>
              <w:top w:val="nil"/>
              <w:bottom w:val="nil"/>
            </w:tcBorders>
            <w:shd w:val="clear" w:color="auto" w:fill="auto"/>
            <w:vAlign w:val="center"/>
          </w:tcPr>
          <w:p w14:paraId="30DCAE51"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szCs w:val="14"/>
              </w:rPr>
            </w:pPr>
            <w:r w:rsidRPr="00616539">
              <w:t>[25.b]</w:t>
            </w:r>
          </w:p>
        </w:tc>
        <w:tc>
          <w:tcPr>
            <w:tcW w:w="1134" w:type="dxa"/>
            <w:tcBorders>
              <w:top w:val="nil"/>
              <w:left w:val="nil"/>
              <w:bottom w:val="nil"/>
              <w:right w:val="nil"/>
            </w:tcBorders>
            <w:shd w:val="clear" w:color="auto" w:fill="auto"/>
            <w:vAlign w:val="center"/>
          </w:tcPr>
          <w:p w14:paraId="1D1822EF"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1</w:t>
            </w:r>
            <w:r>
              <w:rPr>
                <w:rFonts w:cs="Arial"/>
                <w:szCs w:val="14"/>
              </w:rPr>
              <w:t>,</w:t>
            </w:r>
            <w:r w:rsidRPr="00AA591E">
              <w:rPr>
                <w:rFonts w:cs="Arial"/>
                <w:szCs w:val="14"/>
              </w:rPr>
              <w:t>571</w:t>
            </w:r>
          </w:p>
        </w:tc>
        <w:tc>
          <w:tcPr>
            <w:tcW w:w="1134" w:type="dxa"/>
            <w:tcBorders>
              <w:top w:val="nil"/>
              <w:bottom w:val="nil"/>
            </w:tcBorders>
            <w:shd w:val="clear" w:color="auto" w:fill="auto"/>
            <w:vAlign w:val="center"/>
          </w:tcPr>
          <w:p w14:paraId="4200E591"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w:t>
            </w:r>
            <w:r>
              <w:rPr>
                <w:rFonts w:cs="Arial"/>
                <w:szCs w:val="14"/>
              </w:rPr>
              <w:t>,</w:t>
            </w:r>
            <w:r w:rsidRPr="00EE1C73">
              <w:rPr>
                <w:rFonts w:cs="Arial"/>
                <w:szCs w:val="14"/>
              </w:rPr>
              <w:t>508</w:t>
            </w:r>
          </w:p>
        </w:tc>
        <w:tc>
          <w:tcPr>
            <w:tcW w:w="283" w:type="dxa"/>
            <w:tcBorders>
              <w:top w:val="nil"/>
              <w:bottom w:val="nil"/>
            </w:tcBorders>
            <w:shd w:val="clear" w:color="auto" w:fill="auto"/>
            <w:vAlign w:val="center"/>
          </w:tcPr>
          <w:p w14:paraId="3773D51A"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71C30FB9"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1</w:t>
            </w:r>
            <w:r>
              <w:rPr>
                <w:rFonts w:cs="Arial"/>
                <w:szCs w:val="14"/>
              </w:rPr>
              <w:t>,</w:t>
            </w:r>
            <w:r w:rsidRPr="00AA591E">
              <w:rPr>
                <w:rFonts w:cs="Arial"/>
                <w:szCs w:val="14"/>
              </w:rPr>
              <w:t>571</w:t>
            </w:r>
          </w:p>
        </w:tc>
        <w:tc>
          <w:tcPr>
            <w:tcW w:w="1064" w:type="dxa"/>
            <w:tcBorders>
              <w:top w:val="nil"/>
              <w:bottom w:val="nil"/>
            </w:tcBorders>
            <w:shd w:val="clear" w:color="auto" w:fill="auto"/>
            <w:vAlign w:val="center"/>
          </w:tcPr>
          <w:p w14:paraId="633F1EC5"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w:t>
            </w:r>
            <w:r>
              <w:rPr>
                <w:rFonts w:cs="Arial"/>
                <w:szCs w:val="14"/>
              </w:rPr>
              <w:t>,</w:t>
            </w:r>
            <w:r w:rsidRPr="00EE1C73">
              <w:rPr>
                <w:rFonts w:cs="Arial"/>
                <w:szCs w:val="14"/>
              </w:rPr>
              <w:t>508</w:t>
            </w:r>
          </w:p>
        </w:tc>
      </w:tr>
      <w:tr w:rsidR="00AF04B6" w:rsidRPr="001D6BE8" w14:paraId="5BFE336B"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F828816" w14:textId="77777777" w:rsidR="00AF04B6" w:rsidRPr="0038031F" w:rsidRDefault="00AF04B6" w:rsidP="00716135">
            <w:pPr>
              <w:pStyle w:val="08-Tabelageral"/>
              <w:ind w:left="113"/>
              <w:jc w:val="left"/>
              <w:rPr>
                <w:b w:val="0"/>
              </w:rPr>
            </w:pPr>
            <w:r w:rsidRPr="00C27294">
              <w:rPr>
                <w:b w:val="0"/>
              </w:rPr>
              <w:t>Income reserves</w:t>
            </w:r>
          </w:p>
        </w:tc>
        <w:tc>
          <w:tcPr>
            <w:tcW w:w="709" w:type="dxa"/>
            <w:tcBorders>
              <w:top w:val="nil"/>
              <w:bottom w:val="nil"/>
            </w:tcBorders>
            <w:shd w:val="clear" w:color="auto" w:fill="auto"/>
            <w:vAlign w:val="center"/>
          </w:tcPr>
          <w:p w14:paraId="3DAB86A3"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szCs w:val="14"/>
              </w:rPr>
            </w:pPr>
            <w:r w:rsidRPr="00616539">
              <w:t>[25.b]</w:t>
            </w:r>
          </w:p>
        </w:tc>
        <w:tc>
          <w:tcPr>
            <w:tcW w:w="1134" w:type="dxa"/>
            <w:tcBorders>
              <w:top w:val="nil"/>
              <w:left w:val="nil"/>
              <w:bottom w:val="nil"/>
              <w:right w:val="nil"/>
            </w:tcBorders>
            <w:shd w:val="clear" w:color="auto" w:fill="auto"/>
            <w:vAlign w:val="center"/>
          </w:tcPr>
          <w:p w14:paraId="78590277"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1</w:t>
            </w:r>
            <w:r>
              <w:rPr>
                <w:rFonts w:cs="Arial"/>
                <w:szCs w:val="14"/>
              </w:rPr>
              <w:t>,</w:t>
            </w:r>
            <w:r w:rsidRPr="00AA591E">
              <w:rPr>
                <w:rFonts w:cs="Arial"/>
                <w:szCs w:val="14"/>
              </w:rPr>
              <w:t>552</w:t>
            </w:r>
            <w:r>
              <w:rPr>
                <w:rFonts w:cs="Arial"/>
                <w:szCs w:val="14"/>
              </w:rPr>
              <w:t>,</w:t>
            </w:r>
            <w:r w:rsidRPr="00AA591E">
              <w:rPr>
                <w:rFonts w:cs="Arial"/>
                <w:szCs w:val="14"/>
              </w:rPr>
              <w:t>229</w:t>
            </w:r>
          </w:p>
        </w:tc>
        <w:tc>
          <w:tcPr>
            <w:tcW w:w="1134" w:type="dxa"/>
            <w:tcBorders>
              <w:top w:val="nil"/>
              <w:bottom w:val="nil"/>
            </w:tcBorders>
            <w:shd w:val="clear" w:color="auto" w:fill="auto"/>
            <w:vAlign w:val="center"/>
          </w:tcPr>
          <w:p w14:paraId="09C0749D"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4</w:t>
            </w:r>
            <w:r>
              <w:rPr>
                <w:rFonts w:cs="Arial"/>
                <w:szCs w:val="14"/>
              </w:rPr>
              <w:t>,</w:t>
            </w:r>
            <w:r w:rsidRPr="00EE1C73">
              <w:rPr>
                <w:rFonts w:cs="Arial"/>
                <w:szCs w:val="14"/>
              </w:rPr>
              <w:t>122</w:t>
            </w:r>
            <w:r>
              <w:rPr>
                <w:rFonts w:cs="Arial"/>
                <w:szCs w:val="14"/>
              </w:rPr>
              <w:t>,</w:t>
            </w:r>
            <w:r w:rsidRPr="00EE1C73">
              <w:rPr>
                <w:rFonts w:cs="Arial"/>
                <w:szCs w:val="14"/>
              </w:rPr>
              <w:t>925</w:t>
            </w:r>
          </w:p>
        </w:tc>
        <w:tc>
          <w:tcPr>
            <w:tcW w:w="283" w:type="dxa"/>
            <w:tcBorders>
              <w:top w:val="nil"/>
              <w:bottom w:val="nil"/>
            </w:tcBorders>
            <w:shd w:val="clear" w:color="auto" w:fill="auto"/>
            <w:vAlign w:val="center"/>
          </w:tcPr>
          <w:p w14:paraId="3746555F"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2045E90B"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1</w:t>
            </w:r>
            <w:r>
              <w:rPr>
                <w:rFonts w:cs="Arial"/>
                <w:szCs w:val="14"/>
              </w:rPr>
              <w:t>,</w:t>
            </w:r>
            <w:r w:rsidRPr="00AA591E">
              <w:rPr>
                <w:rFonts w:cs="Arial"/>
                <w:szCs w:val="14"/>
              </w:rPr>
              <w:t>552</w:t>
            </w:r>
            <w:r>
              <w:rPr>
                <w:rFonts w:cs="Arial"/>
                <w:szCs w:val="14"/>
              </w:rPr>
              <w:t>,</w:t>
            </w:r>
            <w:r w:rsidRPr="00AA591E">
              <w:rPr>
                <w:rFonts w:cs="Arial"/>
                <w:szCs w:val="14"/>
              </w:rPr>
              <w:t>229</w:t>
            </w:r>
          </w:p>
        </w:tc>
        <w:tc>
          <w:tcPr>
            <w:tcW w:w="1064" w:type="dxa"/>
            <w:tcBorders>
              <w:top w:val="nil"/>
              <w:bottom w:val="nil"/>
            </w:tcBorders>
            <w:shd w:val="clear" w:color="auto" w:fill="auto"/>
            <w:vAlign w:val="center"/>
          </w:tcPr>
          <w:p w14:paraId="350A0212"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4</w:t>
            </w:r>
            <w:r>
              <w:rPr>
                <w:rFonts w:cs="Arial"/>
                <w:szCs w:val="14"/>
              </w:rPr>
              <w:t>,</w:t>
            </w:r>
            <w:r w:rsidRPr="00EE1C73">
              <w:rPr>
                <w:rFonts w:cs="Arial"/>
                <w:szCs w:val="14"/>
              </w:rPr>
              <w:t>122</w:t>
            </w:r>
            <w:r>
              <w:rPr>
                <w:rFonts w:cs="Arial"/>
                <w:szCs w:val="14"/>
              </w:rPr>
              <w:t>,</w:t>
            </w:r>
            <w:r w:rsidRPr="00EE1C73">
              <w:rPr>
                <w:rFonts w:cs="Arial"/>
                <w:szCs w:val="14"/>
              </w:rPr>
              <w:t>925</w:t>
            </w:r>
          </w:p>
        </w:tc>
      </w:tr>
      <w:tr w:rsidR="00AF04B6" w:rsidRPr="001D6BE8" w14:paraId="7740C4A6"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420789A1" w14:textId="77777777" w:rsidR="00AF04B6" w:rsidRPr="0038031F" w:rsidRDefault="00AF04B6" w:rsidP="00716135">
            <w:pPr>
              <w:pStyle w:val="08-Tabelageral"/>
              <w:ind w:left="113"/>
              <w:jc w:val="left"/>
              <w:rPr>
                <w:b w:val="0"/>
              </w:rPr>
            </w:pPr>
            <w:r w:rsidRPr="00C27294">
              <w:rPr>
                <w:b w:val="0"/>
              </w:rPr>
              <w:t>Treasury shares</w:t>
            </w:r>
          </w:p>
        </w:tc>
        <w:tc>
          <w:tcPr>
            <w:tcW w:w="709" w:type="dxa"/>
            <w:tcBorders>
              <w:top w:val="nil"/>
              <w:bottom w:val="nil"/>
            </w:tcBorders>
            <w:shd w:val="clear" w:color="auto" w:fill="auto"/>
            <w:vAlign w:val="center"/>
          </w:tcPr>
          <w:p w14:paraId="3637C5B2"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szCs w:val="14"/>
              </w:rPr>
            </w:pPr>
            <w:r w:rsidRPr="00616539">
              <w:t>[25.g</w:t>
            </w:r>
            <w:r>
              <w:t>.4</w:t>
            </w:r>
            <w:r w:rsidRPr="00616539">
              <w:t>]</w:t>
            </w:r>
          </w:p>
        </w:tc>
        <w:tc>
          <w:tcPr>
            <w:tcW w:w="1134" w:type="dxa"/>
            <w:tcBorders>
              <w:top w:val="nil"/>
              <w:left w:val="nil"/>
              <w:bottom w:val="nil"/>
              <w:right w:val="nil"/>
            </w:tcBorders>
            <w:shd w:val="clear" w:color="auto" w:fill="auto"/>
            <w:vAlign w:val="center"/>
          </w:tcPr>
          <w:p w14:paraId="14A82033"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(80</w:t>
            </w:r>
            <w:r>
              <w:rPr>
                <w:rFonts w:cs="Arial"/>
                <w:szCs w:val="14"/>
              </w:rPr>
              <w:t>,</w:t>
            </w:r>
            <w:r w:rsidRPr="00AA591E">
              <w:rPr>
                <w:rFonts w:cs="Arial"/>
                <w:szCs w:val="14"/>
              </w:rPr>
              <w:t>34</w:t>
            </w:r>
            <w:r>
              <w:rPr>
                <w:rFonts w:cs="Arial"/>
                <w:szCs w:val="14"/>
              </w:rPr>
              <w:t>4</w:t>
            </w:r>
            <w:r w:rsidRPr="00AA591E">
              <w:rPr>
                <w:rFonts w:cs="Arial"/>
                <w:szCs w:val="14"/>
              </w:rPr>
              <w:t>)</w:t>
            </w:r>
          </w:p>
        </w:tc>
        <w:tc>
          <w:tcPr>
            <w:tcW w:w="1134" w:type="dxa"/>
            <w:tcBorders>
              <w:top w:val="nil"/>
              <w:bottom w:val="nil"/>
            </w:tcBorders>
            <w:shd w:val="clear" w:color="auto" w:fill="auto"/>
            <w:vAlign w:val="center"/>
          </w:tcPr>
          <w:p w14:paraId="10E7F289"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(81</w:t>
            </w:r>
            <w:r>
              <w:rPr>
                <w:rFonts w:cs="Arial"/>
                <w:szCs w:val="14"/>
              </w:rPr>
              <w:t>,</w:t>
            </w:r>
            <w:r w:rsidRPr="00EE1C73">
              <w:rPr>
                <w:rFonts w:cs="Arial"/>
                <w:szCs w:val="14"/>
              </w:rPr>
              <w:t>320)</w:t>
            </w:r>
          </w:p>
        </w:tc>
        <w:tc>
          <w:tcPr>
            <w:tcW w:w="283" w:type="dxa"/>
            <w:tcBorders>
              <w:top w:val="nil"/>
              <w:bottom w:val="nil"/>
            </w:tcBorders>
            <w:shd w:val="clear" w:color="auto" w:fill="auto"/>
            <w:vAlign w:val="center"/>
          </w:tcPr>
          <w:p w14:paraId="2D50397A"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left w:val="nil"/>
              <w:bottom w:val="nil"/>
              <w:right w:val="nil"/>
            </w:tcBorders>
            <w:shd w:val="clear" w:color="auto" w:fill="auto"/>
            <w:vAlign w:val="center"/>
          </w:tcPr>
          <w:p w14:paraId="79B9D0A3" w14:textId="77777777" w:rsidR="00AF04B6" w:rsidRPr="00350BA7"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(80</w:t>
            </w:r>
            <w:r>
              <w:rPr>
                <w:rFonts w:cs="Arial"/>
                <w:szCs w:val="14"/>
              </w:rPr>
              <w:t>,</w:t>
            </w:r>
            <w:r w:rsidRPr="00AA591E">
              <w:rPr>
                <w:rFonts w:cs="Arial"/>
                <w:szCs w:val="14"/>
              </w:rPr>
              <w:t>34</w:t>
            </w:r>
            <w:r>
              <w:rPr>
                <w:rFonts w:cs="Arial"/>
                <w:szCs w:val="14"/>
              </w:rPr>
              <w:t>4</w:t>
            </w:r>
            <w:r w:rsidRPr="00AA591E">
              <w:rPr>
                <w:rFonts w:cs="Arial"/>
                <w:szCs w:val="14"/>
              </w:rPr>
              <w:t>)</w:t>
            </w:r>
          </w:p>
        </w:tc>
        <w:tc>
          <w:tcPr>
            <w:tcW w:w="1064" w:type="dxa"/>
            <w:tcBorders>
              <w:top w:val="nil"/>
              <w:bottom w:val="nil"/>
            </w:tcBorders>
            <w:shd w:val="clear" w:color="auto" w:fill="auto"/>
            <w:vAlign w:val="center"/>
          </w:tcPr>
          <w:p w14:paraId="6885FCD1"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(81</w:t>
            </w:r>
            <w:r>
              <w:rPr>
                <w:rFonts w:cs="Arial"/>
                <w:szCs w:val="14"/>
              </w:rPr>
              <w:t>,</w:t>
            </w:r>
            <w:r w:rsidRPr="00EE1C73">
              <w:rPr>
                <w:rFonts w:cs="Arial"/>
                <w:szCs w:val="14"/>
              </w:rPr>
              <w:t>320)</w:t>
            </w:r>
          </w:p>
        </w:tc>
      </w:tr>
      <w:tr w:rsidR="00AF04B6" w:rsidRPr="00490B0B" w14:paraId="7C839C39" w14:textId="77777777" w:rsidTr="00255F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AC515A2" w14:textId="77777777" w:rsidR="00AF04B6" w:rsidRPr="00490B0B" w:rsidRDefault="00AF04B6" w:rsidP="00716135">
            <w:pPr>
              <w:pStyle w:val="08-Tabelageral"/>
              <w:ind w:left="113"/>
              <w:jc w:val="left"/>
              <w:rPr>
                <w:b w:val="0"/>
              </w:rPr>
            </w:pPr>
            <w:r w:rsidRPr="00C27294">
              <w:rPr>
                <w:b w:val="0"/>
              </w:rPr>
              <w:t>Other accumulated comprehensive income</w:t>
            </w:r>
          </w:p>
        </w:tc>
        <w:tc>
          <w:tcPr>
            <w:tcW w:w="709" w:type="dxa"/>
            <w:tcBorders>
              <w:top w:val="nil"/>
              <w:bottom w:val="nil"/>
            </w:tcBorders>
            <w:shd w:val="clear" w:color="auto" w:fill="auto"/>
            <w:vAlign w:val="center"/>
          </w:tcPr>
          <w:p w14:paraId="45DBAF1C" w14:textId="77777777" w:rsidR="00AF04B6" w:rsidRPr="00490B0B"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rPr>
                <w:b/>
              </w:rPr>
            </w:pPr>
            <w:r w:rsidRPr="00616539">
              <w:t>[25.e]</w:t>
            </w:r>
          </w:p>
        </w:tc>
        <w:tc>
          <w:tcPr>
            <w:tcW w:w="1134" w:type="dxa"/>
            <w:tcBorders>
              <w:top w:val="nil"/>
              <w:left w:val="nil"/>
              <w:bottom w:val="nil"/>
              <w:right w:val="nil"/>
            </w:tcBorders>
            <w:shd w:val="clear" w:color="auto" w:fill="auto"/>
            <w:vAlign w:val="center"/>
          </w:tcPr>
          <w:p w14:paraId="17D9950C" w14:textId="77777777" w:rsidR="00AF04B6" w:rsidRPr="00490B0B"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pPr>
            <w:r w:rsidRPr="00AA591E">
              <w:t>(147</w:t>
            </w:r>
            <w:r>
              <w:t>,</w:t>
            </w:r>
            <w:r w:rsidRPr="00AA591E">
              <w:t>047)</w:t>
            </w:r>
          </w:p>
        </w:tc>
        <w:tc>
          <w:tcPr>
            <w:tcW w:w="1134" w:type="dxa"/>
            <w:tcBorders>
              <w:top w:val="nil"/>
              <w:bottom w:val="nil"/>
            </w:tcBorders>
            <w:shd w:val="clear" w:color="auto" w:fill="auto"/>
            <w:vAlign w:val="center"/>
          </w:tcPr>
          <w:p w14:paraId="1137B8F7" w14:textId="77777777" w:rsidR="00AF04B6" w:rsidRPr="00490B0B"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pPr>
            <w:r w:rsidRPr="00EE1C73">
              <w:t>(158</w:t>
            </w:r>
            <w:r>
              <w:t>,</w:t>
            </w:r>
            <w:r w:rsidRPr="00EE1C73">
              <w:t>464)</w:t>
            </w:r>
          </w:p>
        </w:tc>
        <w:tc>
          <w:tcPr>
            <w:tcW w:w="283" w:type="dxa"/>
            <w:tcBorders>
              <w:top w:val="nil"/>
              <w:bottom w:val="nil"/>
            </w:tcBorders>
            <w:shd w:val="clear" w:color="auto" w:fill="auto"/>
            <w:vAlign w:val="center"/>
          </w:tcPr>
          <w:p w14:paraId="21BF99C6" w14:textId="77777777" w:rsidR="00AF04B6" w:rsidRPr="00490B0B"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134" w:type="dxa"/>
            <w:tcBorders>
              <w:top w:val="nil"/>
              <w:left w:val="nil"/>
              <w:bottom w:val="nil"/>
              <w:right w:val="nil"/>
            </w:tcBorders>
            <w:shd w:val="clear" w:color="auto" w:fill="auto"/>
            <w:vAlign w:val="center"/>
          </w:tcPr>
          <w:p w14:paraId="4E7B03B1" w14:textId="77777777" w:rsidR="00AF04B6" w:rsidRPr="00490B0B"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pPr>
            <w:r w:rsidRPr="00AA591E">
              <w:t>(147</w:t>
            </w:r>
            <w:r>
              <w:t>,</w:t>
            </w:r>
            <w:r w:rsidRPr="00AA591E">
              <w:t>047)</w:t>
            </w:r>
          </w:p>
        </w:tc>
        <w:tc>
          <w:tcPr>
            <w:tcW w:w="1064" w:type="dxa"/>
            <w:tcBorders>
              <w:top w:val="nil"/>
              <w:bottom w:val="nil"/>
            </w:tcBorders>
            <w:shd w:val="clear" w:color="auto" w:fill="auto"/>
            <w:vAlign w:val="center"/>
          </w:tcPr>
          <w:p w14:paraId="60497112" w14:textId="77777777" w:rsidR="00AF04B6" w:rsidRPr="00490B0B" w:rsidRDefault="00AF04B6" w:rsidP="00716135">
            <w:pPr>
              <w:pStyle w:val="08-Tabelageral"/>
              <w:ind w:left="113"/>
              <w:cnfStyle w:val="000000100000" w:firstRow="0" w:lastRow="0" w:firstColumn="0" w:lastColumn="0" w:oddVBand="0" w:evenVBand="0" w:oddHBand="1" w:evenHBand="0" w:firstRowFirstColumn="0" w:firstRowLastColumn="0" w:lastRowFirstColumn="0" w:lastRowLastColumn="0"/>
            </w:pPr>
            <w:r w:rsidRPr="00EE1C73">
              <w:t>(158</w:t>
            </w:r>
            <w:r>
              <w:t>,</w:t>
            </w:r>
            <w:r w:rsidRPr="00EE1C73">
              <w:t>464)</w:t>
            </w:r>
          </w:p>
        </w:tc>
      </w:tr>
      <w:tr w:rsidR="00AF04B6" w:rsidRPr="002A31B8" w14:paraId="02FCDD7D" w14:textId="77777777" w:rsidTr="00255F95">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00D2AFE" w14:textId="77777777" w:rsidR="00AF04B6" w:rsidRPr="002A31B8" w:rsidRDefault="00AF04B6" w:rsidP="00716135">
            <w:pPr>
              <w:pStyle w:val="08-Tabelageral"/>
              <w:jc w:val="left"/>
            </w:pPr>
            <w:r w:rsidRPr="00C27294">
              <w:t>Total Equity</w:t>
            </w:r>
          </w:p>
        </w:tc>
        <w:tc>
          <w:tcPr>
            <w:tcW w:w="709" w:type="dxa"/>
            <w:tcBorders>
              <w:top w:val="nil"/>
              <w:bottom w:val="nil"/>
            </w:tcBorders>
            <w:shd w:val="clear" w:color="auto" w:fill="auto"/>
            <w:vAlign w:val="center"/>
          </w:tcPr>
          <w:p w14:paraId="74374EE0" w14:textId="77777777" w:rsidR="00AF04B6" w:rsidRPr="002A31B8"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rPr>
            </w:pPr>
          </w:p>
        </w:tc>
        <w:tc>
          <w:tcPr>
            <w:tcW w:w="1134" w:type="dxa"/>
            <w:tcBorders>
              <w:top w:val="nil"/>
              <w:left w:val="nil"/>
              <w:bottom w:val="nil"/>
              <w:right w:val="nil"/>
            </w:tcBorders>
            <w:shd w:val="clear" w:color="auto" w:fill="auto"/>
            <w:vAlign w:val="center"/>
          </w:tcPr>
          <w:p w14:paraId="08D9EA34" w14:textId="77777777" w:rsidR="00AF04B6" w:rsidRPr="004E46CF"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AA591E">
              <w:rPr>
                <w:b/>
                <w:bCs/>
              </w:rPr>
              <w:t>7</w:t>
            </w:r>
            <w:r>
              <w:rPr>
                <w:b/>
                <w:bCs/>
              </w:rPr>
              <w:t>,</w:t>
            </w:r>
            <w:r w:rsidRPr="00AA591E">
              <w:rPr>
                <w:b/>
                <w:bCs/>
              </w:rPr>
              <w:t>596</w:t>
            </w:r>
            <w:r>
              <w:rPr>
                <w:b/>
                <w:bCs/>
              </w:rPr>
              <w:t>,</w:t>
            </w:r>
            <w:r w:rsidRPr="00AA591E">
              <w:rPr>
                <w:b/>
                <w:bCs/>
              </w:rPr>
              <w:t>10</w:t>
            </w:r>
            <w:r>
              <w:rPr>
                <w:b/>
                <w:bCs/>
              </w:rPr>
              <w:t>1</w:t>
            </w:r>
          </w:p>
        </w:tc>
        <w:tc>
          <w:tcPr>
            <w:tcW w:w="1134" w:type="dxa"/>
            <w:tcBorders>
              <w:top w:val="nil"/>
              <w:bottom w:val="nil"/>
            </w:tcBorders>
            <w:shd w:val="clear" w:color="auto" w:fill="auto"/>
            <w:vAlign w:val="center"/>
          </w:tcPr>
          <w:p w14:paraId="2AFA8610" w14:textId="77777777" w:rsidR="00AF04B6" w:rsidRPr="004E46CF"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b/>
              </w:rPr>
              <w:t>7</w:t>
            </w:r>
            <w:r>
              <w:rPr>
                <w:b/>
              </w:rPr>
              <w:t>,</w:t>
            </w:r>
            <w:r w:rsidRPr="00EE1C73">
              <w:rPr>
                <w:b/>
              </w:rPr>
              <w:t>281</w:t>
            </w:r>
            <w:r>
              <w:rPr>
                <w:b/>
              </w:rPr>
              <w:t>,</w:t>
            </w:r>
            <w:r w:rsidRPr="00EE1C73">
              <w:rPr>
                <w:b/>
              </w:rPr>
              <w:t>416</w:t>
            </w:r>
          </w:p>
        </w:tc>
        <w:tc>
          <w:tcPr>
            <w:tcW w:w="283" w:type="dxa"/>
            <w:tcBorders>
              <w:top w:val="nil"/>
              <w:bottom w:val="nil"/>
            </w:tcBorders>
            <w:shd w:val="clear" w:color="auto" w:fill="auto"/>
            <w:vAlign w:val="center"/>
          </w:tcPr>
          <w:p w14:paraId="67F5DDFD" w14:textId="77777777" w:rsidR="00AF04B6" w:rsidRPr="004E46CF"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134" w:type="dxa"/>
            <w:tcBorders>
              <w:top w:val="nil"/>
              <w:left w:val="nil"/>
              <w:bottom w:val="nil"/>
              <w:right w:val="nil"/>
            </w:tcBorders>
            <w:shd w:val="clear" w:color="auto" w:fill="auto"/>
            <w:vAlign w:val="center"/>
          </w:tcPr>
          <w:p w14:paraId="5E522C5E" w14:textId="77777777" w:rsidR="00AF04B6" w:rsidRPr="004E46CF"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AA591E">
              <w:rPr>
                <w:b/>
                <w:bCs/>
              </w:rPr>
              <w:t>7</w:t>
            </w:r>
            <w:r>
              <w:rPr>
                <w:b/>
                <w:bCs/>
              </w:rPr>
              <w:t>,</w:t>
            </w:r>
            <w:r w:rsidRPr="00AA591E">
              <w:rPr>
                <w:b/>
                <w:bCs/>
              </w:rPr>
              <w:t>596</w:t>
            </w:r>
            <w:r>
              <w:rPr>
                <w:b/>
                <w:bCs/>
              </w:rPr>
              <w:t>,</w:t>
            </w:r>
            <w:r w:rsidRPr="00AA591E">
              <w:rPr>
                <w:b/>
                <w:bCs/>
              </w:rPr>
              <w:t>10</w:t>
            </w:r>
            <w:r>
              <w:rPr>
                <w:b/>
                <w:bCs/>
              </w:rPr>
              <w:t>1</w:t>
            </w:r>
          </w:p>
        </w:tc>
        <w:tc>
          <w:tcPr>
            <w:tcW w:w="1064" w:type="dxa"/>
            <w:tcBorders>
              <w:top w:val="nil"/>
              <w:bottom w:val="nil"/>
            </w:tcBorders>
            <w:shd w:val="clear" w:color="auto" w:fill="auto"/>
            <w:vAlign w:val="center"/>
          </w:tcPr>
          <w:p w14:paraId="117CFCD9" w14:textId="77777777" w:rsidR="00AF04B6" w:rsidRPr="004E46CF"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b/>
                <w:bCs/>
              </w:rPr>
              <w:t>7</w:t>
            </w:r>
            <w:r>
              <w:rPr>
                <w:b/>
                <w:bCs/>
              </w:rPr>
              <w:t>,</w:t>
            </w:r>
            <w:r w:rsidRPr="00EE1C73">
              <w:rPr>
                <w:b/>
                <w:bCs/>
              </w:rPr>
              <w:t>281</w:t>
            </w:r>
            <w:r>
              <w:rPr>
                <w:b/>
                <w:bCs/>
              </w:rPr>
              <w:t>,</w:t>
            </w:r>
            <w:r w:rsidRPr="00EE1C73">
              <w:rPr>
                <w:b/>
                <w:bCs/>
              </w:rPr>
              <w:t>416</w:t>
            </w:r>
          </w:p>
        </w:tc>
      </w:tr>
      <w:tr w:rsidR="00AF04B6" w:rsidRPr="001D6BE8" w14:paraId="31ABD176" w14:textId="77777777" w:rsidTr="009E0AF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39C9B0EB" w14:textId="77777777" w:rsidR="00AF04B6" w:rsidRPr="0038031F" w:rsidRDefault="00AF04B6" w:rsidP="00716135">
            <w:pPr>
              <w:pStyle w:val="08-Tabelageral"/>
              <w:ind w:left="113"/>
              <w:jc w:val="left"/>
            </w:pPr>
          </w:p>
        </w:tc>
        <w:tc>
          <w:tcPr>
            <w:tcW w:w="709" w:type="dxa"/>
            <w:tcBorders>
              <w:top w:val="nil"/>
              <w:bottom w:val="nil"/>
            </w:tcBorders>
            <w:shd w:val="clear" w:color="auto" w:fill="auto"/>
            <w:vAlign w:val="center"/>
          </w:tcPr>
          <w:p w14:paraId="0994FD2C"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134" w:type="dxa"/>
            <w:tcBorders>
              <w:top w:val="nil"/>
              <w:bottom w:val="nil"/>
            </w:tcBorders>
            <w:shd w:val="clear" w:color="auto" w:fill="auto"/>
            <w:vAlign w:val="center"/>
          </w:tcPr>
          <w:p w14:paraId="33C12447" w14:textId="77777777" w:rsidR="00AF04B6" w:rsidRPr="00440BB1"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1399807A"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02E28325" w14:textId="77777777" w:rsidR="00AF04B6" w:rsidRPr="00350BA7"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46CDC61B" w14:textId="77777777" w:rsidR="00AF04B6" w:rsidRPr="006128A8" w:rsidRDefault="00AF04B6" w:rsidP="0071613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4" w:type="dxa"/>
            <w:tcBorders>
              <w:top w:val="nil"/>
              <w:bottom w:val="nil"/>
            </w:tcBorders>
            <w:shd w:val="clear" w:color="auto" w:fill="auto"/>
            <w:vAlign w:val="center"/>
          </w:tcPr>
          <w:p w14:paraId="5F35E555" w14:textId="77777777" w:rsidR="00AF04B6" w:rsidRPr="00CF4B29" w:rsidRDefault="00AF04B6" w:rsidP="00716135">
            <w:pPr>
              <w:pStyle w:val="08-Tabelageral"/>
              <w:cnfStyle w:val="000000100000" w:firstRow="0" w:lastRow="0" w:firstColumn="0" w:lastColumn="0" w:oddVBand="0" w:evenVBand="0" w:oddHBand="1" w:evenHBand="0" w:firstRowFirstColumn="0" w:firstRowLastColumn="0" w:lastRowFirstColumn="0" w:lastRowLastColumn="0"/>
            </w:pPr>
          </w:p>
        </w:tc>
      </w:tr>
      <w:tr w:rsidR="00AF04B6" w:rsidRPr="001D6BE8" w14:paraId="3507A124" w14:textId="77777777" w:rsidTr="009E0AF2">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2" w:space="0" w:color="1F4E79" w:themeColor="accent1" w:themeShade="80"/>
            </w:tcBorders>
            <w:shd w:val="clear" w:color="auto" w:fill="auto"/>
            <w:vAlign w:val="center"/>
          </w:tcPr>
          <w:p w14:paraId="278F5EB4" w14:textId="77777777" w:rsidR="00AF04B6" w:rsidRPr="00CD3714" w:rsidRDefault="00AF04B6" w:rsidP="00716135">
            <w:pPr>
              <w:pStyle w:val="08-Tabelageral"/>
              <w:jc w:val="left"/>
              <w:rPr>
                <w:rFonts w:cs="Arial"/>
                <w:szCs w:val="14"/>
              </w:rPr>
            </w:pPr>
            <w:r w:rsidRPr="00C27294">
              <w:t xml:space="preserve">Total Liabilities </w:t>
            </w:r>
            <w:r>
              <w:t>a</w:t>
            </w:r>
            <w:r w:rsidRPr="00C27294">
              <w:t>nd Equity</w:t>
            </w:r>
          </w:p>
        </w:tc>
        <w:tc>
          <w:tcPr>
            <w:tcW w:w="709" w:type="dxa"/>
            <w:tcBorders>
              <w:top w:val="nil"/>
              <w:bottom w:val="single" w:sz="2" w:space="0" w:color="1F4E79" w:themeColor="accent1" w:themeShade="80"/>
            </w:tcBorders>
            <w:shd w:val="clear" w:color="auto" w:fill="auto"/>
            <w:vAlign w:val="center"/>
          </w:tcPr>
          <w:p w14:paraId="4230FA21" w14:textId="77777777" w:rsidR="00AF04B6" w:rsidRPr="00CF4B29"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szCs w:val="14"/>
              </w:rPr>
            </w:pPr>
          </w:p>
        </w:tc>
        <w:tc>
          <w:tcPr>
            <w:tcW w:w="1134" w:type="dxa"/>
            <w:tcBorders>
              <w:top w:val="nil"/>
              <w:bottom w:val="single" w:sz="2" w:space="0" w:color="1F4E79" w:themeColor="accent1" w:themeShade="80"/>
            </w:tcBorders>
            <w:shd w:val="clear" w:color="auto" w:fill="auto"/>
            <w:vAlign w:val="center"/>
          </w:tcPr>
          <w:p w14:paraId="6BF89C8D" w14:textId="77777777" w:rsidR="00AF04B6" w:rsidRPr="004E46CF"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C017FB">
              <w:rPr>
                <w:rFonts w:cs="Arial"/>
                <w:b/>
                <w:bCs/>
                <w:szCs w:val="14"/>
              </w:rPr>
              <w:t>11</w:t>
            </w:r>
            <w:r>
              <w:rPr>
                <w:rFonts w:cs="Arial"/>
                <w:b/>
                <w:bCs/>
                <w:szCs w:val="14"/>
              </w:rPr>
              <w:t>,</w:t>
            </w:r>
            <w:r w:rsidRPr="00C017FB">
              <w:rPr>
                <w:rFonts w:cs="Arial"/>
                <w:b/>
                <w:bCs/>
                <w:szCs w:val="14"/>
              </w:rPr>
              <w:t>282</w:t>
            </w:r>
            <w:r>
              <w:rPr>
                <w:rFonts w:cs="Arial"/>
                <w:b/>
                <w:bCs/>
                <w:szCs w:val="14"/>
              </w:rPr>
              <w:t>,</w:t>
            </w:r>
            <w:r w:rsidRPr="00C017FB">
              <w:rPr>
                <w:rFonts w:cs="Arial"/>
                <w:b/>
                <w:bCs/>
                <w:szCs w:val="14"/>
              </w:rPr>
              <w:t>424</w:t>
            </w:r>
          </w:p>
        </w:tc>
        <w:tc>
          <w:tcPr>
            <w:tcW w:w="1134" w:type="dxa"/>
            <w:tcBorders>
              <w:top w:val="nil"/>
              <w:bottom w:val="single" w:sz="2" w:space="0" w:color="1F4E79" w:themeColor="accent1" w:themeShade="80"/>
            </w:tcBorders>
            <w:shd w:val="clear" w:color="auto" w:fill="auto"/>
            <w:vAlign w:val="center"/>
          </w:tcPr>
          <w:p w14:paraId="3B9AC1E3" w14:textId="77777777" w:rsidR="00AF04B6" w:rsidRPr="004E46CF"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0547DB">
              <w:rPr>
                <w:rFonts w:cs="Arial"/>
                <w:b/>
                <w:szCs w:val="14"/>
              </w:rPr>
              <w:t>9</w:t>
            </w:r>
            <w:r>
              <w:rPr>
                <w:rFonts w:cs="Arial"/>
                <w:b/>
                <w:szCs w:val="14"/>
              </w:rPr>
              <w:t>,</w:t>
            </w:r>
            <w:r w:rsidRPr="000547DB">
              <w:rPr>
                <w:rFonts w:cs="Arial"/>
                <w:b/>
                <w:szCs w:val="14"/>
              </w:rPr>
              <w:t>124</w:t>
            </w:r>
            <w:r>
              <w:rPr>
                <w:rFonts w:cs="Arial"/>
                <w:b/>
                <w:szCs w:val="14"/>
              </w:rPr>
              <w:t>,</w:t>
            </w:r>
            <w:r w:rsidRPr="000547DB">
              <w:rPr>
                <w:rFonts w:cs="Arial"/>
                <w:b/>
                <w:szCs w:val="14"/>
              </w:rPr>
              <w:t>418</w:t>
            </w:r>
          </w:p>
        </w:tc>
        <w:tc>
          <w:tcPr>
            <w:tcW w:w="283" w:type="dxa"/>
            <w:tcBorders>
              <w:top w:val="nil"/>
              <w:bottom w:val="single" w:sz="2" w:space="0" w:color="1F4E79" w:themeColor="accent1" w:themeShade="80"/>
            </w:tcBorders>
            <w:shd w:val="clear" w:color="auto" w:fill="auto"/>
            <w:vAlign w:val="center"/>
          </w:tcPr>
          <w:p w14:paraId="3B0CF443" w14:textId="77777777" w:rsidR="00AF04B6" w:rsidRPr="004E46CF"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134" w:type="dxa"/>
            <w:tcBorders>
              <w:top w:val="nil"/>
              <w:bottom w:val="single" w:sz="2" w:space="0" w:color="1F4E79" w:themeColor="accent1" w:themeShade="80"/>
            </w:tcBorders>
            <w:shd w:val="clear" w:color="auto" w:fill="auto"/>
            <w:vAlign w:val="center"/>
          </w:tcPr>
          <w:p w14:paraId="7B037D29" w14:textId="77777777" w:rsidR="00AF04B6" w:rsidRPr="004E46CF"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AA591E">
              <w:rPr>
                <w:rFonts w:cs="Arial"/>
                <w:b/>
                <w:bCs/>
                <w:szCs w:val="14"/>
              </w:rPr>
              <w:t>16</w:t>
            </w:r>
            <w:r>
              <w:rPr>
                <w:rFonts w:cs="Arial"/>
                <w:b/>
                <w:bCs/>
                <w:szCs w:val="14"/>
              </w:rPr>
              <w:t>,</w:t>
            </w:r>
            <w:r w:rsidRPr="00AA591E">
              <w:rPr>
                <w:rFonts w:cs="Arial"/>
                <w:b/>
                <w:bCs/>
                <w:szCs w:val="14"/>
              </w:rPr>
              <w:t>129</w:t>
            </w:r>
            <w:r>
              <w:rPr>
                <w:rFonts w:cs="Arial"/>
                <w:b/>
                <w:bCs/>
                <w:szCs w:val="14"/>
              </w:rPr>
              <w:t>,</w:t>
            </w:r>
            <w:r w:rsidRPr="00AA591E">
              <w:rPr>
                <w:rFonts w:cs="Arial"/>
                <w:b/>
                <w:bCs/>
                <w:szCs w:val="14"/>
              </w:rPr>
              <w:t>832</w:t>
            </w:r>
          </w:p>
        </w:tc>
        <w:tc>
          <w:tcPr>
            <w:tcW w:w="1064" w:type="dxa"/>
            <w:tcBorders>
              <w:top w:val="nil"/>
              <w:bottom w:val="single" w:sz="2" w:space="0" w:color="1F4E79" w:themeColor="accent1" w:themeShade="80"/>
            </w:tcBorders>
            <w:shd w:val="clear" w:color="auto" w:fill="auto"/>
            <w:vAlign w:val="center"/>
          </w:tcPr>
          <w:p w14:paraId="4FE59165" w14:textId="77777777" w:rsidR="00AF04B6" w:rsidRPr="004E46CF" w:rsidRDefault="00AF04B6" w:rsidP="00716135">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bCs/>
                <w:szCs w:val="14"/>
              </w:rPr>
              <w:t>13</w:t>
            </w:r>
            <w:r>
              <w:rPr>
                <w:rFonts w:cs="Arial"/>
                <w:b/>
                <w:bCs/>
                <w:szCs w:val="14"/>
              </w:rPr>
              <w:t>,</w:t>
            </w:r>
            <w:r w:rsidRPr="00EE1C73">
              <w:rPr>
                <w:rFonts w:cs="Arial"/>
                <w:b/>
                <w:bCs/>
                <w:szCs w:val="14"/>
              </w:rPr>
              <w:t>314</w:t>
            </w:r>
            <w:r>
              <w:rPr>
                <w:rFonts w:cs="Arial"/>
                <w:b/>
                <w:bCs/>
                <w:szCs w:val="14"/>
              </w:rPr>
              <w:t>,</w:t>
            </w:r>
            <w:r w:rsidRPr="00EE1C73">
              <w:rPr>
                <w:rFonts w:cs="Arial"/>
                <w:b/>
                <w:bCs/>
                <w:szCs w:val="14"/>
              </w:rPr>
              <w:t>221</w:t>
            </w:r>
          </w:p>
        </w:tc>
      </w:tr>
    </w:tbl>
    <w:p w14:paraId="00BDA691" w14:textId="77777777" w:rsidR="00AF04B6" w:rsidRPr="00BD6C7E" w:rsidRDefault="00AF04B6" w:rsidP="009908A8">
      <w:pPr>
        <w:rPr>
          <w:rFonts w:cs="Arial"/>
          <w:sz w:val="14"/>
          <w:szCs w:val="14"/>
          <w:lang w:val="en-US"/>
        </w:rPr>
      </w:pPr>
      <w:r w:rsidRPr="007E0F9F">
        <w:rPr>
          <w:rFonts w:cs="Arial"/>
          <w:sz w:val="14"/>
          <w:szCs w:val="14"/>
          <w:lang w:val="en-US"/>
        </w:rPr>
        <w:t>The accompanying notes are an integral part of these financial statements.</w:t>
      </w:r>
      <w:r w:rsidRPr="00BD6C7E">
        <w:rPr>
          <w:lang w:val="en-US"/>
        </w:rPr>
        <w:br w:type="page"/>
      </w:r>
    </w:p>
    <w:p w14:paraId="06ABBCE8" w14:textId="77777777" w:rsidR="00AF04B6" w:rsidRPr="00BA4C93" w:rsidRDefault="00AF04B6" w:rsidP="00FC4475">
      <w:pPr>
        <w:pStyle w:val="Ttulo1"/>
      </w:pPr>
      <w:bookmarkStart w:id="17" w:name="_Toc126781088"/>
      <w:r w:rsidRPr="00BA4C93">
        <w:lastRenderedPageBreak/>
        <w:t>STATEMENT OF CASH FLOWS</w:t>
      </w:r>
      <w:bookmarkEnd w:id="17"/>
    </w:p>
    <w:p w14:paraId="057AB48D" w14:textId="77777777" w:rsidR="00AF04B6" w:rsidRPr="00BD6C7E" w:rsidRDefault="00AF04B6" w:rsidP="00ED130E">
      <w:pPr>
        <w:pStyle w:val="01-TtulodeNota"/>
        <w:spacing w:before="0" w:after="0"/>
        <w:jc w:val="right"/>
        <w:rPr>
          <w:sz w:val="12"/>
          <w:szCs w:val="12"/>
          <w:lang w:val="en-US"/>
        </w:rPr>
      </w:pPr>
      <w:r w:rsidRPr="00BD6C7E">
        <w:rPr>
          <w:sz w:val="12"/>
          <w:szCs w:val="12"/>
          <w:lang w:val="en-US"/>
        </w:rPr>
        <w:t>R$ thousand</w:t>
      </w:r>
    </w:p>
    <w:tbl>
      <w:tblPr>
        <w:tblStyle w:val="TabeladeLista6Colorida-nfase5"/>
        <w:tblW w:w="9923" w:type="dxa"/>
        <w:jc w:val="center"/>
        <w:tblLayout w:type="fixed"/>
        <w:tblLook w:val="04A0" w:firstRow="1" w:lastRow="0" w:firstColumn="1" w:lastColumn="0" w:noHBand="0" w:noVBand="1"/>
      </w:tblPr>
      <w:tblGrid>
        <w:gridCol w:w="4464"/>
        <w:gridCol w:w="781"/>
        <w:gridCol w:w="1134"/>
        <w:gridCol w:w="1134"/>
        <w:gridCol w:w="281"/>
        <w:gridCol w:w="1030"/>
        <w:gridCol w:w="1099"/>
      </w:tblGrid>
      <w:tr w:rsidR="00AF04B6" w14:paraId="4DDE5CE0" w14:textId="77777777" w:rsidTr="00A36985">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464" w:type="dxa"/>
            <w:tcBorders>
              <w:top w:val="single" w:sz="2" w:space="0" w:color="1F4E79" w:themeColor="accent1" w:themeShade="80"/>
              <w:bottom w:val="nil"/>
            </w:tcBorders>
            <w:shd w:val="clear" w:color="auto" w:fill="auto"/>
            <w:vAlign w:val="center"/>
          </w:tcPr>
          <w:p w14:paraId="4F6D40E7" w14:textId="77777777" w:rsidR="00AF04B6" w:rsidRPr="00BD6C7E" w:rsidRDefault="00AF04B6" w:rsidP="005D526C">
            <w:pPr>
              <w:jc w:val="center"/>
              <w:rPr>
                <w:rFonts w:cs="Arial"/>
                <w:b w:val="0"/>
                <w:szCs w:val="18"/>
                <w:lang w:val="en-US"/>
              </w:rPr>
            </w:pPr>
          </w:p>
        </w:tc>
        <w:tc>
          <w:tcPr>
            <w:tcW w:w="781" w:type="dxa"/>
            <w:tcBorders>
              <w:top w:val="single" w:sz="2" w:space="0" w:color="1F4E79" w:themeColor="accent1" w:themeShade="80"/>
              <w:bottom w:val="nil"/>
            </w:tcBorders>
            <w:shd w:val="clear" w:color="auto" w:fill="auto"/>
            <w:vAlign w:val="center"/>
          </w:tcPr>
          <w:p w14:paraId="2D5FBE8A" w14:textId="77777777" w:rsidR="00AF04B6" w:rsidRPr="00BD6C7E" w:rsidRDefault="00AF04B6" w:rsidP="005D526C">
            <w:pP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265" w:type="dxa"/>
            <w:gridSpan w:val="2"/>
            <w:tcBorders>
              <w:top w:val="single" w:sz="2" w:space="0" w:color="1F4E79" w:themeColor="accent1" w:themeShade="80"/>
              <w:bottom w:val="single" w:sz="2" w:space="0" w:color="1F4E79" w:themeColor="accent1" w:themeShade="80"/>
            </w:tcBorders>
            <w:shd w:val="clear" w:color="auto" w:fill="auto"/>
            <w:vAlign w:val="center"/>
          </w:tcPr>
          <w:p w14:paraId="4D1D8368" w14:textId="77777777" w:rsidR="00AF04B6" w:rsidRPr="0038031F" w:rsidRDefault="00AF04B6" w:rsidP="005D526C">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9768B6">
              <w:rPr>
                <w:rFonts w:cs="Arial"/>
                <w:sz w:val="14"/>
                <w:szCs w:val="18"/>
              </w:rPr>
              <w:t>Parent</w:t>
            </w:r>
          </w:p>
        </w:tc>
        <w:tc>
          <w:tcPr>
            <w:tcW w:w="281" w:type="dxa"/>
            <w:tcBorders>
              <w:top w:val="single" w:sz="2" w:space="0" w:color="1F4E79" w:themeColor="accent1" w:themeShade="80"/>
              <w:bottom w:val="nil"/>
            </w:tcBorders>
            <w:shd w:val="clear" w:color="auto" w:fill="auto"/>
            <w:vAlign w:val="center"/>
          </w:tcPr>
          <w:p w14:paraId="00470D5E" w14:textId="77777777" w:rsidR="00AF04B6" w:rsidRPr="001D6BE8" w:rsidRDefault="00AF04B6" w:rsidP="005D526C">
            <w:pP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129" w:type="dxa"/>
            <w:gridSpan w:val="2"/>
            <w:tcBorders>
              <w:top w:val="single" w:sz="2" w:space="0" w:color="1F4E79" w:themeColor="accent1" w:themeShade="80"/>
              <w:bottom w:val="single" w:sz="2" w:space="0" w:color="1F4E79" w:themeColor="accent1" w:themeShade="80"/>
            </w:tcBorders>
            <w:shd w:val="clear" w:color="auto" w:fill="auto"/>
            <w:vAlign w:val="center"/>
          </w:tcPr>
          <w:p w14:paraId="40D887CB" w14:textId="77777777" w:rsidR="00AF04B6" w:rsidRPr="0038031F" w:rsidRDefault="00AF04B6" w:rsidP="005D526C">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9768B6">
              <w:rPr>
                <w:rFonts w:cs="Arial"/>
                <w:sz w:val="14"/>
                <w:szCs w:val="18"/>
              </w:rPr>
              <w:t>Consolidated</w:t>
            </w:r>
          </w:p>
        </w:tc>
      </w:tr>
      <w:tr w:rsidR="00AF04B6" w:rsidRPr="001D6BE8" w14:paraId="1047CACA" w14:textId="77777777" w:rsidTr="00A36985">
        <w:trPr>
          <w:cnfStyle w:val="000000100000" w:firstRow="0" w:lastRow="0" w:firstColumn="0" w:lastColumn="0" w:oddVBand="0" w:evenVBand="0" w:oddHBand="1" w:evenHBand="0" w:firstRowFirstColumn="0" w:firstRowLastColumn="0" w:lastRowFirstColumn="0" w:lastRowLastColumn="0"/>
          <w:trHeight w:hRule="exact" w:val="369"/>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single" w:sz="2" w:space="0" w:color="1F4E79" w:themeColor="accent1" w:themeShade="80"/>
            </w:tcBorders>
            <w:shd w:val="clear" w:color="auto" w:fill="auto"/>
            <w:vAlign w:val="center"/>
          </w:tcPr>
          <w:p w14:paraId="669DD557" w14:textId="77777777" w:rsidR="00AF04B6" w:rsidRPr="001D6BE8" w:rsidRDefault="00AF04B6" w:rsidP="0039314B">
            <w:pPr>
              <w:pStyle w:val="08-Tabelageral"/>
              <w:jc w:val="left"/>
              <w:rPr>
                <w:rFonts w:cs="Arial"/>
                <w:b w:val="0"/>
              </w:rPr>
            </w:pPr>
          </w:p>
        </w:tc>
        <w:tc>
          <w:tcPr>
            <w:tcW w:w="781" w:type="dxa"/>
            <w:tcBorders>
              <w:top w:val="nil"/>
              <w:bottom w:val="single" w:sz="2" w:space="0" w:color="1F4E79" w:themeColor="accent1" w:themeShade="80"/>
            </w:tcBorders>
            <w:shd w:val="clear" w:color="auto" w:fill="auto"/>
            <w:vAlign w:val="center"/>
          </w:tcPr>
          <w:p w14:paraId="500E4DE3" w14:textId="77777777" w:rsidR="00AF04B6" w:rsidRPr="001D6BE8" w:rsidRDefault="00AF04B6" w:rsidP="0039314B">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r w:rsidRPr="008E15BF">
              <w:rPr>
                <w:rFonts w:cs="Arial"/>
                <w:b/>
              </w:rPr>
              <w:t>Not</w:t>
            </w:r>
            <w:r>
              <w:rPr>
                <w:rFonts w:cs="Arial"/>
                <w:b/>
              </w:rPr>
              <w:t>e</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4FCECACA" w14:textId="77777777" w:rsidR="00AF04B6" w:rsidRPr="001D6BE8"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DC10AE">
              <w:rPr>
                <w:rFonts w:cs="Arial"/>
                <w:b/>
              </w:rPr>
              <w:t>2022</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4B46929B" w14:textId="77777777" w:rsidR="00AF04B6" w:rsidRPr="001D6BE8"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DC10AE">
              <w:rPr>
                <w:rFonts w:cs="Arial"/>
                <w:b/>
              </w:rPr>
              <w:t>202</w:t>
            </w:r>
            <w:r>
              <w:rPr>
                <w:rFonts w:cs="Arial"/>
                <w:b/>
              </w:rPr>
              <w:t>1</w:t>
            </w:r>
          </w:p>
        </w:tc>
        <w:tc>
          <w:tcPr>
            <w:tcW w:w="281" w:type="dxa"/>
            <w:tcBorders>
              <w:top w:val="nil"/>
              <w:bottom w:val="single" w:sz="2" w:space="0" w:color="1F4E79" w:themeColor="accent1" w:themeShade="80"/>
            </w:tcBorders>
            <w:shd w:val="clear" w:color="auto" w:fill="auto"/>
            <w:vAlign w:val="center"/>
          </w:tcPr>
          <w:p w14:paraId="6D731B5F" w14:textId="77777777" w:rsidR="00AF04B6" w:rsidRPr="001D6BE8" w:rsidRDefault="00AF04B6" w:rsidP="0039314B">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030" w:type="dxa"/>
            <w:tcBorders>
              <w:top w:val="single" w:sz="2" w:space="0" w:color="1F4E79" w:themeColor="accent1" w:themeShade="80"/>
              <w:bottom w:val="single" w:sz="2" w:space="0" w:color="1F4E79" w:themeColor="accent1" w:themeShade="80"/>
            </w:tcBorders>
            <w:shd w:val="clear" w:color="auto" w:fill="auto"/>
            <w:vAlign w:val="center"/>
          </w:tcPr>
          <w:p w14:paraId="73EE0E42" w14:textId="77777777" w:rsidR="00AF04B6" w:rsidRPr="001D6BE8"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DC10AE">
              <w:rPr>
                <w:rFonts w:cs="Arial"/>
                <w:b/>
              </w:rPr>
              <w:t>2022</w:t>
            </w:r>
          </w:p>
        </w:tc>
        <w:tc>
          <w:tcPr>
            <w:tcW w:w="1099" w:type="dxa"/>
            <w:tcBorders>
              <w:top w:val="single" w:sz="2" w:space="0" w:color="1F4E79" w:themeColor="accent1" w:themeShade="80"/>
              <w:bottom w:val="single" w:sz="2" w:space="0" w:color="1F4E79" w:themeColor="accent1" w:themeShade="80"/>
            </w:tcBorders>
            <w:shd w:val="clear" w:color="auto" w:fill="auto"/>
            <w:vAlign w:val="center"/>
          </w:tcPr>
          <w:p w14:paraId="0EA5F8D5" w14:textId="77777777" w:rsidR="00AF04B6" w:rsidRPr="00453FA2"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b/>
              </w:rPr>
            </w:pPr>
            <w:r w:rsidRPr="00DC10AE">
              <w:rPr>
                <w:b/>
              </w:rPr>
              <w:t>202</w:t>
            </w:r>
            <w:r>
              <w:rPr>
                <w:b/>
              </w:rPr>
              <w:t>1</w:t>
            </w:r>
          </w:p>
        </w:tc>
      </w:tr>
      <w:tr w:rsidR="00AF04B6" w:rsidRPr="00960237" w14:paraId="15175288"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single" w:sz="2" w:space="0" w:color="1F4E79" w:themeColor="accent1" w:themeShade="80"/>
              <w:bottom w:val="nil"/>
            </w:tcBorders>
            <w:shd w:val="clear" w:color="auto" w:fill="auto"/>
            <w:vAlign w:val="center"/>
          </w:tcPr>
          <w:p w14:paraId="2D3B5ED5" w14:textId="77777777" w:rsidR="00AF04B6" w:rsidRPr="00BD6C7E" w:rsidRDefault="00AF04B6" w:rsidP="00964EDF">
            <w:pPr>
              <w:pStyle w:val="08-Tabelageral"/>
              <w:jc w:val="left"/>
              <w:rPr>
                <w:b w:val="0"/>
                <w:lang w:val="en-US"/>
              </w:rPr>
            </w:pPr>
            <w:r w:rsidRPr="00BD6C7E">
              <w:rPr>
                <w:lang w:val="en-US"/>
              </w:rPr>
              <w:t>Cash flow from operating activities</w:t>
            </w:r>
          </w:p>
        </w:tc>
        <w:tc>
          <w:tcPr>
            <w:tcW w:w="781" w:type="dxa"/>
            <w:tcBorders>
              <w:top w:val="single" w:sz="2" w:space="0" w:color="1F4E79" w:themeColor="accent1" w:themeShade="80"/>
              <w:bottom w:val="nil"/>
            </w:tcBorders>
            <w:shd w:val="clear" w:color="auto" w:fill="auto"/>
            <w:vAlign w:val="center"/>
          </w:tcPr>
          <w:p w14:paraId="59B1D4BD" w14:textId="77777777" w:rsidR="00AF04B6" w:rsidRPr="00BD6C7E" w:rsidRDefault="00AF04B6" w:rsidP="00964EDF">
            <w:pPr>
              <w:pStyle w:val="08-Tabelageral"/>
              <w:jc w:val="left"/>
              <w:cnfStyle w:val="000000000000" w:firstRow="0" w:lastRow="0" w:firstColumn="0" w:lastColumn="0" w:oddVBand="0" w:evenVBand="0" w:oddHBand="0" w:evenHBand="0" w:firstRowFirstColumn="0" w:firstRowLastColumn="0" w:lastRowFirstColumn="0" w:lastRowLastColumn="0"/>
              <w:rPr>
                <w:lang w:val="en-US"/>
              </w:rPr>
            </w:pPr>
          </w:p>
        </w:tc>
        <w:tc>
          <w:tcPr>
            <w:tcW w:w="1134" w:type="dxa"/>
            <w:tcBorders>
              <w:top w:val="single" w:sz="2" w:space="0" w:color="1F4E79" w:themeColor="accent1" w:themeShade="80"/>
              <w:bottom w:val="nil"/>
            </w:tcBorders>
            <w:shd w:val="clear" w:color="auto" w:fill="auto"/>
            <w:vAlign w:val="center"/>
          </w:tcPr>
          <w:p w14:paraId="163B3BD1" w14:textId="77777777" w:rsidR="00AF04B6" w:rsidRPr="00BD6C7E" w:rsidRDefault="00AF04B6" w:rsidP="00964EDF">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134" w:type="dxa"/>
            <w:tcBorders>
              <w:top w:val="single" w:sz="2" w:space="0" w:color="1F4E79" w:themeColor="accent1" w:themeShade="80"/>
              <w:bottom w:val="nil"/>
            </w:tcBorders>
            <w:shd w:val="clear" w:color="auto" w:fill="auto"/>
            <w:vAlign w:val="center"/>
          </w:tcPr>
          <w:p w14:paraId="79727CA4" w14:textId="77777777" w:rsidR="00AF04B6" w:rsidRPr="00BD6C7E" w:rsidRDefault="00AF04B6" w:rsidP="00964EDF">
            <w:pPr>
              <w:pStyle w:val="08-Tabelageral"/>
              <w:cnfStyle w:val="000000000000" w:firstRow="0" w:lastRow="0" w:firstColumn="0" w:lastColumn="0" w:oddVBand="0" w:evenVBand="0" w:oddHBand="0" w:evenHBand="0" w:firstRowFirstColumn="0" w:firstRowLastColumn="0" w:lastRowFirstColumn="0" w:lastRowLastColumn="0"/>
              <w:rPr>
                <w:lang w:val="en-US"/>
              </w:rPr>
            </w:pPr>
          </w:p>
        </w:tc>
        <w:tc>
          <w:tcPr>
            <w:tcW w:w="281" w:type="dxa"/>
            <w:tcBorders>
              <w:top w:val="nil"/>
              <w:bottom w:val="nil"/>
            </w:tcBorders>
            <w:shd w:val="clear" w:color="auto" w:fill="auto"/>
            <w:vAlign w:val="center"/>
          </w:tcPr>
          <w:p w14:paraId="382496DD" w14:textId="77777777" w:rsidR="00AF04B6" w:rsidRPr="00BD6C7E" w:rsidRDefault="00AF04B6" w:rsidP="00964EDF">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030" w:type="dxa"/>
            <w:tcBorders>
              <w:top w:val="single" w:sz="2" w:space="0" w:color="1F4E79" w:themeColor="accent1" w:themeShade="80"/>
              <w:bottom w:val="nil"/>
            </w:tcBorders>
            <w:shd w:val="clear" w:color="auto" w:fill="auto"/>
            <w:vAlign w:val="center"/>
          </w:tcPr>
          <w:p w14:paraId="6EBC7CB7" w14:textId="77777777" w:rsidR="00AF04B6" w:rsidRPr="00BD6C7E" w:rsidRDefault="00AF04B6" w:rsidP="00964EDF">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099" w:type="dxa"/>
            <w:tcBorders>
              <w:top w:val="single" w:sz="2" w:space="0" w:color="1F4E79" w:themeColor="accent1" w:themeShade="80"/>
              <w:bottom w:val="nil"/>
            </w:tcBorders>
            <w:shd w:val="clear" w:color="auto" w:fill="auto"/>
            <w:vAlign w:val="center"/>
          </w:tcPr>
          <w:p w14:paraId="50096FEA" w14:textId="77777777" w:rsidR="00AF04B6" w:rsidRPr="00BD6C7E" w:rsidRDefault="00AF04B6" w:rsidP="00964EDF">
            <w:pPr>
              <w:pStyle w:val="08-Tabelageral"/>
              <w:cnfStyle w:val="000000000000" w:firstRow="0" w:lastRow="0" w:firstColumn="0" w:lastColumn="0" w:oddVBand="0" w:evenVBand="0" w:oddHBand="0" w:evenHBand="0" w:firstRowFirstColumn="0" w:firstRowLastColumn="0" w:lastRowFirstColumn="0" w:lastRowLastColumn="0"/>
              <w:rPr>
                <w:lang w:val="en-US"/>
              </w:rPr>
            </w:pPr>
          </w:p>
        </w:tc>
      </w:tr>
      <w:tr w:rsidR="00AF04B6" w:rsidRPr="00351E1D" w14:paraId="59708219"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3AC5DBD0" w14:textId="77777777" w:rsidR="00AF04B6" w:rsidRPr="00351E1D" w:rsidRDefault="00AF04B6" w:rsidP="004A4A31">
            <w:pPr>
              <w:pStyle w:val="08-Tabelageral"/>
              <w:ind w:left="113"/>
              <w:jc w:val="left"/>
            </w:pPr>
            <w:r w:rsidRPr="004F2E05">
              <w:rPr>
                <w:bCs w:val="0"/>
              </w:rPr>
              <w:t>Net profit</w:t>
            </w:r>
            <w:r w:rsidRPr="00E03629">
              <w:t xml:space="preserve"> </w:t>
            </w:r>
          </w:p>
        </w:tc>
        <w:tc>
          <w:tcPr>
            <w:tcW w:w="781" w:type="dxa"/>
            <w:tcBorders>
              <w:top w:val="nil"/>
              <w:bottom w:val="nil"/>
            </w:tcBorders>
            <w:shd w:val="clear" w:color="auto" w:fill="auto"/>
            <w:vAlign w:val="center"/>
          </w:tcPr>
          <w:p w14:paraId="538E7B13" w14:textId="77777777" w:rsidR="00AF04B6" w:rsidRPr="00351E1D" w:rsidRDefault="00AF04B6" w:rsidP="004A4A31">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134" w:type="dxa"/>
            <w:tcBorders>
              <w:top w:val="nil"/>
              <w:bottom w:val="nil"/>
            </w:tcBorders>
            <w:shd w:val="clear" w:color="auto" w:fill="auto"/>
            <w:vAlign w:val="center"/>
          </w:tcPr>
          <w:p w14:paraId="1C1470CE" w14:textId="77777777" w:rsidR="00AF04B6" w:rsidRPr="002D3429" w:rsidRDefault="00AF04B6" w:rsidP="004A4A31">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CF113B">
              <w:rPr>
                <w:rFonts w:cs="Arial"/>
                <w:b/>
                <w:szCs w:val="14"/>
              </w:rPr>
              <w:t>6</w:t>
            </w:r>
            <w:r>
              <w:rPr>
                <w:rFonts w:cs="Arial"/>
                <w:b/>
                <w:szCs w:val="14"/>
              </w:rPr>
              <w:t>,</w:t>
            </w:r>
            <w:r w:rsidRPr="00CF113B">
              <w:rPr>
                <w:rFonts w:cs="Arial"/>
                <w:b/>
                <w:szCs w:val="14"/>
              </w:rPr>
              <w:t>044</w:t>
            </w:r>
            <w:r>
              <w:rPr>
                <w:rFonts w:cs="Arial"/>
                <w:b/>
                <w:szCs w:val="14"/>
              </w:rPr>
              <w:t>,</w:t>
            </w:r>
            <w:r w:rsidRPr="00CF113B">
              <w:rPr>
                <w:rFonts w:cs="Arial"/>
                <w:b/>
                <w:szCs w:val="14"/>
              </w:rPr>
              <w:t>571</w:t>
            </w:r>
          </w:p>
        </w:tc>
        <w:tc>
          <w:tcPr>
            <w:tcW w:w="1134" w:type="dxa"/>
            <w:tcBorders>
              <w:top w:val="nil"/>
              <w:bottom w:val="nil"/>
            </w:tcBorders>
            <w:shd w:val="clear" w:color="auto" w:fill="auto"/>
            <w:vAlign w:val="center"/>
          </w:tcPr>
          <w:p w14:paraId="57384DB3" w14:textId="77777777" w:rsidR="00AF04B6" w:rsidRPr="002D3429" w:rsidRDefault="00AF04B6" w:rsidP="004A4A31">
            <w:pPr>
              <w:pStyle w:val="08-Tabelageral"/>
              <w:cnfStyle w:val="000000100000" w:firstRow="0" w:lastRow="0" w:firstColumn="0" w:lastColumn="0" w:oddVBand="0" w:evenVBand="0" w:oddHBand="1" w:evenHBand="0" w:firstRowFirstColumn="0" w:firstRowLastColumn="0" w:lastRowFirstColumn="0" w:lastRowLastColumn="0"/>
              <w:rPr>
                <w:b/>
                <w:bCs/>
              </w:rPr>
            </w:pPr>
            <w:r w:rsidRPr="006A2E04">
              <w:rPr>
                <w:b/>
              </w:rPr>
              <w:t>3</w:t>
            </w:r>
            <w:r>
              <w:rPr>
                <w:b/>
              </w:rPr>
              <w:t>,</w:t>
            </w:r>
            <w:r w:rsidRPr="006A2E04">
              <w:rPr>
                <w:b/>
              </w:rPr>
              <w:t>933</w:t>
            </w:r>
            <w:r>
              <w:rPr>
                <w:b/>
              </w:rPr>
              <w:t>,</w:t>
            </w:r>
            <w:r w:rsidRPr="006A2E04">
              <w:rPr>
                <w:b/>
              </w:rPr>
              <w:t>217</w:t>
            </w:r>
          </w:p>
        </w:tc>
        <w:tc>
          <w:tcPr>
            <w:tcW w:w="281" w:type="dxa"/>
            <w:tcBorders>
              <w:top w:val="nil"/>
              <w:bottom w:val="nil"/>
            </w:tcBorders>
            <w:shd w:val="clear" w:color="auto" w:fill="auto"/>
            <w:vAlign w:val="center"/>
          </w:tcPr>
          <w:p w14:paraId="2609B514" w14:textId="77777777" w:rsidR="00AF04B6" w:rsidRPr="002D3429" w:rsidRDefault="00AF04B6" w:rsidP="004A4A31">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030" w:type="dxa"/>
            <w:tcBorders>
              <w:top w:val="nil"/>
              <w:bottom w:val="nil"/>
            </w:tcBorders>
            <w:shd w:val="clear" w:color="auto" w:fill="auto"/>
            <w:vAlign w:val="center"/>
          </w:tcPr>
          <w:p w14:paraId="5D748D11" w14:textId="77777777" w:rsidR="00AF04B6" w:rsidRPr="002D3429" w:rsidRDefault="00AF04B6" w:rsidP="004A4A31">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7273CE">
              <w:rPr>
                <w:rFonts w:cs="Arial"/>
                <w:b/>
                <w:bCs/>
                <w:szCs w:val="14"/>
              </w:rPr>
              <w:t>6</w:t>
            </w:r>
            <w:r>
              <w:rPr>
                <w:rFonts w:cs="Arial"/>
                <w:b/>
                <w:bCs/>
                <w:szCs w:val="14"/>
              </w:rPr>
              <w:t>,</w:t>
            </w:r>
            <w:r w:rsidRPr="007273CE">
              <w:rPr>
                <w:rFonts w:cs="Arial"/>
                <w:b/>
                <w:bCs/>
                <w:szCs w:val="14"/>
              </w:rPr>
              <w:t>044</w:t>
            </w:r>
            <w:r>
              <w:rPr>
                <w:rFonts w:cs="Arial"/>
                <w:b/>
                <w:bCs/>
                <w:szCs w:val="14"/>
              </w:rPr>
              <w:t>,</w:t>
            </w:r>
            <w:r w:rsidRPr="007273CE">
              <w:rPr>
                <w:rFonts w:cs="Arial"/>
                <w:b/>
                <w:bCs/>
                <w:szCs w:val="14"/>
              </w:rPr>
              <w:t>571</w:t>
            </w:r>
          </w:p>
        </w:tc>
        <w:tc>
          <w:tcPr>
            <w:tcW w:w="1099" w:type="dxa"/>
            <w:tcBorders>
              <w:top w:val="nil"/>
              <w:bottom w:val="nil"/>
            </w:tcBorders>
            <w:shd w:val="clear" w:color="auto" w:fill="auto"/>
            <w:vAlign w:val="center"/>
          </w:tcPr>
          <w:p w14:paraId="5B54A5FB" w14:textId="77777777" w:rsidR="00AF04B6" w:rsidRPr="002D3429" w:rsidRDefault="00AF04B6" w:rsidP="004A4A31">
            <w:pPr>
              <w:pStyle w:val="08-Tabelageral"/>
              <w:cnfStyle w:val="000000100000" w:firstRow="0" w:lastRow="0" w:firstColumn="0" w:lastColumn="0" w:oddVBand="0" w:evenVBand="0" w:oddHBand="1" w:evenHBand="0" w:firstRowFirstColumn="0" w:firstRowLastColumn="0" w:lastRowFirstColumn="0" w:lastRowLastColumn="0"/>
              <w:rPr>
                <w:b/>
                <w:bCs/>
              </w:rPr>
            </w:pPr>
            <w:r w:rsidRPr="006A2E04">
              <w:rPr>
                <w:b/>
                <w:bCs/>
              </w:rPr>
              <w:t>3</w:t>
            </w:r>
            <w:r>
              <w:rPr>
                <w:b/>
                <w:bCs/>
              </w:rPr>
              <w:t>,</w:t>
            </w:r>
            <w:r w:rsidRPr="006A2E04">
              <w:rPr>
                <w:b/>
                <w:bCs/>
              </w:rPr>
              <w:t>933</w:t>
            </w:r>
            <w:r>
              <w:rPr>
                <w:b/>
                <w:bCs/>
              </w:rPr>
              <w:t>,</w:t>
            </w:r>
            <w:r w:rsidRPr="006A2E04">
              <w:rPr>
                <w:b/>
                <w:bCs/>
              </w:rPr>
              <w:t>217</w:t>
            </w:r>
          </w:p>
        </w:tc>
      </w:tr>
      <w:tr w:rsidR="00AF04B6" w:rsidRPr="004F2E05" w14:paraId="646C759F"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4C3BD2D9" w14:textId="77777777" w:rsidR="00AF04B6" w:rsidRPr="004F2E05" w:rsidRDefault="00AF04B6" w:rsidP="004A4A31">
            <w:pPr>
              <w:pStyle w:val="08-Tabelageral"/>
              <w:ind w:left="113"/>
              <w:jc w:val="left"/>
              <w:rPr>
                <w:bCs w:val="0"/>
              </w:rPr>
            </w:pPr>
            <w:r w:rsidRPr="004F2E05">
              <w:rPr>
                <w:bCs w:val="0"/>
              </w:rPr>
              <w:t>Adjustment to net profit:</w:t>
            </w:r>
          </w:p>
        </w:tc>
        <w:tc>
          <w:tcPr>
            <w:tcW w:w="781" w:type="dxa"/>
            <w:tcBorders>
              <w:top w:val="nil"/>
              <w:bottom w:val="nil"/>
            </w:tcBorders>
            <w:shd w:val="clear" w:color="auto" w:fill="auto"/>
            <w:vAlign w:val="center"/>
          </w:tcPr>
          <w:p w14:paraId="2E149989" w14:textId="77777777" w:rsidR="00AF04B6" w:rsidRPr="004F2E05" w:rsidRDefault="00AF04B6" w:rsidP="004A4A31">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c>
          <w:tcPr>
            <w:tcW w:w="1134" w:type="dxa"/>
            <w:tcBorders>
              <w:top w:val="nil"/>
              <w:bottom w:val="nil"/>
            </w:tcBorders>
            <w:shd w:val="clear" w:color="auto" w:fill="auto"/>
            <w:vAlign w:val="center"/>
          </w:tcPr>
          <w:p w14:paraId="6752FA47" w14:textId="77777777" w:rsidR="00AF04B6" w:rsidRPr="004F2E05" w:rsidRDefault="00AF04B6" w:rsidP="004A4A31">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c>
          <w:tcPr>
            <w:tcW w:w="1134" w:type="dxa"/>
            <w:tcBorders>
              <w:top w:val="nil"/>
              <w:bottom w:val="nil"/>
            </w:tcBorders>
            <w:shd w:val="clear" w:color="auto" w:fill="auto"/>
            <w:vAlign w:val="center"/>
          </w:tcPr>
          <w:p w14:paraId="75586A01" w14:textId="77777777" w:rsidR="00AF04B6" w:rsidRPr="004F2E05" w:rsidRDefault="00AF04B6" w:rsidP="004A4A31">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c>
          <w:tcPr>
            <w:tcW w:w="281" w:type="dxa"/>
            <w:tcBorders>
              <w:top w:val="nil"/>
              <w:bottom w:val="nil"/>
            </w:tcBorders>
            <w:shd w:val="clear" w:color="auto" w:fill="auto"/>
            <w:vAlign w:val="center"/>
          </w:tcPr>
          <w:p w14:paraId="5BE79E00" w14:textId="77777777" w:rsidR="00AF04B6" w:rsidRPr="004F2E05" w:rsidRDefault="00AF04B6" w:rsidP="004A4A31">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c>
          <w:tcPr>
            <w:tcW w:w="1030" w:type="dxa"/>
            <w:tcBorders>
              <w:top w:val="nil"/>
              <w:bottom w:val="nil"/>
            </w:tcBorders>
            <w:shd w:val="clear" w:color="auto" w:fill="auto"/>
            <w:vAlign w:val="center"/>
          </w:tcPr>
          <w:p w14:paraId="5FA546BB" w14:textId="77777777" w:rsidR="00AF04B6" w:rsidRPr="004F2E05" w:rsidRDefault="00AF04B6" w:rsidP="004A4A31">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c>
          <w:tcPr>
            <w:tcW w:w="1099" w:type="dxa"/>
            <w:tcBorders>
              <w:top w:val="nil"/>
              <w:bottom w:val="nil"/>
            </w:tcBorders>
            <w:shd w:val="clear" w:color="auto" w:fill="auto"/>
            <w:vAlign w:val="center"/>
          </w:tcPr>
          <w:p w14:paraId="629760E1" w14:textId="77777777" w:rsidR="00AF04B6" w:rsidRPr="004F2E05" w:rsidRDefault="00AF04B6" w:rsidP="004A4A31">
            <w:pPr>
              <w:pStyle w:val="08-Tabelageral"/>
              <w:ind w:left="113"/>
              <w:jc w:val="left"/>
              <w:cnfStyle w:val="000000000000" w:firstRow="0" w:lastRow="0" w:firstColumn="0" w:lastColumn="0" w:oddVBand="0" w:evenVBand="0" w:oddHBand="0" w:evenHBand="0" w:firstRowFirstColumn="0" w:firstRowLastColumn="0" w:lastRowFirstColumn="0" w:lastRowLastColumn="0"/>
              <w:rPr>
                <w:b/>
              </w:rPr>
            </w:pPr>
          </w:p>
        </w:tc>
      </w:tr>
      <w:tr w:rsidR="00AF04B6" w:rsidRPr="001C7112" w14:paraId="23D899C4"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FE94575" w14:textId="77777777" w:rsidR="00AF04B6" w:rsidRPr="001C7112" w:rsidRDefault="00AF04B6" w:rsidP="004A4A31">
            <w:pPr>
              <w:pStyle w:val="08-Tabelageral"/>
              <w:ind w:left="113"/>
              <w:jc w:val="left"/>
              <w:rPr>
                <w:b w:val="0"/>
              </w:rPr>
            </w:pPr>
            <w:r w:rsidRPr="00E03629">
              <w:rPr>
                <w:b w:val="0"/>
              </w:rPr>
              <w:t>Equity income</w:t>
            </w:r>
          </w:p>
        </w:tc>
        <w:tc>
          <w:tcPr>
            <w:tcW w:w="781" w:type="dxa"/>
            <w:tcBorders>
              <w:top w:val="nil"/>
              <w:bottom w:val="nil"/>
            </w:tcBorders>
            <w:shd w:val="clear" w:color="auto" w:fill="auto"/>
            <w:vAlign w:val="center"/>
          </w:tcPr>
          <w:p w14:paraId="231A542D" w14:textId="77777777" w:rsidR="00AF04B6" w:rsidRPr="001C7112" w:rsidRDefault="00AF04B6" w:rsidP="004A4A31">
            <w:pPr>
              <w:pStyle w:val="08-Tabelageral"/>
              <w:jc w:val="left"/>
              <w:cnfStyle w:val="000000100000" w:firstRow="0" w:lastRow="0" w:firstColumn="0" w:lastColumn="0" w:oddVBand="0" w:evenVBand="0" w:oddHBand="1" w:evenHBand="0" w:firstRowFirstColumn="0" w:firstRowLastColumn="0" w:lastRowFirstColumn="0" w:lastRowLastColumn="0"/>
            </w:pPr>
            <w:r w:rsidRPr="00E0461B">
              <w:t>[7.</w:t>
            </w:r>
            <w:r>
              <w:t>b</w:t>
            </w:r>
            <w:r w:rsidRPr="00E0461B">
              <w:t>]</w:t>
            </w:r>
          </w:p>
        </w:tc>
        <w:tc>
          <w:tcPr>
            <w:tcW w:w="1134" w:type="dxa"/>
            <w:tcBorders>
              <w:top w:val="nil"/>
              <w:bottom w:val="nil"/>
            </w:tcBorders>
            <w:shd w:val="clear" w:color="auto" w:fill="auto"/>
            <w:vAlign w:val="center"/>
          </w:tcPr>
          <w:p w14:paraId="441BFE71" w14:textId="77777777" w:rsidR="00AF04B6" w:rsidRPr="001C7112" w:rsidRDefault="00AF04B6" w:rsidP="004A4A3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CF113B">
              <w:rPr>
                <w:rFonts w:cs="Arial"/>
                <w:szCs w:val="14"/>
              </w:rPr>
              <w:t>(6</w:t>
            </w:r>
            <w:r>
              <w:rPr>
                <w:rFonts w:cs="Arial"/>
                <w:szCs w:val="14"/>
              </w:rPr>
              <w:t>,</w:t>
            </w:r>
            <w:r w:rsidRPr="00CF113B">
              <w:rPr>
                <w:rFonts w:cs="Arial"/>
                <w:szCs w:val="14"/>
              </w:rPr>
              <w:t>042</w:t>
            </w:r>
            <w:r>
              <w:rPr>
                <w:rFonts w:cs="Arial"/>
                <w:szCs w:val="14"/>
              </w:rPr>
              <w:t>,</w:t>
            </w:r>
            <w:r w:rsidRPr="00CF113B">
              <w:rPr>
                <w:rFonts w:cs="Arial"/>
                <w:szCs w:val="14"/>
              </w:rPr>
              <w:t>788)</w:t>
            </w:r>
          </w:p>
        </w:tc>
        <w:tc>
          <w:tcPr>
            <w:tcW w:w="1134" w:type="dxa"/>
            <w:tcBorders>
              <w:top w:val="nil"/>
              <w:bottom w:val="nil"/>
            </w:tcBorders>
            <w:shd w:val="clear" w:color="auto" w:fill="auto"/>
            <w:vAlign w:val="center"/>
          </w:tcPr>
          <w:p w14:paraId="00FD0275" w14:textId="77777777" w:rsidR="00AF04B6" w:rsidRPr="001C7112" w:rsidRDefault="00AF04B6" w:rsidP="004A4A31">
            <w:pPr>
              <w:pStyle w:val="08-Tabelageral"/>
              <w:cnfStyle w:val="000000100000" w:firstRow="0" w:lastRow="0" w:firstColumn="0" w:lastColumn="0" w:oddVBand="0" w:evenVBand="0" w:oddHBand="1" w:evenHBand="0" w:firstRowFirstColumn="0" w:firstRowLastColumn="0" w:lastRowFirstColumn="0" w:lastRowLastColumn="0"/>
            </w:pPr>
            <w:r w:rsidRPr="00C84DCA">
              <w:t>(3</w:t>
            </w:r>
            <w:r>
              <w:t>,</w:t>
            </w:r>
            <w:r w:rsidRPr="00C84DCA">
              <w:t>923</w:t>
            </w:r>
            <w:r>
              <w:t>,</w:t>
            </w:r>
            <w:r w:rsidRPr="00C84DCA">
              <w:t>593)</w:t>
            </w:r>
          </w:p>
        </w:tc>
        <w:tc>
          <w:tcPr>
            <w:tcW w:w="281" w:type="dxa"/>
            <w:tcBorders>
              <w:top w:val="nil"/>
              <w:bottom w:val="nil"/>
            </w:tcBorders>
            <w:shd w:val="clear" w:color="auto" w:fill="auto"/>
            <w:vAlign w:val="center"/>
          </w:tcPr>
          <w:p w14:paraId="0553E7F9" w14:textId="77777777" w:rsidR="00AF04B6" w:rsidRPr="001C7112" w:rsidRDefault="00AF04B6" w:rsidP="004A4A31">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030" w:type="dxa"/>
            <w:tcBorders>
              <w:top w:val="nil"/>
              <w:bottom w:val="nil"/>
            </w:tcBorders>
            <w:shd w:val="clear" w:color="auto" w:fill="auto"/>
            <w:vAlign w:val="center"/>
          </w:tcPr>
          <w:p w14:paraId="7EF6E809" w14:textId="77777777" w:rsidR="00AF04B6" w:rsidRPr="001C7112" w:rsidRDefault="00AF04B6" w:rsidP="004A4A3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273CE">
              <w:rPr>
                <w:rFonts w:cs="Arial"/>
                <w:szCs w:val="14"/>
              </w:rPr>
              <w:t>(3</w:t>
            </w:r>
            <w:r>
              <w:rPr>
                <w:rFonts w:cs="Arial"/>
                <w:szCs w:val="14"/>
              </w:rPr>
              <w:t>,</w:t>
            </w:r>
            <w:r w:rsidRPr="007273CE">
              <w:rPr>
                <w:rFonts w:cs="Arial"/>
                <w:szCs w:val="14"/>
              </w:rPr>
              <w:t>363</w:t>
            </w:r>
            <w:r>
              <w:rPr>
                <w:rFonts w:cs="Arial"/>
                <w:szCs w:val="14"/>
              </w:rPr>
              <w:t>,</w:t>
            </w:r>
            <w:r w:rsidRPr="007273CE">
              <w:rPr>
                <w:rFonts w:cs="Arial"/>
                <w:szCs w:val="14"/>
              </w:rPr>
              <w:t>765)</w:t>
            </w:r>
          </w:p>
        </w:tc>
        <w:tc>
          <w:tcPr>
            <w:tcW w:w="1099" w:type="dxa"/>
            <w:tcBorders>
              <w:top w:val="nil"/>
              <w:bottom w:val="nil"/>
            </w:tcBorders>
            <w:shd w:val="clear" w:color="auto" w:fill="auto"/>
            <w:vAlign w:val="center"/>
          </w:tcPr>
          <w:p w14:paraId="6130AFE4" w14:textId="77777777" w:rsidR="00AF04B6" w:rsidRPr="001C7112" w:rsidRDefault="00AF04B6" w:rsidP="004A4A31">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w:t>
            </w:r>
            <w:r w:rsidRPr="00343BCA">
              <w:rPr>
                <w:rFonts w:cs="Arial"/>
                <w:szCs w:val="14"/>
              </w:rPr>
              <w:t>1</w:t>
            </w:r>
            <w:r>
              <w:rPr>
                <w:rFonts w:cs="Arial"/>
                <w:szCs w:val="14"/>
              </w:rPr>
              <w:t>,</w:t>
            </w:r>
            <w:r w:rsidRPr="00343BCA">
              <w:rPr>
                <w:rFonts w:cs="Arial"/>
                <w:szCs w:val="14"/>
              </w:rPr>
              <w:t>830</w:t>
            </w:r>
            <w:r>
              <w:rPr>
                <w:rFonts w:cs="Arial"/>
                <w:szCs w:val="14"/>
              </w:rPr>
              <w:t>,</w:t>
            </w:r>
            <w:r w:rsidRPr="00343BCA">
              <w:rPr>
                <w:rFonts w:cs="Arial"/>
                <w:szCs w:val="14"/>
              </w:rPr>
              <w:t>355</w:t>
            </w:r>
            <w:r>
              <w:rPr>
                <w:rFonts w:cs="Arial"/>
                <w:szCs w:val="14"/>
              </w:rPr>
              <w:t>)</w:t>
            </w:r>
          </w:p>
        </w:tc>
      </w:tr>
      <w:tr w:rsidR="00AF04B6" w:rsidRPr="001C7112" w14:paraId="52D6914E"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478FC92C" w14:textId="77777777" w:rsidR="00AF04B6" w:rsidRPr="00BD6C7E" w:rsidRDefault="00AF04B6" w:rsidP="004A4A31">
            <w:pPr>
              <w:pStyle w:val="08-Tabelageral"/>
              <w:ind w:left="113"/>
              <w:jc w:val="left"/>
              <w:rPr>
                <w:b w:val="0"/>
                <w:lang w:val="en-US"/>
              </w:rPr>
            </w:pPr>
            <w:r w:rsidRPr="00BD6C7E">
              <w:rPr>
                <w:b w:val="0"/>
                <w:lang w:val="en-US"/>
              </w:rPr>
              <w:t>Net increase in dividends and interest on shareholders' equity</w:t>
            </w:r>
          </w:p>
        </w:tc>
        <w:tc>
          <w:tcPr>
            <w:tcW w:w="781" w:type="dxa"/>
            <w:tcBorders>
              <w:top w:val="nil"/>
              <w:bottom w:val="nil"/>
            </w:tcBorders>
            <w:shd w:val="clear" w:color="auto" w:fill="auto"/>
            <w:vAlign w:val="center"/>
          </w:tcPr>
          <w:p w14:paraId="72257612" w14:textId="77777777" w:rsidR="00AF04B6" w:rsidRPr="00BD6C7E" w:rsidRDefault="00AF04B6" w:rsidP="004A4A31">
            <w:pPr>
              <w:pStyle w:val="08-Tabelageral"/>
              <w:jc w:val="left"/>
              <w:cnfStyle w:val="000000000000" w:firstRow="0" w:lastRow="0" w:firstColumn="0" w:lastColumn="0" w:oddVBand="0" w:evenVBand="0" w:oddHBand="0" w:evenHBand="0" w:firstRowFirstColumn="0" w:firstRowLastColumn="0" w:lastRowFirstColumn="0" w:lastRowLastColumn="0"/>
              <w:rPr>
                <w:lang w:val="en-US"/>
              </w:rPr>
            </w:pPr>
          </w:p>
        </w:tc>
        <w:tc>
          <w:tcPr>
            <w:tcW w:w="1134" w:type="dxa"/>
            <w:tcBorders>
              <w:top w:val="nil"/>
              <w:bottom w:val="nil"/>
            </w:tcBorders>
            <w:shd w:val="clear" w:color="auto" w:fill="auto"/>
            <w:vAlign w:val="center"/>
          </w:tcPr>
          <w:p w14:paraId="222F8F9F" w14:textId="77777777" w:rsidR="00AF04B6" w:rsidRPr="001C7112" w:rsidRDefault="00AF04B6" w:rsidP="004A4A31">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CF113B">
              <w:rPr>
                <w:rFonts w:cs="Arial"/>
                <w:szCs w:val="14"/>
              </w:rPr>
              <w:t>3</w:t>
            </w:r>
            <w:r>
              <w:rPr>
                <w:rFonts w:cs="Arial"/>
                <w:szCs w:val="14"/>
              </w:rPr>
              <w:t>,</w:t>
            </w:r>
            <w:r w:rsidRPr="00CF113B">
              <w:rPr>
                <w:rFonts w:cs="Arial"/>
                <w:szCs w:val="14"/>
              </w:rPr>
              <w:t>639</w:t>
            </w:r>
          </w:p>
        </w:tc>
        <w:tc>
          <w:tcPr>
            <w:tcW w:w="1134" w:type="dxa"/>
            <w:tcBorders>
              <w:top w:val="nil"/>
              <w:bottom w:val="nil"/>
            </w:tcBorders>
            <w:shd w:val="clear" w:color="auto" w:fill="auto"/>
            <w:vAlign w:val="center"/>
          </w:tcPr>
          <w:p w14:paraId="15A57CA3" w14:textId="77777777" w:rsidR="00AF04B6" w:rsidRPr="001C7112" w:rsidRDefault="00AF04B6" w:rsidP="004A4A31">
            <w:pPr>
              <w:pStyle w:val="08-Tabelageral"/>
              <w:cnfStyle w:val="000000000000" w:firstRow="0" w:lastRow="0" w:firstColumn="0" w:lastColumn="0" w:oddVBand="0" w:evenVBand="0" w:oddHBand="0" w:evenHBand="0" w:firstRowFirstColumn="0" w:firstRowLastColumn="0" w:lastRowFirstColumn="0" w:lastRowLastColumn="0"/>
            </w:pPr>
            <w:r w:rsidRPr="00C84DCA">
              <w:t>(311)</w:t>
            </w:r>
          </w:p>
        </w:tc>
        <w:tc>
          <w:tcPr>
            <w:tcW w:w="281" w:type="dxa"/>
            <w:tcBorders>
              <w:top w:val="nil"/>
              <w:bottom w:val="nil"/>
            </w:tcBorders>
            <w:shd w:val="clear" w:color="auto" w:fill="auto"/>
            <w:vAlign w:val="center"/>
          </w:tcPr>
          <w:p w14:paraId="08AB43B3" w14:textId="77777777" w:rsidR="00AF04B6" w:rsidRPr="001C7112" w:rsidRDefault="00AF04B6" w:rsidP="004A4A31">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
        </w:tc>
        <w:tc>
          <w:tcPr>
            <w:tcW w:w="1030" w:type="dxa"/>
            <w:tcBorders>
              <w:top w:val="nil"/>
              <w:bottom w:val="nil"/>
            </w:tcBorders>
            <w:shd w:val="clear" w:color="auto" w:fill="auto"/>
            <w:vAlign w:val="center"/>
          </w:tcPr>
          <w:p w14:paraId="2D50CC45" w14:textId="77777777" w:rsidR="00AF04B6" w:rsidRPr="001C7112" w:rsidRDefault="00AF04B6" w:rsidP="004A4A31">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7273CE">
              <w:rPr>
                <w:rFonts w:cs="Arial"/>
                <w:szCs w:val="14"/>
              </w:rPr>
              <w:t>25</w:t>
            </w:r>
            <w:r>
              <w:rPr>
                <w:rFonts w:cs="Arial"/>
                <w:szCs w:val="14"/>
              </w:rPr>
              <w:t>,</w:t>
            </w:r>
            <w:r w:rsidRPr="007273CE">
              <w:rPr>
                <w:rFonts w:cs="Arial"/>
                <w:szCs w:val="14"/>
              </w:rPr>
              <w:t>745</w:t>
            </w:r>
          </w:p>
        </w:tc>
        <w:tc>
          <w:tcPr>
            <w:tcW w:w="1099" w:type="dxa"/>
            <w:tcBorders>
              <w:top w:val="nil"/>
              <w:bottom w:val="nil"/>
            </w:tcBorders>
            <w:shd w:val="clear" w:color="auto" w:fill="auto"/>
            <w:vAlign w:val="center"/>
          </w:tcPr>
          <w:p w14:paraId="0FB94D49" w14:textId="77777777" w:rsidR="00AF04B6" w:rsidRPr="001C7112" w:rsidRDefault="00AF04B6" w:rsidP="004A4A31">
            <w:pPr>
              <w:pStyle w:val="08-Tabelageral"/>
              <w:cnfStyle w:val="000000000000" w:firstRow="0" w:lastRow="0" w:firstColumn="0" w:lastColumn="0" w:oddVBand="0" w:evenVBand="0" w:oddHBand="0" w:evenHBand="0" w:firstRowFirstColumn="0" w:firstRowLastColumn="0" w:lastRowFirstColumn="0" w:lastRowLastColumn="0"/>
            </w:pPr>
            <w:r w:rsidRPr="00343BCA">
              <w:rPr>
                <w:rFonts w:cs="Arial"/>
                <w:szCs w:val="14"/>
              </w:rPr>
              <w:t>2</w:t>
            </w:r>
            <w:r>
              <w:rPr>
                <w:rFonts w:cs="Arial"/>
                <w:szCs w:val="14"/>
              </w:rPr>
              <w:t>,</w:t>
            </w:r>
            <w:r w:rsidRPr="00343BCA">
              <w:rPr>
                <w:rFonts w:cs="Arial"/>
                <w:szCs w:val="14"/>
              </w:rPr>
              <w:t>623</w:t>
            </w:r>
          </w:p>
        </w:tc>
      </w:tr>
      <w:tr w:rsidR="00AF04B6" w:rsidRPr="001C7112" w14:paraId="3BD7B047"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0C91487D" w14:textId="77777777" w:rsidR="00AF04B6" w:rsidRPr="00617504" w:rsidRDefault="00AF04B6" w:rsidP="004A4A31">
            <w:pPr>
              <w:pStyle w:val="08-Tabelageral"/>
              <w:ind w:left="113"/>
              <w:jc w:val="left"/>
              <w:rPr>
                <w:b w:val="0"/>
                <w:lang w:val="en-US"/>
              </w:rPr>
            </w:pPr>
            <w:r w:rsidRPr="00295DFF">
              <w:rPr>
                <w:b w:val="0"/>
                <w:lang w:val="en-US"/>
              </w:rPr>
              <w:t>Net increase</w:t>
            </w:r>
            <w:r>
              <w:rPr>
                <w:b w:val="0"/>
                <w:lang w:val="en-US"/>
              </w:rPr>
              <w:t xml:space="preserve"> in</w:t>
            </w:r>
            <w:r w:rsidRPr="00617504">
              <w:rPr>
                <w:b w:val="0"/>
                <w:lang w:val="en-US"/>
              </w:rPr>
              <w:t xml:space="preserve"> financial assets at amortized cost</w:t>
            </w:r>
          </w:p>
        </w:tc>
        <w:tc>
          <w:tcPr>
            <w:tcW w:w="781" w:type="dxa"/>
            <w:tcBorders>
              <w:top w:val="nil"/>
              <w:bottom w:val="nil"/>
            </w:tcBorders>
            <w:shd w:val="clear" w:color="auto" w:fill="auto"/>
            <w:vAlign w:val="center"/>
          </w:tcPr>
          <w:p w14:paraId="3C968D25" w14:textId="77777777" w:rsidR="00AF04B6" w:rsidRPr="00BD6C7E" w:rsidRDefault="00AF04B6" w:rsidP="004A4A31">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134" w:type="dxa"/>
            <w:tcBorders>
              <w:top w:val="nil"/>
              <w:bottom w:val="nil"/>
            </w:tcBorders>
            <w:shd w:val="clear" w:color="auto" w:fill="auto"/>
            <w:vAlign w:val="center"/>
          </w:tcPr>
          <w:p w14:paraId="76B1A4F2" w14:textId="77777777" w:rsidR="00AF04B6" w:rsidRPr="0006126C" w:rsidRDefault="00AF04B6" w:rsidP="004A4A31">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134" w:type="dxa"/>
            <w:tcBorders>
              <w:top w:val="nil"/>
              <w:bottom w:val="nil"/>
            </w:tcBorders>
            <w:shd w:val="clear" w:color="auto" w:fill="auto"/>
            <w:vAlign w:val="center"/>
          </w:tcPr>
          <w:p w14:paraId="1811D652" w14:textId="77777777" w:rsidR="00AF04B6" w:rsidRPr="00CE57AB" w:rsidRDefault="00AF04B6" w:rsidP="004A4A31">
            <w:pPr>
              <w:pStyle w:val="08-Tabelageral"/>
              <w:cnfStyle w:val="000000100000" w:firstRow="0" w:lastRow="0" w:firstColumn="0" w:lastColumn="0" w:oddVBand="0" w:evenVBand="0" w:oddHBand="1" w:evenHBand="0" w:firstRowFirstColumn="0" w:firstRowLastColumn="0" w:lastRowFirstColumn="0" w:lastRowLastColumn="0"/>
            </w:pPr>
            <w:r>
              <w:t>--</w:t>
            </w:r>
          </w:p>
        </w:tc>
        <w:tc>
          <w:tcPr>
            <w:tcW w:w="281" w:type="dxa"/>
            <w:tcBorders>
              <w:top w:val="nil"/>
              <w:bottom w:val="nil"/>
            </w:tcBorders>
            <w:shd w:val="clear" w:color="auto" w:fill="auto"/>
            <w:vAlign w:val="center"/>
          </w:tcPr>
          <w:p w14:paraId="7F57CBBF" w14:textId="77777777" w:rsidR="00AF04B6" w:rsidRPr="001C7112" w:rsidRDefault="00AF04B6" w:rsidP="004A4A31">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030" w:type="dxa"/>
            <w:tcBorders>
              <w:top w:val="nil"/>
              <w:bottom w:val="nil"/>
            </w:tcBorders>
            <w:shd w:val="clear" w:color="auto" w:fill="auto"/>
            <w:vAlign w:val="center"/>
          </w:tcPr>
          <w:p w14:paraId="663054EC" w14:textId="77777777" w:rsidR="00AF04B6" w:rsidRPr="00717130" w:rsidRDefault="00AF04B6" w:rsidP="004A4A31">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099" w:type="dxa"/>
            <w:tcBorders>
              <w:top w:val="nil"/>
              <w:bottom w:val="nil"/>
            </w:tcBorders>
            <w:shd w:val="clear" w:color="auto" w:fill="auto"/>
            <w:vAlign w:val="center"/>
          </w:tcPr>
          <w:p w14:paraId="6736C95C" w14:textId="77777777" w:rsidR="00AF04B6" w:rsidRPr="009B325C" w:rsidRDefault="00AF04B6" w:rsidP="004A4A31">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w:t>
            </w:r>
            <w:r w:rsidRPr="00343BCA">
              <w:rPr>
                <w:rFonts w:cs="Arial"/>
                <w:szCs w:val="14"/>
              </w:rPr>
              <w:t>6</w:t>
            </w:r>
            <w:r>
              <w:rPr>
                <w:rFonts w:cs="Arial"/>
                <w:szCs w:val="14"/>
              </w:rPr>
              <w:t>,</w:t>
            </w:r>
            <w:r w:rsidRPr="00343BCA">
              <w:rPr>
                <w:rFonts w:cs="Arial"/>
                <w:szCs w:val="14"/>
              </w:rPr>
              <w:t>309</w:t>
            </w:r>
            <w:r>
              <w:rPr>
                <w:rFonts w:cs="Arial"/>
                <w:szCs w:val="14"/>
              </w:rPr>
              <w:t>)</w:t>
            </w:r>
          </w:p>
        </w:tc>
      </w:tr>
      <w:tr w:rsidR="00AF04B6" w:rsidRPr="001C7112" w14:paraId="34F0D63B"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5C92762C" w14:textId="77777777" w:rsidR="00AF04B6" w:rsidRPr="00342342" w:rsidRDefault="00AF04B6" w:rsidP="004A4A31">
            <w:pPr>
              <w:pStyle w:val="08-Tabelageral"/>
              <w:ind w:left="113"/>
              <w:jc w:val="left"/>
              <w:rPr>
                <w:b w:val="0"/>
                <w:bCs w:val="0"/>
                <w:lang w:val="en-US"/>
              </w:rPr>
            </w:pPr>
            <w:r w:rsidRPr="00342342">
              <w:rPr>
                <w:b w:val="0"/>
                <w:bCs w:val="0"/>
                <w:lang w:val="en-US"/>
              </w:rPr>
              <w:t>Net increase in financial assets at fair value through profit or loss</w:t>
            </w:r>
          </w:p>
        </w:tc>
        <w:tc>
          <w:tcPr>
            <w:tcW w:w="781" w:type="dxa"/>
            <w:tcBorders>
              <w:top w:val="nil"/>
              <w:bottom w:val="nil"/>
            </w:tcBorders>
            <w:shd w:val="clear" w:color="auto" w:fill="auto"/>
            <w:vAlign w:val="center"/>
          </w:tcPr>
          <w:p w14:paraId="79CC62C7" w14:textId="77777777" w:rsidR="00AF04B6" w:rsidRPr="001C7112" w:rsidRDefault="00AF04B6" w:rsidP="004A4A31">
            <w:pPr>
              <w:pStyle w:val="08-Tabelageral"/>
              <w:jc w:val="left"/>
              <w:cnfStyle w:val="000000000000" w:firstRow="0" w:lastRow="0" w:firstColumn="0" w:lastColumn="0" w:oddVBand="0" w:evenVBand="0" w:oddHBand="0" w:evenHBand="0" w:firstRowFirstColumn="0" w:firstRowLastColumn="0" w:lastRowFirstColumn="0" w:lastRowLastColumn="0"/>
            </w:pPr>
            <w:r w:rsidRPr="002F1A89">
              <w:rPr>
                <w:bCs/>
              </w:rPr>
              <w:t>[16.a]</w:t>
            </w:r>
          </w:p>
        </w:tc>
        <w:tc>
          <w:tcPr>
            <w:tcW w:w="1134" w:type="dxa"/>
            <w:tcBorders>
              <w:top w:val="nil"/>
              <w:bottom w:val="nil"/>
            </w:tcBorders>
            <w:shd w:val="clear" w:color="auto" w:fill="auto"/>
            <w:vAlign w:val="center"/>
          </w:tcPr>
          <w:p w14:paraId="30F6629B" w14:textId="77777777" w:rsidR="00AF04B6" w:rsidRPr="00371E3B" w:rsidRDefault="00AF04B6" w:rsidP="004A4A31">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2F1A89">
              <w:rPr>
                <w:rFonts w:cs="Arial"/>
                <w:szCs w:val="14"/>
              </w:rPr>
              <w:t>--</w:t>
            </w:r>
          </w:p>
        </w:tc>
        <w:tc>
          <w:tcPr>
            <w:tcW w:w="1134" w:type="dxa"/>
            <w:tcBorders>
              <w:top w:val="nil"/>
              <w:bottom w:val="nil"/>
            </w:tcBorders>
            <w:shd w:val="clear" w:color="auto" w:fill="auto"/>
            <w:vAlign w:val="center"/>
          </w:tcPr>
          <w:p w14:paraId="7731A6F4" w14:textId="77777777" w:rsidR="00AF04B6" w:rsidRPr="00DD419A" w:rsidRDefault="00AF04B6" w:rsidP="004A4A31">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F1A89">
              <w:rPr>
                <w:rFonts w:cs="Arial"/>
                <w:szCs w:val="14"/>
              </w:rPr>
              <w:t>--</w:t>
            </w:r>
          </w:p>
        </w:tc>
        <w:tc>
          <w:tcPr>
            <w:tcW w:w="281" w:type="dxa"/>
            <w:tcBorders>
              <w:top w:val="nil"/>
              <w:bottom w:val="nil"/>
            </w:tcBorders>
            <w:shd w:val="clear" w:color="auto" w:fill="auto"/>
            <w:vAlign w:val="center"/>
          </w:tcPr>
          <w:p w14:paraId="46DEC5E4" w14:textId="77777777" w:rsidR="00AF04B6" w:rsidRPr="001C7112" w:rsidRDefault="00AF04B6" w:rsidP="004A4A31">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
        </w:tc>
        <w:tc>
          <w:tcPr>
            <w:tcW w:w="1030" w:type="dxa"/>
            <w:tcBorders>
              <w:top w:val="nil"/>
              <w:bottom w:val="nil"/>
            </w:tcBorders>
            <w:shd w:val="clear" w:color="auto" w:fill="auto"/>
            <w:vAlign w:val="center"/>
          </w:tcPr>
          <w:p w14:paraId="6B5AA15B" w14:textId="77777777" w:rsidR="00AF04B6" w:rsidRPr="00B01AA4" w:rsidRDefault="00AF04B6" w:rsidP="004A4A31">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(3,197)</w:t>
            </w:r>
          </w:p>
        </w:tc>
        <w:tc>
          <w:tcPr>
            <w:tcW w:w="1099" w:type="dxa"/>
            <w:tcBorders>
              <w:top w:val="nil"/>
              <w:bottom w:val="nil"/>
            </w:tcBorders>
            <w:shd w:val="clear" w:color="auto" w:fill="auto"/>
            <w:vAlign w:val="center"/>
          </w:tcPr>
          <w:p w14:paraId="0EECFE9F" w14:textId="77777777" w:rsidR="00AF04B6" w:rsidRPr="005A1043" w:rsidRDefault="00AF04B6" w:rsidP="004A4A31">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F1A89">
              <w:rPr>
                <w:rFonts w:cs="Arial"/>
                <w:szCs w:val="14"/>
              </w:rPr>
              <w:t>--</w:t>
            </w:r>
          </w:p>
        </w:tc>
      </w:tr>
      <w:tr w:rsidR="00AF04B6" w:rsidRPr="001C7112" w14:paraId="0F680788"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16575F51" w14:textId="77777777" w:rsidR="00AF04B6" w:rsidRPr="001C7112" w:rsidRDefault="00AF04B6" w:rsidP="004A4A31">
            <w:pPr>
              <w:pStyle w:val="08-Tabelageral"/>
              <w:ind w:left="113"/>
              <w:jc w:val="left"/>
              <w:rPr>
                <w:b w:val="0"/>
              </w:rPr>
            </w:pPr>
            <w:r w:rsidRPr="00E03629">
              <w:rPr>
                <w:b w:val="0"/>
              </w:rPr>
              <w:t>Other adjustments</w:t>
            </w:r>
          </w:p>
        </w:tc>
        <w:tc>
          <w:tcPr>
            <w:tcW w:w="781" w:type="dxa"/>
            <w:tcBorders>
              <w:top w:val="nil"/>
              <w:bottom w:val="nil"/>
            </w:tcBorders>
            <w:shd w:val="clear" w:color="auto" w:fill="auto"/>
            <w:vAlign w:val="center"/>
          </w:tcPr>
          <w:p w14:paraId="30F05DA6" w14:textId="77777777" w:rsidR="00AF04B6" w:rsidRPr="001C7112" w:rsidRDefault="00AF04B6" w:rsidP="004A4A31">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10457E20" w14:textId="77777777" w:rsidR="00AF04B6" w:rsidRPr="001C7112" w:rsidRDefault="00AF04B6" w:rsidP="004A4A31">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CF113B">
              <w:rPr>
                <w:rFonts w:cs="Arial"/>
                <w:szCs w:val="14"/>
              </w:rPr>
              <w:t>1</w:t>
            </w:r>
            <w:r>
              <w:rPr>
                <w:rFonts w:cs="Arial"/>
                <w:szCs w:val="14"/>
              </w:rPr>
              <w:t>,</w:t>
            </w:r>
            <w:r w:rsidRPr="00CF113B">
              <w:rPr>
                <w:rFonts w:cs="Arial"/>
                <w:szCs w:val="14"/>
              </w:rPr>
              <w:t>954</w:t>
            </w:r>
          </w:p>
        </w:tc>
        <w:tc>
          <w:tcPr>
            <w:tcW w:w="1134" w:type="dxa"/>
            <w:tcBorders>
              <w:top w:val="nil"/>
              <w:bottom w:val="nil"/>
            </w:tcBorders>
            <w:shd w:val="clear" w:color="auto" w:fill="auto"/>
            <w:vAlign w:val="center"/>
          </w:tcPr>
          <w:p w14:paraId="55045CC7" w14:textId="77777777" w:rsidR="00AF04B6" w:rsidRPr="001C7112" w:rsidRDefault="00AF04B6" w:rsidP="004A4A31">
            <w:pPr>
              <w:pStyle w:val="08-Tabelageral"/>
              <w:cnfStyle w:val="000000100000" w:firstRow="0" w:lastRow="0" w:firstColumn="0" w:lastColumn="0" w:oddVBand="0" w:evenVBand="0" w:oddHBand="1" w:evenHBand="0" w:firstRowFirstColumn="0" w:firstRowLastColumn="0" w:lastRowFirstColumn="0" w:lastRowLastColumn="0"/>
            </w:pPr>
            <w:r w:rsidRPr="00343BCA">
              <w:rPr>
                <w:rFonts w:cs="Arial"/>
                <w:szCs w:val="14"/>
              </w:rPr>
              <w:t>1</w:t>
            </w:r>
            <w:r>
              <w:rPr>
                <w:rFonts w:cs="Arial"/>
                <w:szCs w:val="14"/>
              </w:rPr>
              <w:t>,</w:t>
            </w:r>
            <w:r w:rsidRPr="00343BCA">
              <w:rPr>
                <w:rFonts w:cs="Arial"/>
                <w:szCs w:val="14"/>
              </w:rPr>
              <w:t>796</w:t>
            </w:r>
          </w:p>
        </w:tc>
        <w:tc>
          <w:tcPr>
            <w:tcW w:w="281" w:type="dxa"/>
            <w:tcBorders>
              <w:top w:val="nil"/>
              <w:bottom w:val="nil"/>
            </w:tcBorders>
            <w:shd w:val="clear" w:color="auto" w:fill="auto"/>
            <w:vAlign w:val="center"/>
          </w:tcPr>
          <w:p w14:paraId="23681F41" w14:textId="77777777" w:rsidR="00AF04B6" w:rsidRPr="001C7112" w:rsidRDefault="00AF04B6" w:rsidP="004A4A31">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030" w:type="dxa"/>
            <w:tcBorders>
              <w:top w:val="nil"/>
              <w:bottom w:val="nil"/>
            </w:tcBorders>
            <w:shd w:val="clear" w:color="auto" w:fill="auto"/>
            <w:vAlign w:val="center"/>
          </w:tcPr>
          <w:p w14:paraId="6C83B5BC" w14:textId="77777777" w:rsidR="00AF04B6" w:rsidRPr="001C7112" w:rsidRDefault="00AF04B6" w:rsidP="004A4A31">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7273CE">
              <w:rPr>
                <w:rFonts w:cs="Arial"/>
                <w:szCs w:val="14"/>
              </w:rPr>
              <w:t>370</w:t>
            </w:r>
          </w:p>
        </w:tc>
        <w:tc>
          <w:tcPr>
            <w:tcW w:w="1099" w:type="dxa"/>
            <w:tcBorders>
              <w:top w:val="nil"/>
              <w:bottom w:val="nil"/>
            </w:tcBorders>
            <w:shd w:val="clear" w:color="auto" w:fill="auto"/>
            <w:vAlign w:val="center"/>
          </w:tcPr>
          <w:p w14:paraId="13DFE52F" w14:textId="77777777" w:rsidR="00AF04B6" w:rsidRPr="00073BA6" w:rsidRDefault="00AF04B6" w:rsidP="004A4A31">
            <w:pPr>
              <w:pStyle w:val="08-Tabelageral"/>
              <w:cnfStyle w:val="000000100000" w:firstRow="0" w:lastRow="0" w:firstColumn="0" w:lastColumn="0" w:oddVBand="0" w:evenVBand="0" w:oddHBand="1" w:evenHBand="0" w:firstRowFirstColumn="0" w:firstRowLastColumn="0" w:lastRowFirstColumn="0" w:lastRowLastColumn="0"/>
            </w:pPr>
            <w:r w:rsidRPr="006A2E04">
              <w:t>(572)</w:t>
            </w:r>
          </w:p>
        </w:tc>
      </w:tr>
      <w:tr w:rsidR="00AF04B6" w:rsidRPr="001D6BE8" w14:paraId="5E1C9FD6"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4F59C83" w14:textId="77777777" w:rsidR="00AF04B6" w:rsidRPr="002D3429" w:rsidRDefault="00AF04B6" w:rsidP="004A4A31">
            <w:pPr>
              <w:pStyle w:val="08-Tabelageral"/>
              <w:ind w:left="113"/>
              <w:jc w:val="left"/>
              <w:rPr>
                <w:bCs w:val="0"/>
              </w:rPr>
            </w:pPr>
            <w:r w:rsidRPr="002D3429">
              <w:rPr>
                <w:bCs w:val="0"/>
              </w:rPr>
              <w:t>Adjustment to net profit</w:t>
            </w:r>
          </w:p>
        </w:tc>
        <w:tc>
          <w:tcPr>
            <w:tcW w:w="781" w:type="dxa"/>
            <w:tcBorders>
              <w:top w:val="nil"/>
              <w:bottom w:val="nil"/>
            </w:tcBorders>
            <w:shd w:val="clear" w:color="auto" w:fill="auto"/>
            <w:vAlign w:val="center"/>
          </w:tcPr>
          <w:p w14:paraId="7D821897" w14:textId="77777777" w:rsidR="00AF04B6" w:rsidRPr="00CD3714" w:rsidRDefault="00AF04B6" w:rsidP="004A4A31">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134" w:type="dxa"/>
            <w:tcBorders>
              <w:top w:val="nil"/>
              <w:bottom w:val="nil"/>
            </w:tcBorders>
            <w:shd w:val="clear" w:color="auto" w:fill="auto"/>
            <w:vAlign w:val="center"/>
          </w:tcPr>
          <w:p w14:paraId="02F6523E" w14:textId="77777777" w:rsidR="00AF04B6" w:rsidRPr="00F06920" w:rsidRDefault="00AF04B6" w:rsidP="004A4A31">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r w:rsidRPr="00CF113B">
              <w:rPr>
                <w:rFonts w:cs="Arial"/>
                <w:b/>
                <w:szCs w:val="14"/>
              </w:rPr>
              <w:t>7</w:t>
            </w:r>
            <w:r>
              <w:rPr>
                <w:rFonts w:cs="Arial"/>
                <w:b/>
                <w:szCs w:val="14"/>
              </w:rPr>
              <w:t>,</w:t>
            </w:r>
            <w:r w:rsidRPr="00CF113B">
              <w:rPr>
                <w:rFonts w:cs="Arial"/>
                <w:b/>
                <w:szCs w:val="14"/>
              </w:rPr>
              <w:t>376</w:t>
            </w:r>
          </w:p>
        </w:tc>
        <w:tc>
          <w:tcPr>
            <w:tcW w:w="1134" w:type="dxa"/>
            <w:tcBorders>
              <w:top w:val="nil"/>
              <w:bottom w:val="nil"/>
            </w:tcBorders>
            <w:shd w:val="clear" w:color="auto" w:fill="auto"/>
            <w:vAlign w:val="center"/>
          </w:tcPr>
          <w:p w14:paraId="3EBDD1E4" w14:textId="77777777" w:rsidR="00AF04B6" w:rsidRPr="00F06920" w:rsidRDefault="00AF04B6" w:rsidP="004A4A31">
            <w:pPr>
              <w:pStyle w:val="08-Tabelageral"/>
              <w:cnfStyle w:val="000000000000" w:firstRow="0" w:lastRow="0" w:firstColumn="0" w:lastColumn="0" w:oddVBand="0" w:evenVBand="0" w:oddHBand="0" w:evenHBand="0" w:firstRowFirstColumn="0" w:firstRowLastColumn="0" w:lastRowFirstColumn="0" w:lastRowLastColumn="0"/>
              <w:rPr>
                <w:b/>
                <w:bCs/>
              </w:rPr>
            </w:pPr>
            <w:r w:rsidRPr="00343BCA">
              <w:rPr>
                <w:rFonts w:cs="Arial"/>
                <w:b/>
                <w:szCs w:val="14"/>
              </w:rPr>
              <w:t>11</w:t>
            </w:r>
            <w:r>
              <w:rPr>
                <w:rFonts w:cs="Arial"/>
                <w:b/>
                <w:szCs w:val="14"/>
              </w:rPr>
              <w:t>,</w:t>
            </w:r>
            <w:r w:rsidRPr="00343BCA">
              <w:rPr>
                <w:rFonts w:cs="Arial"/>
                <w:b/>
                <w:szCs w:val="14"/>
              </w:rPr>
              <w:t>109</w:t>
            </w:r>
          </w:p>
        </w:tc>
        <w:tc>
          <w:tcPr>
            <w:tcW w:w="281" w:type="dxa"/>
            <w:tcBorders>
              <w:top w:val="nil"/>
              <w:bottom w:val="nil"/>
            </w:tcBorders>
            <w:shd w:val="clear" w:color="auto" w:fill="auto"/>
            <w:vAlign w:val="center"/>
          </w:tcPr>
          <w:p w14:paraId="1329E89B" w14:textId="77777777" w:rsidR="00AF04B6" w:rsidRPr="00F06920" w:rsidRDefault="00AF04B6" w:rsidP="004A4A31">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030" w:type="dxa"/>
            <w:tcBorders>
              <w:top w:val="nil"/>
              <w:bottom w:val="nil"/>
            </w:tcBorders>
            <w:shd w:val="clear" w:color="auto" w:fill="auto"/>
            <w:vAlign w:val="center"/>
          </w:tcPr>
          <w:p w14:paraId="49CD4572" w14:textId="77777777" w:rsidR="00AF04B6" w:rsidRPr="00F06920" w:rsidRDefault="00AF04B6" w:rsidP="004A4A31">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r w:rsidRPr="002F1A89">
              <w:rPr>
                <w:rFonts w:cs="Arial"/>
                <w:b/>
                <w:bCs/>
                <w:szCs w:val="14"/>
              </w:rPr>
              <w:t>2</w:t>
            </w:r>
            <w:r>
              <w:rPr>
                <w:rFonts w:cs="Arial"/>
                <w:b/>
                <w:bCs/>
                <w:szCs w:val="14"/>
              </w:rPr>
              <w:t>,</w:t>
            </w:r>
            <w:r w:rsidRPr="002F1A89">
              <w:rPr>
                <w:rFonts w:cs="Arial"/>
                <w:b/>
                <w:bCs/>
                <w:szCs w:val="14"/>
              </w:rPr>
              <w:t>703</w:t>
            </w:r>
            <w:r>
              <w:rPr>
                <w:rFonts w:cs="Arial"/>
                <w:b/>
                <w:bCs/>
                <w:szCs w:val="14"/>
              </w:rPr>
              <w:t>,</w:t>
            </w:r>
            <w:r w:rsidRPr="002F1A89">
              <w:rPr>
                <w:rFonts w:cs="Arial"/>
                <w:b/>
                <w:bCs/>
                <w:szCs w:val="14"/>
              </w:rPr>
              <w:t>724</w:t>
            </w:r>
          </w:p>
        </w:tc>
        <w:tc>
          <w:tcPr>
            <w:tcW w:w="1099" w:type="dxa"/>
            <w:tcBorders>
              <w:top w:val="nil"/>
              <w:bottom w:val="nil"/>
            </w:tcBorders>
            <w:shd w:val="clear" w:color="auto" w:fill="auto"/>
            <w:vAlign w:val="center"/>
          </w:tcPr>
          <w:p w14:paraId="62EDF6A9" w14:textId="77777777" w:rsidR="00AF04B6" w:rsidRPr="00F06920" w:rsidRDefault="00AF04B6" w:rsidP="004A4A31">
            <w:pPr>
              <w:pStyle w:val="08-Tabelageral"/>
              <w:cnfStyle w:val="000000000000" w:firstRow="0" w:lastRow="0" w:firstColumn="0" w:lastColumn="0" w:oddVBand="0" w:evenVBand="0" w:oddHBand="0" w:evenHBand="0" w:firstRowFirstColumn="0" w:firstRowLastColumn="0" w:lastRowFirstColumn="0" w:lastRowLastColumn="0"/>
              <w:rPr>
                <w:b/>
                <w:bCs/>
              </w:rPr>
            </w:pPr>
            <w:r w:rsidRPr="00343BCA">
              <w:rPr>
                <w:rFonts w:cs="Arial"/>
                <w:b/>
                <w:bCs/>
                <w:szCs w:val="14"/>
              </w:rPr>
              <w:t>2</w:t>
            </w:r>
            <w:r>
              <w:rPr>
                <w:rFonts w:cs="Arial"/>
                <w:b/>
                <w:bCs/>
                <w:szCs w:val="14"/>
              </w:rPr>
              <w:t>,</w:t>
            </w:r>
            <w:r w:rsidRPr="00343BCA">
              <w:rPr>
                <w:rFonts w:cs="Arial"/>
                <w:b/>
                <w:bCs/>
                <w:szCs w:val="14"/>
              </w:rPr>
              <w:t>098</w:t>
            </w:r>
            <w:r>
              <w:rPr>
                <w:rFonts w:cs="Arial"/>
                <w:b/>
                <w:bCs/>
                <w:szCs w:val="14"/>
              </w:rPr>
              <w:t>,</w:t>
            </w:r>
            <w:r w:rsidRPr="00343BCA">
              <w:rPr>
                <w:rFonts w:cs="Arial"/>
                <w:b/>
                <w:bCs/>
                <w:szCs w:val="14"/>
              </w:rPr>
              <w:t>604</w:t>
            </w:r>
          </w:p>
        </w:tc>
      </w:tr>
      <w:tr w:rsidR="00AF04B6" w:rsidRPr="00960237" w14:paraId="0B1FCFA4"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0B2CCAE8" w14:textId="77777777" w:rsidR="00AF04B6" w:rsidRPr="0038283D" w:rsidRDefault="00AF04B6" w:rsidP="0039314B">
            <w:pPr>
              <w:pStyle w:val="08-Tabelageral"/>
              <w:ind w:left="113"/>
              <w:jc w:val="left"/>
              <w:rPr>
                <w:bCs w:val="0"/>
                <w:lang w:val="en-US"/>
              </w:rPr>
            </w:pPr>
            <w:r w:rsidRPr="0038283D">
              <w:rPr>
                <w:bCs w:val="0"/>
                <w:lang w:val="en-US"/>
              </w:rPr>
              <w:t>Changes in balance sheet items:</w:t>
            </w:r>
          </w:p>
        </w:tc>
        <w:tc>
          <w:tcPr>
            <w:tcW w:w="781" w:type="dxa"/>
            <w:tcBorders>
              <w:top w:val="nil"/>
              <w:bottom w:val="nil"/>
            </w:tcBorders>
            <w:shd w:val="clear" w:color="auto" w:fill="auto"/>
            <w:vAlign w:val="center"/>
          </w:tcPr>
          <w:p w14:paraId="5070EAEA" w14:textId="77777777" w:rsidR="00AF04B6" w:rsidRPr="0038283D" w:rsidRDefault="00AF04B6" w:rsidP="0039314B">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134" w:type="dxa"/>
            <w:tcBorders>
              <w:top w:val="nil"/>
              <w:bottom w:val="nil"/>
            </w:tcBorders>
            <w:shd w:val="clear" w:color="auto" w:fill="auto"/>
            <w:vAlign w:val="center"/>
          </w:tcPr>
          <w:p w14:paraId="16F0FB89" w14:textId="77777777" w:rsidR="00AF04B6" w:rsidRPr="0038283D" w:rsidRDefault="00AF04B6" w:rsidP="0039314B">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134" w:type="dxa"/>
            <w:tcBorders>
              <w:top w:val="nil"/>
              <w:bottom w:val="nil"/>
            </w:tcBorders>
            <w:shd w:val="clear" w:color="auto" w:fill="auto"/>
            <w:vAlign w:val="center"/>
          </w:tcPr>
          <w:p w14:paraId="35EE7928" w14:textId="77777777" w:rsidR="00AF04B6" w:rsidRPr="0038283D" w:rsidRDefault="00AF04B6" w:rsidP="0039314B">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281" w:type="dxa"/>
            <w:tcBorders>
              <w:top w:val="nil"/>
              <w:bottom w:val="nil"/>
            </w:tcBorders>
            <w:shd w:val="clear" w:color="auto" w:fill="auto"/>
            <w:vAlign w:val="center"/>
          </w:tcPr>
          <w:p w14:paraId="18AACAD3" w14:textId="77777777" w:rsidR="00AF04B6" w:rsidRPr="0038283D" w:rsidRDefault="00AF04B6" w:rsidP="0039314B">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030" w:type="dxa"/>
            <w:tcBorders>
              <w:top w:val="nil"/>
              <w:bottom w:val="nil"/>
            </w:tcBorders>
            <w:shd w:val="clear" w:color="auto" w:fill="auto"/>
            <w:vAlign w:val="center"/>
          </w:tcPr>
          <w:p w14:paraId="6B33CB94" w14:textId="77777777" w:rsidR="00AF04B6" w:rsidRPr="0038283D" w:rsidRDefault="00AF04B6" w:rsidP="0039314B">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c>
          <w:tcPr>
            <w:tcW w:w="1099" w:type="dxa"/>
            <w:tcBorders>
              <w:top w:val="nil"/>
              <w:bottom w:val="nil"/>
            </w:tcBorders>
            <w:shd w:val="clear" w:color="auto" w:fill="auto"/>
            <w:vAlign w:val="center"/>
          </w:tcPr>
          <w:p w14:paraId="3D15DF2E" w14:textId="77777777" w:rsidR="00AF04B6" w:rsidRPr="0038283D" w:rsidRDefault="00AF04B6" w:rsidP="0039314B">
            <w:pPr>
              <w:pStyle w:val="08-Tabelageral"/>
              <w:ind w:left="113"/>
              <w:jc w:val="left"/>
              <w:cnfStyle w:val="000000100000" w:firstRow="0" w:lastRow="0" w:firstColumn="0" w:lastColumn="0" w:oddVBand="0" w:evenVBand="0" w:oddHBand="1" w:evenHBand="0" w:firstRowFirstColumn="0" w:firstRowLastColumn="0" w:lastRowFirstColumn="0" w:lastRowLastColumn="0"/>
              <w:rPr>
                <w:bCs/>
                <w:lang w:val="en-US"/>
              </w:rPr>
            </w:pPr>
          </w:p>
        </w:tc>
      </w:tr>
      <w:tr w:rsidR="00AF04B6" w:rsidRPr="000E70DE" w14:paraId="7CDC9F4B"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5E6D7794" w14:textId="77777777" w:rsidR="00AF04B6" w:rsidRPr="00BD6C7E" w:rsidRDefault="00AF04B6" w:rsidP="008A4FF4">
            <w:pPr>
              <w:pStyle w:val="08-Tabelageral"/>
              <w:ind w:left="113"/>
              <w:jc w:val="left"/>
              <w:rPr>
                <w:b w:val="0"/>
                <w:lang w:val="en-US"/>
              </w:rPr>
            </w:pPr>
            <w:r w:rsidRPr="00BD6C7E">
              <w:rPr>
                <w:b w:val="0"/>
                <w:lang w:val="en-US"/>
              </w:rPr>
              <w:t>Financial assets at fair value through profit or loss</w:t>
            </w:r>
          </w:p>
        </w:tc>
        <w:tc>
          <w:tcPr>
            <w:tcW w:w="781" w:type="dxa"/>
            <w:tcBorders>
              <w:top w:val="nil"/>
              <w:bottom w:val="nil"/>
            </w:tcBorders>
            <w:shd w:val="clear" w:color="auto" w:fill="auto"/>
            <w:vAlign w:val="center"/>
          </w:tcPr>
          <w:p w14:paraId="28916107" w14:textId="77777777" w:rsidR="00AF04B6" w:rsidRPr="00BD6C7E" w:rsidRDefault="00AF04B6" w:rsidP="008A4FF4">
            <w:pPr>
              <w:pStyle w:val="08-Tabelageral"/>
              <w:jc w:val="left"/>
              <w:cnfStyle w:val="000000000000" w:firstRow="0" w:lastRow="0" w:firstColumn="0" w:lastColumn="0" w:oddVBand="0" w:evenVBand="0" w:oddHBand="0" w:evenHBand="0" w:firstRowFirstColumn="0" w:firstRowLastColumn="0" w:lastRowFirstColumn="0" w:lastRowLastColumn="0"/>
              <w:rPr>
                <w:lang w:val="en-US"/>
              </w:rPr>
            </w:pPr>
            <w:r w:rsidRPr="002F1A89">
              <w:rPr>
                <w:bCs/>
              </w:rPr>
              <w:t>[16.a]</w:t>
            </w:r>
          </w:p>
        </w:tc>
        <w:tc>
          <w:tcPr>
            <w:tcW w:w="1134" w:type="dxa"/>
            <w:tcBorders>
              <w:top w:val="nil"/>
              <w:bottom w:val="nil"/>
            </w:tcBorders>
            <w:shd w:val="clear" w:color="auto" w:fill="auto"/>
            <w:vAlign w:val="center"/>
          </w:tcPr>
          <w:p w14:paraId="6C441179" w14:textId="77777777" w:rsidR="00AF04B6" w:rsidRPr="00881572"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rsidRPr="00CF113B">
              <w:t>(4</w:t>
            </w:r>
            <w:r>
              <w:t>,</w:t>
            </w:r>
            <w:r w:rsidRPr="00CF113B">
              <w:t>053)</w:t>
            </w:r>
          </w:p>
        </w:tc>
        <w:tc>
          <w:tcPr>
            <w:tcW w:w="1134" w:type="dxa"/>
            <w:tcBorders>
              <w:top w:val="nil"/>
              <w:bottom w:val="nil"/>
            </w:tcBorders>
            <w:shd w:val="clear" w:color="auto" w:fill="auto"/>
            <w:vAlign w:val="center"/>
          </w:tcPr>
          <w:p w14:paraId="0A5F3730"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t>(</w:t>
            </w:r>
            <w:r w:rsidRPr="001F57DD">
              <w:t>10</w:t>
            </w:r>
            <w:r>
              <w:t>,</w:t>
            </w:r>
            <w:r w:rsidRPr="001F57DD">
              <w:t>063</w:t>
            </w:r>
            <w:r>
              <w:t>)</w:t>
            </w:r>
          </w:p>
        </w:tc>
        <w:tc>
          <w:tcPr>
            <w:tcW w:w="281" w:type="dxa"/>
            <w:tcBorders>
              <w:top w:val="nil"/>
              <w:bottom w:val="nil"/>
            </w:tcBorders>
            <w:shd w:val="clear" w:color="auto" w:fill="auto"/>
            <w:vAlign w:val="center"/>
          </w:tcPr>
          <w:p w14:paraId="01D4D308"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030" w:type="dxa"/>
            <w:tcBorders>
              <w:top w:val="nil"/>
              <w:bottom w:val="nil"/>
            </w:tcBorders>
            <w:shd w:val="clear" w:color="auto" w:fill="auto"/>
            <w:vAlign w:val="center"/>
          </w:tcPr>
          <w:p w14:paraId="5CB07BEC"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rsidRPr="007273CE">
              <w:t>(4</w:t>
            </w:r>
            <w:r>
              <w:t>,</w:t>
            </w:r>
            <w:r w:rsidRPr="007273CE">
              <w:t>053)</w:t>
            </w:r>
          </w:p>
        </w:tc>
        <w:tc>
          <w:tcPr>
            <w:tcW w:w="1099" w:type="dxa"/>
            <w:tcBorders>
              <w:top w:val="nil"/>
              <w:bottom w:val="nil"/>
            </w:tcBorders>
            <w:shd w:val="clear" w:color="auto" w:fill="auto"/>
            <w:vAlign w:val="center"/>
          </w:tcPr>
          <w:p w14:paraId="798EF868"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t>(</w:t>
            </w:r>
            <w:r w:rsidRPr="009E5902">
              <w:t>9</w:t>
            </w:r>
            <w:r>
              <w:t>,</w:t>
            </w:r>
            <w:r w:rsidRPr="009E5902">
              <w:t>025</w:t>
            </w:r>
            <w:r>
              <w:t>)</w:t>
            </w:r>
          </w:p>
        </w:tc>
      </w:tr>
      <w:tr w:rsidR="00AF04B6" w:rsidRPr="000E70DE" w14:paraId="47414CC3"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36D807A4" w14:textId="77777777" w:rsidR="00AF04B6" w:rsidRPr="00BD6C7E" w:rsidRDefault="00AF04B6" w:rsidP="008A4FF4">
            <w:pPr>
              <w:pStyle w:val="08-Tabelageral"/>
              <w:ind w:left="113"/>
              <w:jc w:val="left"/>
              <w:rPr>
                <w:b w:val="0"/>
                <w:lang w:val="en-US"/>
              </w:rPr>
            </w:pPr>
            <w:r w:rsidRPr="00BD6C7E">
              <w:rPr>
                <w:b w:val="0"/>
                <w:lang w:val="en-US"/>
              </w:rPr>
              <w:t>Current tax assets and deferred tax assets</w:t>
            </w:r>
          </w:p>
        </w:tc>
        <w:tc>
          <w:tcPr>
            <w:tcW w:w="781" w:type="dxa"/>
            <w:tcBorders>
              <w:top w:val="nil"/>
              <w:bottom w:val="nil"/>
            </w:tcBorders>
            <w:shd w:val="clear" w:color="auto" w:fill="auto"/>
            <w:vAlign w:val="center"/>
          </w:tcPr>
          <w:p w14:paraId="18AA011D" w14:textId="77777777" w:rsidR="00AF04B6" w:rsidRPr="00BD6C7E" w:rsidRDefault="00AF04B6" w:rsidP="008A4FF4">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134" w:type="dxa"/>
            <w:tcBorders>
              <w:top w:val="nil"/>
              <w:bottom w:val="nil"/>
            </w:tcBorders>
            <w:shd w:val="clear" w:color="auto" w:fill="auto"/>
            <w:vAlign w:val="center"/>
          </w:tcPr>
          <w:p w14:paraId="4CF9638A"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rsidRPr="00CF113B">
              <w:t>(21</w:t>
            </w:r>
            <w:r>
              <w:t>,</w:t>
            </w:r>
            <w:r w:rsidRPr="00CF113B">
              <w:t>066)</w:t>
            </w:r>
          </w:p>
        </w:tc>
        <w:tc>
          <w:tcPr>
            <w:tcW w:w="1134" w:type="dxa"/>
            <w:tcBorders>
              <w:top w:val="nil"/>
              <w:bottom w:val="nil"/>
            </w:tcBorders>
            <w:shd w:val="clear" w:color="auto" w:fill="auto"/>
            <w:vAlign w:val="center"/>
          </w:tcPr>
          <w:p w14:paraId="166C9335"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rsidRPr="0054122B">
              <w:t>16</w:t>
            </w:r>
            <w:r>
              <w:t>,</w:t>
            </w:r>
            <w:r w:rsidRPr="0054122B">
              <w:t>190</w:t>
            </w:r>
          </w:p>
        </w:tc>
        <w:tc>
          <w:tcPr>
            <w:tcW w:w="281" w:type="dxa"/>
            <w:tcBorders>
              <w:top w:val="nil"/>
              <w:bottom w:val="nil"/>
            </w:tcBorders>
            <w:shd w:val="clear" w:color="auto" w:fill="auto"/>
            <w:vAlign w:val="center"/>
          </w:tcPr>
          <w:p w14:paraId="5E580536"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030" w:type="dxa"/>
            <w:tcBorders>
              <w:top w:val="nil"/>
              <w:bottom w:val="nil"/>
            </w:tcBorders>
            <w:shd w:val="clear" w:color="auto" w:fill="auto"/>
            <w:vAlign w:val="center"/>
          </w:tcPr>
          <w:p w14:paraId="71CCC1DB"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rsidRPr="007273CE">
              <w:t>16</w:t>
            </w:r>
            <w:r>
              <w:t>,</w:t>
            </w:r>
            <w:r w:rsidRPr="007273CE">
              <w:t>804</w:t>
            </w:r>
          </w:p>
        </w:tc>
        <w:tc>
          <w:tcPr>
            <w:tcW w:w="1099" w:type="dxa"/>
            <w:tcBorders>
              <w:top w:val="nil"/>
              <w:bottom w:val="nil"/>
            </w:tcBorders>
            <w:shd w:val="clear" w:color="auto" w:fill="auto"/>
            <w:vAlign w:val="center"/>
          </w:tcPr>
          <w:p w14:paraId="5735D536"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rsidRPr="009E5902">
              <w:t>10</w:t>
            </w:r>
            <w:r>
              <w:t>,</w:t>
            </w:r>
            <w:r w:rsidRPr="009E5902">
              <w:t>725</w:t>
            </w:r>
          </w:p>
        </w:tc>
      </w:tr>
      <w:tr w:rsidR="00AF04B6" w:rsidRPr="000E70DE" w14:paraId="75CB1F5E"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F2AAE02" w14:textId="77777777" w:rsidR="00AF04B6" w:rsidRPr="000E70DE" w:rsidRDefault="00AF04B6" w:rsidP="008A4FF4">
            <w:pPr>
              <w:pStyle w:val="08-Tabelageral"/>
              <w:ind w:left="113"/>
              <w:jc w:val="left"/>
              <w:rPr>
                <w:b w:val="0"/>
              </w:rPr>
            </w:pPr>
            <w:r w:rsidRPr="00E03629">
              <w:rPr>
                <w:b w:val="0"/>
              </w:rPr>
              <w:t>Commissions receivable</w:t>
            </w:r>
          </w:p>
        </w:tc>
        <w:tc>
          <w:tcPr>
            <w:tcW w:w="781" w:type="dxa"/>
            <w:tcBorders>
              <w:top w:val="nil"/>
              <w:bottom w:val="nil"/>
            </w:tcBorders>
            <w:shd w:val="clear" w:color="auto" w:fill="auto"/>
            <w:vAlign w:val="center"/>
          </w:tcPr>
          <w:p w14:paraId="13623C0D" w14:textId="77777777" w:rsidR="00AF04B6" w:rsidRPr="000E70DE" w:rsidRDefault="00AF04B6" w:rsidP="008A4FF4">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3AA6707A"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134" w:type="dxa"/>
            <w:tcBorders>
              <w:top w:val="nil"/>
              <w:bottom w:val="nil"/>
            </w:tcBorders>
            <w:shd w:val="clear" w:color="auto" w:fill="auto"/>
            <w:vAlign w:val="center"/>
          </w:tcPr>
          <w:p w14:paraId="1E35C32D"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rsidRPr="001F57DD">
              <w:t>--</w:t>
            </w:r>
          </w:p>
        </w:tc>
        <w:tc>
          <w:tcPr>
            <w:tcW w:w="281" w:type="dxa"/>
            <w:tcBorders>
              <w:top w:val="nil"/>
              <w:bottom w:val="nil"/>
            </w:tcBorders>
            <w:shd w:val="clear" w:color="auto" w:fill="auto"/>
            <w:vAlign w:val="center"/>
          </w:tcPr>
          <w:p w14:paraId="0F8D5A6F"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030" w:type="dxa"/>
            <w:tcBorders>
              <w:top w:val="nil"/>
              <w:bottom w:val="nil"/>
            </w:tcBorders>
            <w:shd w:val="clear" w:color="auto" w:fill="auto"/>
            <w:vAlign w:val="center"/>
          </w:tcPr>
          <w:p w14:paraId="3CD319EF"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rsidRPr="007273CE">
              <w:t>(98</w:t>
            </w:r>
            <w:r>
              <w:t>,</w:t>
            </w:r>
            <w:r w:rsidRPr="007273CE">
              <w:t>653)</w:t>
            </w:r>
          </w:p>
        </w:tc>
        <w:tc>
          <w:tcPr>
            <w:tcW w:w="1099" w:type="dxa"/>
            <w:tcBorders>
              <w:top w:val="nil"/>
              <w:bottom w:val="nil"/>
            </w:tcBorders>
            <w:shd w:val="clear" w:color="auto" w:fill="auto"/>
            <w:vAlign w:val="center"/>
          </w:tcPr>
          <w:p w14:paraId="0996B5DA"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rsidRPr="009E5902">
              <w:t>92</w:t>
            </w:r>
            <w:r>
              <w:t>,</w:t>
            </w:r>
            <w:r w:rsidRPr="009E5902">
              <w:t>485</w:t>
            </w:r>
          </w:p>
        </w:tc>
      </w:tr>
      <w:tr w:rsidR="00AF04B6" w:rsidRPr="000E70DE" w14:paraId="545108EA"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0C7F5BAD" w14:textId="77777777" w:rsidR="00AF04B6" w:rsidRPr="000E70DE" w:rsidRDefault="00AF04B6" w:rsidP="008A4FF4">
            <w:pPr>
              <w:pStyle w:val="08-Tabelageral"/>
              <w:ind w:left="113"/>
              <w:jc w:val="left"/>
              <w:rPr>
                <w:b w:val="0"/>
              </w:rPr>
            </w:pPr>
            <w:r w:rsidRPr="00E03629">
              <w:rPr>
                <w:b w:val="0"/>
              </w:rPr>
              <w:t>Other assets</w:t>
            </w:r>
          </w:p>
        </w:tc>
        <w:tc>
          <w:tcPr>
            <w:tcW w:w="781" w:type="dxa"/>
            <w:tcBorders>
              <w:top w:val="nil"/>
              <w:bottom w:val="nil"/>
            </w:tcBorders>
            <w:shd w:val="clear" w:color="auto" w:fill="auto"/>
            <w:vAlign w:val="center"/>
          </w:tcPr>
          <w:p w14:paraId="0CECBF83" w14:textId="77777777" w:rsidR="00AF04B6" w:rsidRPr="000E70DE" w:rsidRDefault="00AF04B6" w:rsidP="008A4FF4">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717BB8E3"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rsidRPr="00CF113B">
              <w:t>2</w:t>
            </w:r>
            <w:r>
              <w:t>,</w:t>
            </w:r>
            <w:r w:rsidRPr="00CF113B">
              <w:t>88</w:t>
            </w:r>
            <w:r>
              <w:t>5</w:t>
            </w:r>
          </w:p>
        </w:tc>
        <w:tc>
          <w:tcPr>
            <w:tcW w:w="1134" w:type="dxa"/>
            <w:tcBorders>
              <w:top w:val="nil"/>
              <w:bottom w:val="nil"/>
            </w:tcBorders>
            <w:shd w:val="clear" w:color="auto" w:fill="auto"/>
            <w:vAlign w:val="center"/>
          </w:tcPr>
          <w:p w14:paraId="3270D46D"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t>(</w:t>
            </w:r>
            <w:r w:rsidRPr="001F57DD">
              <w:t>2</w:t>
            </w:r>
            <w:r>
              <w:t>,</w:t>
            </w:r>
            <w:r w:rsidRPr="001F57DD">
              <w:t>536</w:t>
            </w:r>
            <w:r>
              <w:t>)</w:t>
            </w:r>
          </w:p>
        </w:tc>
        <w:tc>
          <w:tcPr>
            <w:tcW w:w="281" w:type="dxa"/>
            <w:tcBorders>
              <w:top w:val="nil"/>
              <w:bottom w:val="nil"/>
            </w:tcBorders>
            <w:shd w:val="clear" w:color="auto" w:fill="auto"/>
            <w:vAlign w:val="center"/>
          </w:tcPr>
          <w:p w14:paraId="2D922C18"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030" w:type="dxa"/>
            <w:tcBorders>
              <w:top w:val="nil"/>
              <w:bottom w:val="nil"/>
            </w:tcBorders>
            <w:shd w:val="clear" w:color="auto" w:fill="auto"/>
            <w:vAlign w:val="center"/>
          </w:tcPr>
          <w:p w14:paraId="5BB26E08"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rsidRPr="007273CE">
              <w:t>(2</w:t>
            </w:r>
            <w:r>
              <w:t>,</w:t>
            </w:r>
            <w:r w:rsidRPr="007273CE">
              <w:t>933)</w:t>
            </w:r>
          </w:p>
        </w:tc>
        <w:tc>
          <w:tcPr>
            <w:tcW w:w="1099" w:type="dxa"/>
            <w:tcBorders>
              <w:top w:val="nil"/>
              <w:bottom w:val="nil"/>
            </w:tcBorders>
            <w:shd w:val="clear" w:color="auto" w:fill="auto"/>
            <w:vAlign w:val="center"/>
          </w:tcPr>
          <w:p w14:paraId="67341686"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t>(</w:t>
            </w:r>
            <w:r w:rsidRPr="009E5902">
              <w:t>8</w:t>
            </w:r>
            <w:r>
              <w:t>,</w:t>
            </w:r>
            <w:r w:rsidRPr="009E5902">
              <w:t>522</w:t>
            </w:r>
            <w:r>
              <w:t>)</w:t>
            </w:r>
          </w:p>
        </w:tc>
      </w:tr>
      <w:tr w:rsidR="00AF04B6" w:rsidRPr="00073BA6" w14:paraId="2344F173"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43CFEAF9" w14:textId="77777777" w:rsidR="00AF04B6" w:rsidRPr="000E70DE" w:rsidRDefault="00AF04B6" w:rsidP="008A4FF4">
            <w:pPr>
              <w:pStyle w:val="08-Tabelageral"/>
              <w:ind w:left="113"/>
              <w:jc w:val="left"/>
              <w:rPr>
                <w:b w:val="0"/>
              </w:rPr>
            </w:pPr>
            <w:r w:rsidRPr="00E03629">
              <w:rPr>
                <w:b w:val="0"/>
              </w:rPr>
              <w:t>Unearned commissions</w:t>
            </w:r>
          </w:p>
        </w:tc>
        <w:tc>
          <w:tcPr>
            <w:tcW w:w="781" w:type="dxa"/>
            <w:tcBorders>
              <w:top w:val="nil"/>
              <w:bottom w:val="nil"/>
            </w:tcBorders>
            <w:shd w:val="clear" w:color="auto" w:fill="auto"/>
            <w:vAlign w:val="center"/>
          </w:tcPr>
          <w:p w14:paraId="1A7636DD" w14:textId="77777777" w:rsidR="00AF04B6" w:rsidRPr="000E70DE" w:rsidRDefault="00AF04B6" w:rsidP="008A4FF4">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44237F0C"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134" w:type="dxa"/>
            <w:tcBorders>
              <w:top w:val="nil"/>
              <w:bottom w:val="nil"/>
            </w:tcBorders>
            <w:shd w:val="clear" w:color="auto" w:fill="auto"/>
            <w:vAlign w:val="center"/>
          </w:tcPr>
          <w:p w14:paraId="20CDC322"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281" w:type="dxa"/>
            <w:tcBorders>
              <w:top w:val="nil"/>
              <w:bottom w:val="nil"/>
            </w:tcBorders>
            <w:shd w:val="clear" w:color="auto" w:fill="auto"/>
            <w:vAlign w:val="center"/>
          </w:tcPr>
          <w:p w14:paraId="10C3A5AE"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030" w:type="dxa"/>
            <w:tcBorders>
              <w:top w:val="nil"/>
              <w:bottom w:val="nil"/>
            </w:tcBorders>
            <w:shd w:val="clear" w:color="auto" w:fill="auto"/>
            <w:vAlign w:val="center"/>
          </w:tcPr>
          <w:p w14:paraId="3CB7ABC6" w14:textId="77777777" w:rsidR="00AF04B6" w:rsidRPr="00073BA6"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rsidRPr="007273CE">
              <w:t>580</w:t>
            </w:r>
            <w:r>
              <w:t>,</w:t>
            </w:r>
            <w:r w:rsidRPr="007273CE">
              <w:t>993</w:t>
            </w:r>
          </w:p>
        </w:tc>
        <w:tc>
          <w:tcPr>
            <w:tcW w:w="1099" w:type="dxa"/>
            <w:tcBorders>
              <w:top w:val="nil"/>
              <w:bottom w:val="nil"/>
            </w:tcBorders>
            <w:shd w:val="clear" w:color="auto" w:fill="auto"/>
            <w:vAlign w:val="center"/>
          </w:tcPr>
          <w:p w14:paraId="6D45A12B" w14:textId="77777777" w:rsidR="00AF04B6" w:rsidRPr="00073BA6"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rsidRPr="009E5902">
              <w:t>422</w:t>
            </w:r>
            <w:r>
              <w:t>,</w:t>
            </w:r>
            <w:r w:rsidRPr="009E5902">
              <w:t>419</w:t>
            </w:r>
          </w:p>
        </w:tc>
      </w:tr>
      <w:tr w:rsidR="00AF04B6" w:rsidRPr="00073BA6" w14:paraId="451A83A3"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6EF81F3" w14:textId="77777777" w:rsidR="00AF04B6" w:rsidRPr="00BD6C7E" w:rsidRDefault="00AF04B6" w:rsidP="008A4FF4">
            <w:pPr>
              <w:pStyle w:val="08-Tabelageral"/>
              <w:ind w:left="113"/>
              <w:jc w:val="left"/>
              <w:rPr>
                <w:b w:val="0"/>
                <w:lang w:val="en-US"/>
              </w:rPr>
            </w:pPr>
            <w:r w:rsidRPr="00BD6C7E">
              <w:rPr>
                <w:b w:val="0"/>
                <w:lang w:val="en-US"/>
              </w:rPr>
              <w:t>Current tax liabilities and deferred tax liabilities</w:t>
            </w:r>
          </w:p>
        </w:tc>
        <w:tc>
          <w:tcPr>
            <w:tcW w:w="781" w:type="dxa"/>
            <w:tcBorders>
              <w:top w:val="nil"/>
              <w:bottom w:val="nil"/>
            </w:tcBorders>
            <w:shd w:val="clear" w:color="auto" w:fill="auto"/>
            <w:vAlign w:val="center"/>
          </w:tcPr>
          <w:p w14:paraId="4D591175" w14:textId="77777777" w:rsidR="00AF04B6" w:rsidRPr="00BD6C7E" w:rsidRDefault="00AF04B6" w:rsidP="008A4FF4">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134" w:type="dxa"/>
            <w:tcBorders>
              <w:top w:val="nil"/>
              <w:bottom w:val="nil"/>
            </w:tcBorders>
            <w:shd w:val="clear" w:color="auto" w:fill="auto"/>
            <w:vAlign w:val="center"/>
          </w:tcPr>
          <w:p w14:paraId="6CFF8899"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rsidRPr="00CF113B">
              <w:t>(41</w:t>
            </w:r>
            <w:r>
              <w:t>3</w:t>
            </w:r>
            <w:r w:rsidRPr="00CF113B">
              <w:t>)</w:t>
            </w:r>
          </w:p>
        </w:tc>
        <w:tc>
          <w:tcPr>
            <w:tcW w:w="1134" w:type="dxa"/>
            <w:tcBorders>
              <w:top w:val="nil"/>
              <w:bottom w:val="nil"/>
            </w:tcBorders>
            <w:shd w:val="clear" w:color="auto" w:fill="auto"/>
            <w:vAlign w:val="center"/>
          </w:tcPr>
          <w:p w14:paraId="22284048"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rsidRPr="001F57DD">
              <w:t>362</w:t>
            </w:r>
          </w:p>
        </w:tc>
        <w:tc>
          <w:tcPr>
            <w:tcW w:w="281" w:type="dxa"/>
            <w:tcBorders>
              <w:top w:val="nil"/>
              <w:bottom w:val="nil"/>
            </w:tcBorders>
            <w:shd w:val="clear" w:color="auto" w:fill="auto"/>
            <w:vAlign w:val="center"/>
          </w:tcPr>
          <w:p w14:paraId="7D36D6CE" w14:textId="77777777" w:rsidR="00AF04B6" w:rsidRPr="000E70DE"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030" w:type="dxa"/>
            <w:tcBorders>
              <w:top w:val="nil"/>
              <w:bottom w:val="nil"/>
            </w:tcBorders>
            <w:shd w:val="clear" w:color="auto" w:fill="auto"/>
            <w:vAlign w:val="center"/>
          </w:tcPr>
          <w:p w14:paraId="3BDB9612" w14:textId="77777777" w:rsidR="00AF04B6" w:rsidRPr="00073BA6"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rsidRPr="007273CE">
              <w:t>201</w:t>
            </w:r>
            <w:r>
              <w:t>,</w:t>
            </w:r>
            <w:r w:rsidRPr="007273CE">
              <w:t>355</w:t>
            </w:r>
          </w:p>
        </w:tc>
        <w:tc>
          <w:tcPr>
            <w:tcW w:w="1099" w:type="dxa"/>
            <w:tcBorders>
              <w:top w:val="nil"/>
              <w:bottom w:val="nil"/>
            </w:tcBorders>
            <w:shd w:val="clear" w:color="auto" w:fill="auto"/>
            <w:vAlign w:val="center"/>
          </w:tcPr>
          <w:p w14:paraId="7219067B" w14:textId="77777777" w:rsidR="00AF04B6" w:rsidRPr="00073BA6" w:rsidRDefault="00AF04B6" w:rsidP="008A4FF4">
            <w:pPr>
              <w:pStyle w:val="08-Tabelageral"/>
              <w:ind w:left="113"/>
              <w:cnfStyle w:val="000000100000" w:firstRow="0" w:lastRow="0" w:firstColumn="0" w:lastColumn="0" w:oddVBand="0" w:evenVBand="0" w:oddHBand="1" w:evenHBand="0" w:firstRowFirstColumn="0" w:firstRowLastColumn="0" w:lastRowFirstColumn="0" w:lastRowLastColumn="0"/>
            </w:pPr>
            <w:r w:rsidRPr="009E5902">
              <w:t>79</w:t>
            </w:r>
            <w:r>
              <w:t>,</w:t>
            </w:r>
            <w:r w:rsidRPr="009E5902">
              <w:t>569</w:t>
            </w:r>
          </w:p>
        </w:tc>
      </w:tr>
      <w:tr w:rsidR="00AF04B6" w:rsidRPr="00073BA6" w14:paraId="63E6CF3D"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538CDDF" w14:textId="77777777" w:rsidR="00AF04B6" w:rsidRPr="000E70DE" w:rsidRDefault="00AF04B6" w:rsidP="008A4FF4">
            <w:pPr>
              <w:pStyle w:val="08-Tabelageral"/>
              <w:ind w:left="113"/>
              <w:jc w:val="left"/>
              <w:rPr>
                <w:b w:val="0"/>
              </w:rPr>
            </w:pPr>
            <w:r w:rsidRPr="00E03629">
              <w:rPr>
                <w:b w:val="0"/>
              </w:rPr>
              <w:t>Other liabilities</w:t>
            </w:r>
          </w:p>
        </w:tc>
        <w:tc>
          <w:tcPr>
            <w:tcW w:w="781" w:type="dxa"/>
            <w:tcBorders>
              <w:top w:val="nil"/>
              <w:bottom w:val="nil"/>
            </w:tcBorders>
            <w:shd w:val="clear" w:color="auto" w:fill="auto"/>
            <w:vAlign w:val="center"/>
          </w:tcPr>
          <w:p w14:paraId="0F3EACB2" w14:textId="77777777" w:rsidR="00AF04B6" w:rsidRPr="000E70DE" w:rsidRDefault="00AF04B6" w:rsidP="008A4FF4">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7273E37B"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rsidRPr="00CF113B">
              <w:t>1</w:t>
            </w:r>
            <w:r>
              <w:t>,</w:t>
            </w:r>
            <w:r w:rsidRPr="00CF113B">
              <w:t>34</w:t>
            </w:r>
            <w:r>
              <w:t>6</w:t>
            </w:r>
          </w:p>
        </w:tc>
        <w:tc>
          <w:tcPr>
            <w:tcW w:w="1134" w:type="dxa"/>
            <w:tcBorders>
              <w:top w:val="nil"/>
              <w:bottom w:val="nil"/>
            </w:tcBorders>
            <w:shd w:val="clear" w:color="auto" w:fill="auto"/>
            <w:vAlign w:val="center"/>
          </w:tcPr>
          <w:p w14:paraId="62EAD613"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rsidRPr="001F57DD">
              <w:t>2</w:t>
            </w:r>
            <w:r>
              <w:t>,</w:t>
            </w:r>
            <w:r w:rsidRPr="001F57DD">
              <w:t>236</w:t>
            </w:r>
          </w:p>
        </w:tc>
        <w:tc>
          <w:tcPr>
            <w:tcW w:w="281" w:type="dxa"/>
            <w:tcBorders>
              <w:top w:val="nil"/>
              <w:bottom w:val="nil"/>
            </w:tcBorders>
            <w:shd w:val="clear" w:color="auto" w:fill="auto"/>
            <w:vAlign w:val="center"/>
          </w:tcPr>
          <w:p w14:paraId="6623826C"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030" w:type="dxa"/>
            <w:tcBorders>
              <w:top w:val="nil"/>
              <w:bottom w:val="nil"/>
            </w:tcBorders>
            <w:shd w:val="clear" w:color="auto" w:fill="auto"/>
            <w:vAlign w:val="center"/>
          </w:tcPr>
          <w:p w14:paraId="7B4F5C2C" w14:textId="77777777" w:rsidR="00AF04B6" w:rsidRPr="000E70DE"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rsidRPr="007273CE">
              <w:t>(122</w:t>
            </w:r>
            <w:r>
              <w:t>,</w:t>
            </w:r>
            <w:r w:rsidRPr="007273CE">
              <w:t>226)</w:t>
            </w:r>
          </w:p>
        </w:tc>
        <w:tc>
          <w:tcPr>
            <w:tcW w:w="1099" w:type="dxa"/>
            <w:tcBorders>
              <w:top w:val="nil"/>
              <w:bottom w:val="nil"/>
            </w:tcBorders>
            <w:shd w:val="clear" w:color="auto" w:fill="auto"/>
            <w:vAlign w:val="center"/>
          </w:tcPr>
          <w:p w14:paraId="2E8FF640" w14:textId="77777777" w:rsidR="00AF04B6" w:rsidRPr="00073BA6" w:rsidRDefault="00AF04B6" w:rsidP="008A4FF4">
            <w:pPr>
              <w:pStyle w:val="08-Tabelageral"/>
              <w:ind w:left="113"/>
              <w:cnfStyle w:val="000000000000" w:firstRow="0" w:lastRow="0" w:firstColumn="0" w:lastColumn="0" w:oddVBand="0" w:evenVBand="0" w:oddHBand="0" w:evenHBand="0" w:firstRowFirstColumn="0" w:firstRowLastColumn="0" w:lastRowFirstColumn="0" w:lastRowLastColumn="0"/>
            </w:pPr>
            <w:r w:rsidRPr="009E5902">
              <w:t>139</w:t>
            </w:r>
            <w:r>
              <w:t>,</w:t>
            </w:r>
            <w:r w:rsidRPr="009E5902">
              <w:t>500</w:t>
            </w:r>
          </w:p>
        </w:tc>
      </w:tr>
      <w:tr w:rsidR="00AF04B6" w:rsidRPr="00073BA6" w14:paraId="06E8E43A"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8A936C5" w14:textId="77777777" w:rsidR="00AF04B6" w:rsidRPr="00BD6C7E" w:rsidRDefault="00AF04B6" w:rsidP="008A4FF4">
            <w:pPr>
              <w:pStyle w:val="08-Tabelageral"/>
              <w:jc w:val="left"/>
              <w:rPr>
                <w:b w:val="0"/>
                <w:lang w:val="en-US"/>
              </w:rPr>
            </w:pPr>
            <w:r w:rsidRPr="00BD6C7E">
              <w:rPr>
                <w:lang w:val="en-US"/>
              </w:rPr>
              <w:t>Cash provided by operating activities</w:t>
            </w:r>
          </w:p>
        </w:tc>
        <w:tc>
          <w:tcPr>
            <w:tcW w:w="781" w:type="dxa"/>
            <w:tcBorders>
              <w:top w:val="nil"/>
              <w:bottom w:val="nil"/>
            </w:tcBorders>
            <w:shd w:val="clear" w:color="auto" w:fill="auto"/>
            <w:vAlign w:val="center"/>
          </w:tcPr>
          <w:p w14:paraId="7EA6F4B6" w14:textId="77777777" w:rsidR="00AF04B6" w:rsidRPr="00BD6C7E" w:rsidRDefault="00AF04B6" w:rsidP="008A4FF4">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134" w:type="dxa"/>
            <w:tcBorders>
              <w:top w:val="nil"/>
              <w:bottom w:val="nil"/>
            </w:tcBorders>
            <w:shd w:val="clear" w:color="auto" w:fill="auto"/>
            <w:vAlign w:val="center"/>
          </w:tcPr>
          <w:p w14:paraId="6606DF74" w14:textId="77777777" w:rsidR="00AF04B6" w:rsidRPr="00F06920" w:rsidRDefault="00AF04B6" w:rsidP="008A4FF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980B0E">
              <w:rPr>
                <w:rFonts w:cs="Arial"/>
                <w:b/>
                <w:szCs w:val="14"/>
              </w:rPr>
              <w:t>(13</w:t>
            </w:r>
            <w:r>
              <w:rPr>
                <w:rFonts w:cs="Arial"/>
                <w:b/>
                <w:szCs w:val="14"/>
              </w:rPr>
              <w:t>,</w:t>
            </w:r>
            <w:r w:rsidRPr="00980B0E">
              <w:rPr>
                <w:rFonts w:cs="Arial"/>
                <w:b/>
                <w:szCs w:val="14"/>
              </w:rPr>
              <w:t>925)</w:t>
            </w:r>
          </w:p>
        </w:tc>
        <w:tc>
          <w:tcPr>
            <w:tcW w:w="1134" w:type="dxa"/>
            <w:tcBorders>
              <w:top w:val="nil"/>
              <w:bottom w:val="nil"/>
            </w:tcBorders>
            <w:shd w:val="clear" w:color="auto" w:fill="auto"/>
            <w:vAlign w:val="center"/>
          </w:tcPr>
          <w:p w14:paraId="30B7505D" w14:textId="77777777" w:rsidR="00AF04B6" w:rsidRPr="00F06920" w:rsidRDefault="00AF04B6" w:rsidP="008A4FF4">
            <w:pPr>
              <w:pStyle w:val="08-Tabelageral"/>
              <w:cnfStyle w:val="000000100000" w:firstRow="0" w:lastRow="0" w:firstColumn="0" w:lastColumn="0" w:oddVBand="0" w:evenVBand="0" w:oddHBand="1" w:evenHBand="0" w:firstRowFirstColumn="0" w:firstRowLastColumn="0" w:lastRowFirstColumn="0" w:lastRowLastColumn="0"/>
              <w:rPr>
                <w:b/>
                <w:bCs/>
              </w:rPr>
            </w:pPr>
            <w:r w:rsidRPr="001F57DD">
              <w:rPr>
                <w:rFonts w:cs="Arial"/>
                <w:b/>
                <w:szCs w:val="14"/>
              </w:rPr>
              <w:t>17</w:t>
            </w:r>
            <w:r>
              <w:rPr>
                <w:rFonts w:cs="Arial"/>
                <w:b/>
                <w:szCs w:val="14"/>
              </w:rPr>
              <w:t>,</w:t>
            </w:r>
            <w:r w:rsidRPr="001F57DD">
              <w:rPr>
                <w:rFonts w:cs="Arial"/>
                <w:b/>
                <w:szCs w:val="14"/>
              </w:rPr>
              <w:t>298</w:t>
            </w:r>
          </w:p>
        </w:tc>
        <w:tc>
          <w:tcPr>
            <w:tcW w:w="281" w:type="dxa"/>
            <w:tcBorders>
              <w:top w:val="nil"/>
              <w:bottom w:val="nil"/>
            </w:tcBorders>
            <w:shd w:val="clear" w:color="auto" w:fill="auto"/>
            <w:vAlign w:val="center"/>
          </w:tcPr>
          <w:p w14:paraId="0392D6DB" w14:textId="77777777" w:rsidR="00AF04B6" w:rsidRPr="00F06920" w:rsidRDefault="00AF04B6" w:rsidP="008A4FF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030" w:type="dxa"/>
            <w:tcBorders>
              <w:top w:val="nil"/>
              <w:bottom w:val="nil"/>
            </w:tcBorders>
            <w:shd w:val="clear" w:color="auto" w:fill="auto"/>
            <w:vAlign w:val="center"/>
          </w:tcPr>
          <w:p w14:paraId="33494595" w14:textId="77777777" w:rsidR="00AF04B6" w:rsidRPr="00F06920" w:rsidRDefault="00AF04B6" w:rsidP="008A4FF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42FD0">
              <w:rPr>
                <w:rFonts w:cs="Arial"/>
                <w:b/>
                <w:szCs w:val="14"/>
              </w:rPr>
              <w:t>3</w:t>
            </w:r>
            <w:r>
              <w:rPr>
                <w:rFonts w:cs="Arial"/>
                <w:b/>
                <w:szCs w:val="14"/>
              </w:rPr>
              <w:t>,</w:t>
            </w:r>
            <w:r w:rsidRPr="00442FD0">
              <w:rPr>
                <w:rFonts w:cs="Arial"/>
                <w:b/>
                <w:szCs w:val="14"/>
              </w:rPr>
              <w:t>275</w:t>
            </w:r>
            <w:r>
              <w:rPr>
                <w:rFonts w:cs="Arial"/>
                <w:b/>
                <w:szCs w:val="14"/>
              </w:rPr>
              <w:t>,</w:t>
            </w:r>
            <w:r w:rsidRPr="00442FD0">
              <w:rPr>
                <w:rFonts w:cs="Arial"/>
                <w:b/>
                <w:szCs w:val="14"/>
              </w:rPr>
              <w:t>011</w:t>
            </w:r>
          </w:p>
        </w:tc>
        <w:tc>
          <w:tcPr>
            <w:tcW w:w="1099" w:type="dxa"/>
            <w:tcBorders>
              <w:top w:val="nil"/>
              <w:bottom w:val="nil"/>
            </w:tcBorders>
            <w:shd w:val="clear" w:color="auto" w:fill="auto"/>
            <w:vAlign w:val="center"/>
          </w:tcPr>
          <w:p w14:paraId="1CFF3D8C" w14:textId="77777777" w:rsidR="00AF04B6" w:rsidRPr="00F06920" w:rsidRDefault="00AF04B6" w:rsidP="008A4FF4">
            <w:pPr>
              <w:pStyle w:val="08-Tabelageral"/>
              <w:cnfStyle w:val="000000100000" w:firstRow="0" w:lastRow="0" w:firstColumn="0" w:lastColumn="0" w:oddVBand="0" w:evenVBand="0" w:oddHBand="1" w:evenHBand="0" w:firstRowFirstColumn="0" w:firstRowLastColumn="0" w:lastRowFirstColumn="0" w:lastRowLastColumn="0"/>
              <w:rPr>
                <w:b/>
                <w:bCs/>
              </w:rPr>
            </w:pPr>
            <w:r w:rsidRPr="009E5902">
              <w:rPr>
                <w:rFonts w:cs="Arial"/>
                <w:b/>
                <w:szCs w:val="14"/>
              </w:rPr>
              <w:t>2</w:t>
            </w:r>
            <w:r>
              <w:rPr>
                <w:rFonts w:cs="Arial"/>
                <w:b/>
                <w:szCs w:val="14"/>
              </w:rPr>
              <w:t>,</w:t>
            </w:r>
            <w:r w:rsidRPr="009E5902">
              <w:rPr>
                <w:rFonts w:cs="Arial"/>
                <w:b/>
                <w:szCs w:val="14"/>
              </w:rPr>
              <w:t>825</w:t>
            </w:r>
            <w:r>
              <w:rPr>
                <w:rFonts w:cs="Arial"/>
                <w:b/>
                <w:szCs w:val="14"/>
              </w:rPr>
              <w:t>,</w:t>
            </w:r>
            <w:r w:rsidRPr="009E5902">
              <w:rPr>
                <w:rFonts w:cs="Arial"/>
                <w:b/>
                <w:szCs w:val="14"/>
              </w:rPr>
              <w:t>755</w:t>
            </w:r>
          </w:p>
        </w:tc>
      </w:tr>
      <w:tr w:rsidR="00AF04B6" w:rsidRPr="001D6BE8" w14:paraId="617B26BC"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F8839AC" w14:textId="77777777" w:rsidR="00AF04B6" w:rsidRPr="0038031F" w:rsidRDefault="00AF04B6" w:rsidP="0039314B">
            <w:pPr>
              <w:pStyle w:val="08-Tabelageral"/>
              <w:ind w:left="113"/>
              <w:jc w:val="left"/>
              <w:rPr>
                <w:b w:val="0"/>
              </w:rPr>
            </w:pPr>
          </w:p>
        </w:tc>
        <w:tc>
          <w:tcPr>
            <w:tcW w:w="781" w:type="dxa"/>
            <w:tcBorders>
              <w:top w:val="nil"/>
              <w:bottom w:val="nil"/>
            </w:tcBorders>
            <w:shd w:val="clear" w:color="auto" w:fill="auto"/>
            <w:vAlign w:val="center"/>
          </w:tcPr>
          <w:p w14:paraId="18194298" w14:textId="77777777" w:rsidR="00AF04B6" w:rsidRPr="00CF4B29" w:rsidRDefault="00AF04B6" w:rsidP="0039314B">
            <w:pPr>
              <w:pStyle w:val="08-Tabelageral"/>
              <w:jc w:val="left"/>
              <w:cnfStyle w:val="000000000000" w:firstRow="0" w:lastRow="0" w:firstColumn="0" w:lastColumn="0" w:oddVBand="0" w:evenVBand="0" w:oddHBand="0" w:evenHBand="0" w:firstRowFirstColumn="0" w:firstRowLastColumn="0" w:lastRowFirstColumn="0" w:lastRowLastColumn="0"/>
              <w:rPr>
                <w:szCs w:val="14"/>
              </w:rPr>
            </w:pPr>
          </w:p>
        </w:tc>
        <w:tc>
          <w:tcPr>
            <w:tcW w:w="1134" w:type="dxa"/>
            <w:tcBorders>
              <w:top w:val="nil"/>
              <w:bottom w:val="nil"/>
            </w:tcBorders>
            <w:shd w:val="clear" w:color="auto" w:fill="auto"/>
            <w:vAlign w:val="center"/>
          </w:tcPr>
          <w:p w14:paraId="1C1C8328" w14:textId="77777777" w:rsidR="00AF04B6" w:rsidRPr="00350BA7" w:rsidRDefault="00AF04B6" w:rsidP="0039314B">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CE06961" w14:textId="77777777" w:rsidR="00AF04B6" w:rsidRPr="00CF4B29" w:rsidRDefault="00AF04B6" w:rsidP="0039314B">
            <w:pPr>
              <w:pStyle w:val="08-Tabelageral"/>
              <w:cnfStyle w:val="000000000000" w:firstRow="0" w:lastRow="0" w:firstColumn="0" w:lastColumn="0" w:oddVBand="0" w:evenVBand="0" w:oddHBand="0" w:evenHBand="0" w:firstRowFirstColumn="0" w:firstRowLastColumn="0" w:lastRowFirstColumn="0" w:lastRowLastColumn="0"/>
            </w:pPr>
          </w:p>
        </w:tc>
        <w:tc>
          <w:tcPr>
            <w:tcW w:w="281" w:type="dxa"/>
            <w:tcBorders>
              <w:top w:val="nil"/>
              <w:bottom w:val="nil"/>
            </w:tcBorders>
            <w:shd w:val="clear" w:color="auto" w:fill="auto"/>
            <w:vAlign w:val="center"/>
          </w:tcPr>
          <w:p w14:paraId="18376B88" w14:textId="77777777" w:rsidR="00AF04B6" w:rsidRPr="00350BA7" w:rsidRDefault="00AF04B6" w:rsidP="0039314B">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30" w:type="dxa"/>
            <w:tcBorders>
              <w:top w:val="nil"/>
              <w:bottom w:val="nil"/>
            </w:tcBorders>
            <w:shd w:val="clear" w:color="auto" w:fill="auto"/>
            <w:vAlign w:val="center"/>
          </w:tcPr>
          <w:p w14:paraId="21250A36" w14:textId="77777777" w:rsidR="00AF04B6" w:rsidRPr="00350BA7" w:rsidRDefault="00AF04B6" w:rsidP="0039314B">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99" w:type="dxa"/>
            <w:tcBorders>
              <w:top w:val="nil"/>
              <w:bottom w:val="nil"/>
            </w:tcBorders>
            <w:shd w:val="clear" w:color="auto" w:fill="auto"/>
            <w:vAlign w:val="center"/>
          </w:tcPr>
          <w:p w14:paraId="2505903C" w14:textId="77777777" w:rsidR="00AF04B6" w:rsidRPr="00CF4B29" w:rsidRDefault="00AF04B6" w:rsidP="0039314B">
            <w:pPr>
              <w:pStyle w:val="08-Tabelageral"/>
              <w:cnfStyle w:val="000000000000" w:firstRow="0" w:lastRow="0" w:firstColumn="0" w:lastColumn="0" w:oddVBand="0" w:evenVBand="0" w:oddHBand="0" w:evenHBand="0" w:firstRowFirstColumn="0" w:firstRowLastColumn="0" w:lastRowFirstColumn="0" w:lastRowLastColumn="0"/>
            </w:pPr>
          </w:p>
        </w:tc>
      </w:tr>
      <w:tr w:rsidR="00AF04B6" w:rsidRPr="00960237" w14:paraId="07FE0065"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4C89EB70" w14:textId="77777777" w:rsidR="00AF04B6" w:rsidRPr="00BD6C7E" w:rsidRDefault="00AF04B6" w:rsidP="0039314B">
            <w:pPr>
              <w:pStyle w:val="08-Tabelageral"/>
              <w:jc w:val="left"/>
              <w:rPr>
                <w:b w:val="0"/>
                <w:lang w:val="en-US"/>
              </w:rPr>
            </w:pPr>
            <w:r w:rsidRPr="00BD6C7E">
              <w:rPr>
                <w:lang w:val="en-US"/>
              </w:rPr>
              <w:t>Cash flow from investment activities</w:t>
            </w:r>
          </w:p>
        </w:tc>
        <w:tc>
          <w:tcPr>
            <w:tcW w:w="781" w:type="dxa"/>
            <w:tcBorders>
              <w:top w:val="nil"/>
              <w:bottom w:val="nil"/>
            </w:tcBorders>
            <w:shd w:val="clear" w:color="auto" w:fill="auto"/>
            <w:vAlign w:val="center"/>
          </w:tcPr>
          <w:p w14:paraId="621A0C2A" w14:textId="77777777" w:rsidR="00AF04B6" w:rsidRPr="00BD6C7E" w:rsidRDefault="00AF04B6" w:rsidP="0039314B">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134" w:type="dxa"/>
            <w:tcBorders>
              <w:top w:val="nil"/>
              <w:bottom w:val="nil"/>
            </w:tcBorders>
            <w:shd w:val="clear" w:color="auto" w:fill="auto"/>
            <w:vAlign w:val="center"/>
          </w:tcPr>
          <w:p w14:paraId="1C51975A" w14:textId="77777777" w:rsidR="00AF04B6" w:rsidRPr="00BD6C7E"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134" w:type="dxa"/>
            <w:tcBorders>
              <w:top w:val="nil"/>
              <w:bottom w:val="nil"/>
            </w:tcBorders>
            <w:shd w:val="clear" w:color="auto" w:fill="auto"/>
            <w:vAlign w:val="center"/>
          </w:tcPr>
          <w:p w14:paraId="01282759" w14:textId="77777777" w:rsidR="00AF04B6" w:rsidRPr="00BD6C7E"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lang w:val="en-US"/>
              </w:rPr>
            </w:pPr>
          </w:p>
        </w:tc>
        <w:tc>
          <w:tcPr>
            <w:tcW w:w="281" w:type="dxa"/>
            <w:tcBorders>
              <w:top w:val="nil"/>
              <w:bottom w:val="nil"/>
            </w:tcBorders>
            <w:shd w:val="clear" w:color="auto" w:fill="auto"/>
            <w:vAlign w:val="center"/>
          </w:tcPr>
          <w:p w14:paraId="7C7A3807" w14:textId="77777777" w:rsidR="00AF04B6" w:rsidRPr="00BD6C7E"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030" w:type="dxa"/>
            <w:tcBorders>
              <w:top w:val="nil"/>
              <w:bottom w:val="nil"/>
            </w:tcBorders>
            <w:shd w:val="clear" w:color="auto" w:fill="auto"/>
            <w:vAlign w:val="center"/>
          </w:tcPr>
          <w:p w14:paraId="77C4554F" w14:textId="77777777" w:rsidR="00AF04B6" w:rsidRPr="00BD6C7E"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099" w:type="dxa"/>
            <w:tcBorders>
              <w:top w:val="nil"/>
              <w:bottom w:val="nil"/>
            </w:tcBorders>
            <w:shd w:val="clear" w:color="auto" w:fill="auto"/>
            <w:vAlign w:val="center"/>
          </w:tcPr>
          <w:p w14:paraId="4209AB50" w14:textId="77777777" w:rsidR="00AF04B6" w:rsidRPr="00BD6C7E"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lang w:val="en-US"/>
              </w:rPr>
            </w:pPr>
          </w:p>
        </w:tc>
      </w:tr>
      <w:tr w:rsidR="00AF04B6" w:rsidRPr="008A4FF4" w14:paraId="0559FE67"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3661DE7C" w14:textId="77777777" w:rsidR="00AF04B6" w:rsidRPr="00342342" w:rsidRDefault="00AF04B6" w:rsidP="008A4FF4">
            <w:pPr>
              <w:pStyle w:val="08-Tabelageral"/>
              <w:ind w:left="113"/>
              <w:jc w:val="left"/>
              <w:rPr>
                <w:b w:val="0"/>
                <w:highlight w:val="yellow"/>
                <w:lang w:val="en-US"/>
              </w:rPr>
            </w:pPr>
            <w:r w:rsidRPr="00342342">
              <w:rPr>
                <w:b w:val="0"/>
                <w:lang w:val="en-US"/>
              </w:rPr>
              <w:t>Investments in financial assets</w:t>
            </w:r>
            <w:r>
              <w:rPr>
                <w:b w:val="0"/>
                <w:lang w:val="en-US"/>
              </w:rPr>
              <w:t xml:space="preserve"> </w:t>
            </w:r>
            <w:r w:rsidRPr="00342342">
              <w:rPr>
                <w:b w:val="0"/>
                <w:lang w:val="en-US"/>
              </w:rPr>
              <w:t>at fair value through profit or loss</w:t>
            </w:r>
          </w:p>
        </w:tc>
        <w:tc>
          <w:tcPr>
            <w:tcW w:w="781" w:type="dxa"/>
            <w:tcBorders>
              <w:top w:val="nil"/>
              <w:bottom w:val="nil"/>
            </w:tcBorders>
            <w:shd w:val="clear" w:color="auto" w:fill="auto"/>
            <w:vAlign w:val="center"/>
          </w:tcPr>
          <w:p w14:paraId="63A112F0" w14:textId="77777777" w:rsidR="00AF04B6" w:rsidRPr="008A4FF4" w:rsidRDefault="00AF04B6" w:rsidP="008A4FF4">
            <w:pPr>
              <w:pStyle w:val="08-Tabelageral"/>
              <w:jc w:val="left"/>
              <w:cnfStyle w:val="000000000000" w:firstRow="0" w:lastRow="0" w:firstColumn="0" w:lastColumn="0" w:oddVBand="0" w:evenVBand="0" w:oddHBand="0" w:evenHBand="0" w:firstRowFirstColumn="0" w:firstRowLastColumn="0" w:lastRowFirstColumn="0" w:lastRowLastColumn="0"/>
              <w:rPr>
                <w:lang w:val="en-US"/>
              </w:rPr>
            </w:pPr>
            <w:r w:rsidRPr="008A4FF4">
              <w:rPr>
                <w:lang w:val="en-US"/>
              </w:rPr>
              <w:t>[16.a]</w:t>
            </w:r>
          </w:p>
        </w:tc>
        <w:tc>
          <w:tcPr>
            <w:tcW w:w="1134" w:type="dxa"/>
            <w:tcBorders>
              <w:top w:val="nil"/>
              <w:bottom w:val="nil"/>
            </w:tcBorders>
            <w:shd w:val="clear" w:color="auto" w:fill="auto"/>
            <w:vAlign w:val="center"/>
          </w:tcPr>
          <w:p w14:paraId="35605D80" w14:textId="77777777" w:rsidR="00AF04B6" w:rsidRPr="008A4FF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rsidRPr="008A4FF4">
              <w:rPr>
                <w:lang w:val="en-US"/>
              </w:rPr>
              <w:t>--</w:t>
            </w:r>
          </w:p>
        </w:tc>
        <w:tc>
          <w:tcPr>
            <w:tcW w:w="1134" w:type="dxa"/>
            <w:tcBorders>
              <w:top w:val="nil"/>
              <w:bottom w:val="nil"/>
            </w:tcBorders>
            <w:shd w:val="clear" w:color="auto" w:fill="auto"/>
            <w:vAlign w:val="center"/>
          </w:tcPr>
          <w:p w14:paraId="4CEFC8F2" w14:textId="77777777" w:rsidR="00AF04B6" w:rsidRPr="008A4FF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rsidRPr="008A4FF4">
              <w:rPr>
                <w:lang w:val="en-US"/>
              </w:rPr>
              <w:t>--</w:t>
            </w:r>
          </w:p>
        </w:tc>
        <w:tc>
          <w:tcPr>
            <w:tcW w:w="281" w:type="dxa"/>
            <w:tcBorders>
              <w:top w:val="nil"/>
              <w:bottom w:val="nil"/>
            </w:tcBorders>
            <w:shd w:val="clear" w:color="auto" w:fill="auto"/>
            <w:vAlign w:val="center"/>
          </w:tcPr>
          <w:p w14:paraId="25FCD6C4" w14:textId="77777777" w:rsidR="00AF04B6" w:rsidRPr="008A4FF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p>
        </w:tc>
        <w:tc>
          <w:tcPr>
            <w:tcW w:w="1030" w:type="dxa"/>
            <w:tcBorders>
              <w:top w:val="nil"/>
              <w:bottom w:val="nil"/>
            </w:tcBorders>
            <w:shd w:val="clear" w:color="auto" w:fill="auto"/>
            <w:vAlign w:val="center"/>
          </w:tcPr>
          <w:p w14:paraId="6FC7D16D" w14:textId="77777777" w:rsidR="00AF04B6" w:rsidRPr="008A4FF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rsidRPr="008A4FF4">
              <w:rPr>
                <w:lang w:val="en-US"/>
              </w:rPr>
              <w:t>(347</w:t>
            </w:r>
            <w:r>
              <w:rPr>
                <w:lang w:val="en-US"/>
              </w:rPr>
              <w:t>,</w:t>
            </w:r>
            <w:r w:rsidRPr="008A4FF4">
              <w:rPr>
                <w:lang w:val="en-US"/>
              </w:rPr>
              <w:t>020)</w:t>
            </w:r>
          </w:p>
        </w:tc>
        <w:tc>
          <w:tcPr>
            <w:tcW w:w="1099" w:type="dxa"/>
            <w:tcBorders>
              <w:top w:val="nil"/>
              <w:bottom w:val="nil"/>
            </w:tcBorders>
            <w:shd w:val="clear" w:color="auto" w:fill="auto"/>
            <w:vAlign w:val="center"/>
          </w:tcPr>
          <w:p w14:paraId="5FBA3397" w14:textId="77777777" w:rsidR="00AF04B6" w:rsidRPr="008A4FF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rPr>
                <w:lang w:val="en-US"/>
              </w:rPr>
            </w:pPr>
            <w:r w:rsidRPr="008A4FF4">
              <w:rPr>
                <w:lang w:val="en-US"/>
              </w:rPr>
              <w:t>--</w:t>
            </w:r>
          </w:p>
        </w:tc>
      </w:tr>
      <w:tr w:rsidR="00AF04B6" w:rsidRPr="008634EF" w14:paraId="354AD678"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68816106" w14:textId="77777777" w:rsidR="00AF04B6" w:rsidRPr="0038283D" w:rsidRDefault="00AF04B6" w:rsidP="008A4FF4">
            <w:pPr>
              <w:pStyle w:val="08-Tabelageral"/>
              <w:ind w:left="113"/>
              <w:jc w:val="left"/>
              <w:rPr>
                <w:b w:val="0"/>
                <w:lang w:val="en-US"/>
              </w:rPr>
            </w:pPr>
            <w:r w:rsidRPr="0038283D">
              <w:rPr>
                <w:b w:val="0"/>
                <w:lang w:val="en-US"/>
              </w:rPr>
              <w:t>Redemptions in financial assets measured at amortized cost</w:t>
            </w:r>
          </w:p>
        </w:tc>
        <w:tc>
          <w:tcPr>
            <w:tcW w:w="781" w:type="dxa"/>
            <w:tcBorders>
              <w:top w:val="nil"/>
              <w:bottom w:val="nil"/>
            </w:tcBorders>
            <w:shd w:val="clear" w:color="auto" w:fill="auto"/>
            <w:vAlign w:val="center"/>
          </w:tcPr>
          <w:p w14:paraId="46741871" w14:textId="77777777" w:rsidR="00AF04B6" w:rsidRPr="0038283D" w:rsidRDefault="00AF04B6" w:rsidP="008A4FF4">
            <w:pPr>
              <w:pStyle w:val="08-Tabelageral"/>
              <w:jc w:val="left"/>
              <w:cnfStyle w:val="000000100000" w:firstRow="0" w:lastRow="0" w:firstColumn="0" w:lastColumn="0" w:oddVBand="0" w:evenVBand="0" w:oddHBand="1" w:evenHBand="0" w:firstRowFirstColumn="0" w:firstRowLastColumn="0" w:lastRowFirstColumn="0" w:lastRowLastColumn="0"/>
              <w:rPr>
                <w:lang w:val="en-US"/>
              </w:rPr>
            </w:pPr>
          </w:p>
        </w:tc>
        <w:tc>
          <w:tcPr>
            <w:tcW w:w="1134" w:type="dxa"/>
            <w:tcBorders>
              <w:top w:val="nil"/>
              <w:bottom w:val="nil"/>
            </w:tcBorders>
            <w:shd w:val="clear" w:color="auto" w:fill="auto"/>
            <w:vAlign w:val="center"/>
          </w:tcPr>
          <w:p w14:paraId="6EDA8B27" w14:textId="77777777" w:rsidR="00AF04B6" w:rsidRPr="00881572"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t>--</w:t>
            </w:r>
          </w:p>
        </w:tc>
        <w:tc>
          <w:tcPr>
            <w:tcW w:w="1134" w:type="dxa"/>
            <w:tcBorders>
              <w:top w:val="nil"/>
              <w:bottom w:val="nil"/>
            </w:tcBorders>
            <w:shd w:val="clear" w:color="auto" w:fill="auto"/>
            <w:vAlign w:val="center"/>
          </w:tcPr>
          <w:p w14:paraId="51194AC8" w14:textId="77777777" w:rsidR="00AF04B6" w:rsidRPr="00881572"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r>
              <w:t>--</w:t>
            </w:r>
          </w:p>
        </w:tc>
        <w:tc>
          <w:tcPr>
            <w:tcW w:w="281" w:type="dxa"/>
            <w:tcBorders>
              <w:top w:val="nil"/>
              <w:bottom w:val="nil"/>
            </w:tcBorders>
            <w:shd w:val="clear" w:color="auto" w:fill="auto"/>
            <w:vAlign w:val="center"/>
          </w:tcPr>
          <w:p w14:paraId="5256BEFC" w14:textId="77777777" w:rsidR="00AF04B6" w:rsidRPr="00881572"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rPr>
                <w:lang w:val="en-US"/>
              </w:rPr>
            </w:pPr>
          </w:p>
        </w:tc>
        <w:tc>
          <w:tcPr>
            <w:tcW w:w="1030" w:type="dxa"/>
            <w:tcBorders>
              <w:top w:val="nil"/>
              <w:bottom w:val="nil"/>
            </w:tcBorders>
            <w:shd w:val="clear" w:color="auto" w:fill="auto"/>
            <w:vAlign w:val="center"/>
          </w:tcPr>
          <w:p w14:paraId="64E9ABB3" w14:textId="77777777" w:rsidR="00AF04B6" w:rsidRPr="008634EF"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099" w:type="dxa"/>
            <w:tcBorders>
              <w:top w:val="nil"/>
              <w:bottom w:val="nil"/>
            </w:tcBorders>
            <w:shd w:val="clear" w:color="auto" w:fill="auto"/>
            <w:vAlign w:val="center"/>
          </w:tcPr>
          <w:p w14:paraId="736CF047" w14:textId="77777777" w:rsidR="00AF04B6" w:rsidRPr="008634EF"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rsidRPr="001F57DD">
              <w:t>455</w:t>
            </w:r>
            <w:r>
              <w:t>,</w:t>
            </w:r>
            <w:r w:rsidRPr="001F57DD">
              <w:t>859</w:t>
            </w:r>
          </w:p>
        </w:tc>
      </w:tr>
      <w:tr w:rsidR="00AF04B6" w:rsidRPr="00215D82" w14:paraId="3BE04904"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13128B0B" w14:textId="77777777" w:rsidR="00AF04B6" w:rsidRPr="00215D82" w:rsidRDefault="00AF04B6" w:rsidP="008A4FF4">
            <w:pPr>
              <w:pStyle w:val="08-Tabelageral"/>
              <w:ind w:left="113"/>
              <w:jc w:val="left"/>
              <w:rPr>
                <w:b w:val="0"/>
              </w:rPr>
            </w:pPr>
            <w:r w:rsidRPr="00E03629">
              <w:rPr>
                <w:b w:val="0"/>
              </w:rPr>
              <w:t>Dividends received</w:t>
            </w:r>
          </w:p>
        </w:tc>
        <w:tc>
          <w:tcPr>
            <w:tcW w:w="781" w:type="dxa"/>
            <w:tcBorders>
              <w:top w:val="nil"/>
              <w:bottom w:val="nil"/>
            </w:tcBorders>
            <w:shd w:val="clear" w:color="auto" w:fill="auto"/>
            <w:vAlign w:val="center"/>
          </w:tcPr>
          <w:p w14:paraId="496CE97B" w14:textId="77777777" w:rsidR="00AF04B6" w:rsidRPr="00A74700" w:rsidRDefault="00AF04B6" w:rsidP="008A4FF4">
            <w:pPr>
              <w:pStyle w:val="08-Tabelageral"/>
              <w:jc w:val="left"/>
              <w:cnfStyle w:val="000000000000" w:firstRow="0" w:lastRow="0" w:firstColumn="0" w:lastColumn="0" w:oddVBand="0" w:evenVBand="0" w:oddHBand="0" w:evenHBand="0" w:firstRowFirstColumn="0" w:firstRowLastColumn="0" w:lastRowFirstColumn="0" w:lastRowLastColumn="0"/>
            </w:pPr>
            <w:r w:rsidRPr="00E0461B">
              <w:t>[7.b]</w:t>
            </w:r>
          </w:p>
        </w:tc>
        <w:tc>
          <w:tcPr>
            <w:tcW w:w="1134" w:type="dxa"/>
            <w:tcBorders>
              <w:top w:val="nil"/>
              <w:bottom w:val="nil"/>
            </w:tcBorders>
            <w:shd w:val="clear" w:color="auto" w:fill="auto"/>
            <w:vAlign w:val="center"/>
          </w:tcPr>
          <w:p w14:paraId="7245EE45" w14:textId="77777777" w:rsidR="00AF04B6" w:rsidRPr="00EC190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CF113B">
              <w:t>3</w:t>
            </w:r>
            <w:r>
              <w:t>,</w:t>
            </w:r>
            <w:r w:rsidRPr="00CF113B">
              <w:t>629</w:t>
            </w:r>
            <w:r>
              <w:t>,</w:t>
            </w:r>
            <w:r w:rsidRPr="00CF113B">
              <w:t>262</w:t>
            </w:r>
          </w:p>
        </w:tc>
        <w:tc>
          <w:tcPr>
            <w:tcW w:w="1134" w:type="dxa"/>
            <w:tcBorders>
              <w:top w:val="nil"/>
              <w:bottom w:val="nil"/>
            </w:tcBorders>
            <w:shd w:val="clear" w:color="auto" w:fill="auto"/>
            <w:vAlign w:val="center"/>
          </w:tcPr>
          <w:p w14:paraId="7FD2BE0E" w14:textId="77777777" w:rsidR="00AF04B6" w:rsidRPr="00010EFA"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7F7D85">
              <w:t>2</w:t>
            </w:r>
            <w:r>
              <w:t>,</w:t>
            </w:r>
            <w:r w:rsidRPr="007F7D85">
              <w:t>093</w:t>
            </w:r>
            <w:r>
              <w:t>,</w:t>
            </w:r>
            <w:r w:rsidRPr="007F7D85">
              <w:t>213</w:t>
            </w:r>
          </w:p>
        </w:tc>
        <w:tc>
          <w:tcPr>
            <w:tcW w:w="281" w:type="dxa"/>
            <w:tcBorders>
              <w:top w:val="nil"/>
              <w:bottom w:val="nil"/>
            </w:tcBorders>
            <w:shd w:val="clear" w:color="auto" w:fill="auto"/>
            <w:vAlign w:val="center"/>
          </w:tcPr>
          <w:p w14:paraId="52D21BFE" w14:textId="77777777" w:rsidR="00AF04B6" w:rsidRPr="00010EFA"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030" w:type="dxa"/>
            <w:tcBorders>
              <w:top w:val="nil"/>
              <w:bottom w:val="nil"/>
            </w:tcBorders>
            <w:shd w:val="clear" w:color="auto" w:fill="auto"/>
            <w:vAlign w:val="center"/>
          </w:tcPr>
          <w:p w14:paraId="6188B151" w14:textId="77777777" w:rsidR="00AF04B6" w:rsidRPr="00010EFA"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7273CE">
              <w:t>2</w:t>
            </w:r>
            <w:r>
              <w:t>,</w:t>
            </w:r>
            <w:r w:rsidRPr="007273CE">
              <w:t>729</w:t>
            </w:r>
            <w:r>
              <w:t>,</w:t>
            </w:r>
            <w:r w:rsidRPr="007273CE">
              <w:t>266</w:t>
            </w:r>
          </w:p>
        </w:tc>
        <w:tc>
          <w:tcPr>
            <w:tcW w:w="1099" w:type="dxa"/>
            <w:tcBorders>
              <w:top w:val="nil"/>
              <w:bottom w:val="nil"/>
            </w:tcBorders>
            <w:shd w:val="clear" w:color="auto" w:fill="auto"/>
            <w:vAlign w:val="center"/>
          </w:tcPr>
          <w:p w14:paraId="54076CA8" w14:textId="77777777" w:rsidR="00AF04B6" w:rsidRPr="00010EFA"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1F57DD">
              <w:t>963</w:t>
            </w:r>
            <w:r>
              <w:t>,</w:t>
            </w:r>
            <w:r w:rsidRPr="001F57DD">
              <w:t>364</w:t>
            </w:r>
          </w:p>
        </w:tc>
      </w:tr>
      <w:tr w:rsidR="00AF04B6" w:rsidRPr="00215D82" w14:paraId="6A0B44D4"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65DEC15" w14:textId="77777777" w:rsidR="00AF04B6" w:rsidRPr="008A4FF4" w:rsidRDefault="00AF04B6" w:rsidP="008A4FF4">
            <w:pPr>
              <w:pStyle w:val="08-Tabelageral"/>
              <w:ind w:left="113"/>
              <w:jc w:val="left"/>
              <w:rPr>
                <w:b w:val="0"/>
                <w:bCs w:val="0"/>
              </w:rPr>
            </w:pPr>
            <w:r w:rsidRPr="00E24047">
              <w:rPr>
                <w:b w:val="0"/>
                <w:bCs w:val="0"/>
              </w:rPr>
              <w:t>Interest on equity received</w:t>
            </w:r>
          </w:p>
        </w:tc>
        <w:tc>
          <w:tcPr>
            <w:tcW w:w="781" w:type="dxa"/>
            <w:tcBorders>
              <w:top w:val="nil"/>
              <w:bottom w:val="nil"/>
            </w:tcBorders>
            <w:shd w:val="clear" w:color="auto" w:fill="auto"/>
            <w:vAlign w:val="center"/>
          </w:tcPr>
          <w:p w14:paraId="7C369BFF" w14:textId="77777777" w:rsidR="00AF04B6" w:rsidRPr="000C3D08" w:rsidRDefault="00AF04B6" w:rsidP="008A4FF4">
            <w:pPr>
              <w:pStyle w:val="08-Tabelageral"/>
              <w:jc w:val="left"/>
              <w:cnfStyle w:val="000000100000" w:firstRow="0" w:lastRow="0" w:firstColumn="0" w:lastColumn="0" w:oddVBand="0" w:evenVBand="0" w:oddHBand="1" w:evenHBand="0" w:firstRowFirstColumn="0" w:firstRowLastColumn="0" w:lastRowFirstColumn="0" w:lastRowLastColumn="0"/>
            </w:pPr>
            <w:r w:rsidRPr="005170D4">
              <w:t>[7.b]</w:t>
            </w:r>
          </w:p>
        </w:tc>
        <w:tc>
          <w:tcPr>
            <w:tcW w:w="1134" w:type="dxa"/>
            <w:tcBorders>
              <w:top w:val="nil"/>
              <w:bottom w:val="nil"/>
            </w:tcBorders>
            <w:shd w:val="clear" w:color="auto" w:fill="auto"/>
            <w:vAlign w:val="center"/>
          </w:tcPr>
          <w:p w14:paraId="560B7295" w14:textId="77777777" w:rsidR="00AF04B6" w:rsidRPr="00423288"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134" w:type="dxa"/>
            <w:tcBorders>
              <w:top w:val="nil"/>
              <w:bottom w:val="nil"/>
            </w:tcBorders>
            <w:shd w:val="clear" w:color="auto" w:fill="auto"/>
            <w:vAlign w:val="center"/>
          </w:tcPr>
          <w:p w14:paraId="10379C2B" w14:textId="77777777" w:rsidR="00AF04B6" w:rsidRPr="001563C6"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81" w:type="dxa"/>
            <w:tcBorders>
              <w:top w:val="nil"/>
              <w:bottom w:val="nil"/>
            </w:tcBorders>
            <w:shd w:val="clear" w:color="auto" w:fill="auto"/>
            <w:vAlign w:val="center"/>
          </w:tcPr>
          <w:p w14:paraId="406ECF86" w14:textId="77777777" w:rsidR="00AF04B6" w:rsidRPr="00010EFA"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030" w:type="dxa"/>
            <w:tcBorders>
              <w:top w:val="nil"/>
              <w:bottom w:val="nil"/>
            </w:tcBorders>
            <w:shd w:val="clear" w:color="auto" w:fill="auto"/>
            <w:vAlign w:val="center"/>
          </w:tcPr>
          <w:p w14:paraId="761C2077" w14:textId="77777777" w:rsidR="00AF04B6" w:rsidRPr="00930194"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rsidRPr="007273CE">
              <w:t>255</w:t>
            </w:r>
            <w:r>
              <w:t>,</w:t>
            </w:r>
            <w:r w:rsidRPr="007273CE">
              <w:t>108</w:t>
            </w:r>
          </w:p>
        </w:tc>
        <w:tc>
          <w:tcPr>
            <w:tcW w:w="1099" w:type="dxa"/>
            <w:tcBorders>
              <w:top w:val="nil"/>
              <w:bottom w:val="nil"/>
            </w:tcBorders>
            <w:shd w:val="clear" w:color="auto" w:fill="auto"/>
            <w:vAlign w:val="center"/>
          </w:tcPr>
          <w:p w14:paraId="30167ECD" w14:textId="77777777" w:rsidR="00AF04B6" w:rsidRPr="005A1043"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rsidRPr="007F7D85">
              <w:t>157</w:t>
            </w:r>
            <w:r>
              <w:t>,</w:t>
            </w:r>
            <w:r w:rsidRPr="007F7D85">
              <w:t>732</w:t>
            </w:r>
          </w:p>
        </w:tc>
      </w:tr>
      <w:tr w:rsidR="00AF04B6" w:rsidRPr="00215D82" w14:paraId="5A73BB81"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4D5C685C" w14:textId="77777777" w:rsidR="00AF04B6" w:rsidRPr="008A4FF4" w:rsidRDefault="00AF04B6" w:rsidP="008A4FF4">
            <w:pPr>
              <w:pStyle w:val="08-Tabelageral"/>
              <w:ind w:left="113"/>
              <w:jc w:val="left"/>
              <w:rPr>
                <w:b w:val="0"/>
                <w:bCs w:val="0"/>
              </w:rPr>
            </w:pPr>
            <w:r>
              <w:rPr>
                <w:b w:val="0"/>
                <w:bCs w:val="0"/>
              </w:rPr>
              <w:t>R</w:t>
            </w:r>
            <w:r w:rsidRPr="00E24047">
              <w:rPr>
                <w:b w:val="0"/>
                <w:bCs w:val="0"/>
              </w:rPr>
              <w:t xml:space="preserve">eceived - Capital reduction </w:t>
            </w:r>
            <w:r w:rsidRPr="00D72A7C">
              <w:rPr>
                <w:b w:val="0"/>
                <w:bCs w:val="0"/>
              </w:rPr>
              <w:t>–</w:t>
            </w:r>
            <w:r w:rsidRPr="001F57DD">
              <w:rPr>
                <w:b w:val="0"/>
                <w:bCs w:val="0"/>
              </w:rPr>
              <w:t xml:space="preserve"> </w:t>
            </w:r>
            <w:r w:rsidRPr="00E24047">
              <w:rPr>
                <w:b w:val="0"/>
                <w:bCs w:val="0"/>
              </w:rPr>
              <w:t>BB Corretora de Seguros e Adm. de Bens S.A.</w:t>
            </w:r>
          </w:p>
        </w:tc>
        <w:tc>
          <w:tcPr>
            <w:tcW w:w="781" w:type="dxa"/>
            <w:tcBorders>
              <w:top w:val="nil"/>
              <w:bottom w:val="nil"/>
            </w:tcBorders>
            <w:shd w:val="clear" w:color="auto" w:fill="auto"/>
            <w:vAlign w:val="center"/>
          </w:tcPr>
          <w:p w14:paraId="6D1C681D" w14:textId="77777777" w:rsidR="00AF04B6" w:rsidRPr="000C3D08" w:rsidRDefault="00AF04B6" w:rsidP="008A4FF4">
            <w:pPr>
              <w:pStyle w:val="08-Tabelageral"/>
              <w:jc w:val="left"/>
              <w:cnfStyle w:val="000000000000" w:firstRow="0" w:lastRow="0" w:firstColumn="0" w:lastColumn="0" w:oddVBand="0" w:evenVBand="0" w:oddHBand="0" w:evenHBand="0" w:firstRowFirstColumn="0" w:firstRowLastColumn="0" w:lastRowFirstColumn="0" w:lastRowLastColumn="0"/>
            </w:pPr>
            <w:r w:rsidRPr="005170D4">
              <w:t>[7.b]</w:t>
            </w:r>
          </w:p>
        </w:tc>
        <w:tc>
          <w:tcPr>
            <w:tcW w:w="1134" w:type="dxa"/>
            <w:tcBorders>
              <w:top w:val="nil"/>
              <w:bottom w:val="nil"/>
            </w:tcBorders>
            <w:shd w:val="clear" w:color="auto" w:fill="auto"/>
            <w:vAlign w:val="center"/>
          </w:tcPr>
          <w:p w14:paraId="75D30071" w14:textId="77777777" w:rsidR="00AF04B6" w:rsidRPr="00423288"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134" w:type="dxa"/>
            <w:tcBorders>
              <w:top w:val="nil"/>
              <w:bottom w:val="nil"/>
            </w:tcBorders>
            <w:shd w:val="clear" w:color="auto" w:fill="auto"/>
            <w:vAlign w:val="center"/>
          </w:tcPr>
          <w:p w14:paraId="3AC4DC12" w14:textId="77777777" w:rsidR="00AF04B6" w:rsidRPr="001563C6"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7F7D85">
              <w:t>40</w:t>
            </w:r>
            <w:r>
              <w:t>,</w:t>
            </w:r>
            <w:r w:rsidRPr="007F7D85">
              <w:t>899</w:t>
            </w:r>
          </w:p>
        </w:tc>
        <w:tc>
          <w:tcPr>
            <w:tcW w:w="281" w:type="dxa"/>
            <w:tcBorders>
              <w:top w:val="nil"/>
              <w:bottom w:val="nil"/>
            </w:tcBorders>
            <w:shd w:val="clear" w:color="auto" w:fill="auto"/>
            <w:vAlign w:val="center"/>
          </w:tcPr>
          <w:p w14:paraId="2D3B8378" w14:textId="77777777" w:rsidR="00AF04B6" w:rsidRPr="00010EFA"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030" w:type="dxa"/>
            <w:tcBorders>
              <w:top w:val="nil"/>
              <w:bottom w:val="nil"/>
            </w:tcBorders>
            <w:shd w:val="clear" w:color="auto" w:fill="auto"/>
            <w:vAlign w:val="center"/>
          </w:tcPr>
          <w:p w14:paraId="5F2F5FC5" w14:textId="77777777" w:rsidR="00AF04B6" w:rsidRPr="0093019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099" w:type="dxa"/>
            <w:tcBorders>
              <w:top w:val="nil"/>
              <w:bottom w:val="nil"/>
            </w:tcBorders>
            <w:shd w:val="clear" w:color="auto" w:fill="auto"/>
            <w:vAlign w:val="center"/>
          </w:tcPr>
          <w:p w14:paraId="3779E5DA" w14:textId="77777777" w:rsidR="00AF04B6" w:rsidRPr="005A1043"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t>--</w:t>
            </w:r>
          </w:p>
        </w:tc>
      </w:tr>
      <w:tr w:rsidR="00AF04B6" w:rsidRPr="00215D82" w14:paraId="45065F53"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4ED1F81" w14:textId="77777777" w:rsidR="00AF04B6" w:rsidRPr="00E03629" w:rsidRDefault="00AF04B6" w:rsidP="008A4FF4">
            <w:pPr>
              <w:pStyle w:val="08-Tabelageral"/>
              <w:ind w:left="113"/>
              <w:jc w:val="left"/>
              <w:rPr>
                <w:b w:val="0"/>
              </w:rPr>
            </w:pPr>
            <w:r w:rsidRPr="00964EDF">
              <w:rPr>
                <w:b w:val="0"/>
              </w:rPr>
              <w:t xml:space="preserve">Acquisition of investments </w:t>
            </w:r>
            <w:r>
              <w:rPr>
                <w:b w:val="0"/>
              </w:rPr>
              <w:softHyphen/>
            </w:r>
            <w:r w:rsidRPr="00964EDF">
              <w:rPr>
                <w:b w:val="0"/>
              </w:rPr>
              <w:t>Brasilprev Seguros e Previdência S.A.</w:t>
            </w:r>
          </w:p>
        </w:tc>
        <w:tc>
          <w:tcPr>
            <w:tcW w:w="781" w:type="dxa"/>
            <w:tcBorders>
              <w:top w:val="nil"/>
              <w:bottom w:val="nil"/>
            </w:tcBorders>
            <w:shd w:val="clear" w:color="auto" w:fill="auto"/>
            <w:vAlign w:val="center"/>
          </w:tcPr>
          <w:p w14:paraId="37DE50F6" w14:textId="77777777" w:rsidR="00AF04B6" w:rsidRPr="000C3D08" w:rsidRDefault="00AF04B6" w:rsidP="008A4FF4">
            <w:pPr>
              <w:pStyle w:val="08-Tabelageral"/>
              <w:jc w:val="left"/>
              <w:cnfStyle w:val="000000100000" w:firstRow="0" w:lastRow="0" w:firstColumn="0" w:lastColumn="0" w:oddVBand="0" w:evenVBand="0" w:oddHBand="1" w:evenHBand="0" w:firstRowFirstColumn="0" w:firstRowLastColumn="0" w:lastRowFirstColumn="0" w:lastRowLastColumn="0"/>
            </w:pPr>
            <w:r w:rsidRPr="000C3789">
              <w:t>[7.b]</w:t>
            </w:r>
          </w:p>
        </w:tc>
        <w:tc>
          <w:tcPr>
            <w:tcW w:w="1134" w:type="dxa"/>
            <w:tcBorders>
              <w:top w:val="nil"/>
              <w:bottom w:val="nil"/>
            </w:tcBorders>
            <w:shd w:val="clear" w:color="auto" w:fill="auto"/>
            <w:vAlign w:val="center"/>
          </w:tcPr>
          <w:p w14:paraId="66D4B093" w14:textId="77777777" w:rsidR="00AF04B6" w:rsidRPr="005B3390"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134" w:type="dxa"/>
            <w:tcBorders>
              <w:top w:val="nil"/>
              <w:bottom w:val="nil"/>
            </w:tcBorders>
            <w:shd w:val="clear" w:color="auto" w:fill="auto"/>
            <w:vAlign w:val="center"/>
          </w:tcPr>
          <w:p w14:paraId="0886F4FC" w14:textId="77777777" w:rsidR="00AF04B6" w:rsidRPr="002D4EB4"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81" w:type="dxa"/>
            <w:tcBorders>
              <w:top w:val="nil"/>
              <w:bottom w:val="nil"/>
            </w:tcBorders>
            <w:shd w:val="clear" w:color="auto" w:fill="auto"/>
            <w:vAlign w:val="center"/>
          </w:tcPr>
          <w:p w14:paraId="3C712B82" w14:textId="77777777" w:rsidR="00AF04B6" w:rsidRPr="00010EFA"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030" w:type="dxa"/>
            <w:tcBorders>
              <w:top w:val="nil"/>
              <w:bottom w:val="nil"/>
            </w:tcBorders>
            <w:shd w:val="clear" w:color="auto" w:fill="auto"/>
            <w:vAlign w:val="center"/>
          </w:tcPr>
          <w:p w14:paraId="5C9EEA66" w14:textId="77777777" w:rsidR="00AF04B6" w:rsidRPr="00EC280F"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099" w:type="dxa"/>
            <w:tcBorders>
              <w:top w:val="nil"/>
              <w:bottom w:val="nil"/>
            </w:tcBorders>
            <w:shd w:val="clear" w:color="auto" w:fill="auto"/>
            <w:vAlign w:val="center"/>
          </w:tcPr>
          <w:p w14:paraId="57933288" w14:textId="77777777" w:rsidR="00AF04B6" w:rsidRPr="007B6068"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t>(</w:t>
            </w:r>
            <w:r w:rsidRPr="001F57DD">
              <w:t>449</w:t>
            </w:r>
            <w:r>
              <w:t>,</w:t>
            </w:r>
            <w:r w:rsidRPr="001F57DD">
              <w:t>969</w:t>
            </w:r>
            <w:r>
              <w:t>)</w:t>
            </w:r>
          </w:p>
        </w:tc>
      </w:tr>
      <w:tr w:rsidR="00AF04B6" w:rsidRPr="00215D82" w14:paraId="125D6642"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083DDC7" w14:textId="77777777" w:rsidR="00AF04B6" w:rsidRPr="00E24047" w:rsidRDefault="00AF04B6" w:rsidP="008A4FF4">
            <w:pPr>
              <w:pStyle w:val="08-Tabelageral"/>
              <w:ind w:left="113"/>
              <w:jc w:val="left"/>
              <w:rPr>
                <w:b w:val="0"/>
                <w:bCs w:val="0"/>
                <w:lang w:val="en-US"/>
              </w:rPr>
            </w:pPr>
            <w:r w:rsidRPr="00E24047">
              <w:rPr>
                <w:b w:val="0"/>
                <w:bCs w:val="0"/>
                <w:lang w:val="en-US"/>
              </w:rPr>
              <w:t xml:space="preserve">Acquisition of investments </w:t>
            </w:r>
            <w:r w:rsidRPr="003260CE">
              <w:rPr>
                <w:b w:val="0"/>
                <w:bCs w:val="0"/>
                <w:lang w:val="en-US"/>
              </w:rPr>
              <w:t xml:space="preserve">– </w:t>
            </w:r>
            <w:r w:rsidRPr="00E24047">
              <w:rPr>
                <w:b w:val="0"/>
                <w:bCs w:val="0"/>
                <w:lang w:val="en-US"/>
              </w:rPr>
              <w:t>Brasilcap Capitalização S.A.</w:t>
            </w:r>
          </w:p>
        </w:tc>
        <w:tc>
          <w:tcPr>
            <w:tcW w:w="781" w:type="dxa"/>
            <w:tcBorders>
              <w:top w:val="nil"/>
              <w:bottom w:val="nil"/>
            </w:tcBorders>
            <w:shd w:val="clear" w:color="auto" w:fill="auto"/>
            <w:vAlign w:val="center"/>
          </w:tcPr>
          <w:p w14:paraId="7DDFE0F9" w14:textId="77777777" w:rsidR="00AF04B6" w:rsidRPr="00964EDF" w:rsidRDefault="00AF04B6" w:rsidP="008A4FF4">
            <w:pPr>
              <w:pStyle w:val="08-Tabelageral"/>
              <w:jc w:val="left"/>
              <w:cnfStyle w:val="000000000000" w:firstRow="0" w:lastRow="0" w:firstColumn="0" w:lastColumn="0" w:oddVBand="0" w:evenVBand="0" w:oddHBand="0" w:evenHBand="0" w:firstRowFirstColumn="0" w:firstRowLastColumn="0" w:lastRowFirstColumn="0" w:lastRowLastColumn="0"/>
            </w:pPr>
            <w:r w:rsidRPr="000C3789">
              <w:t>[7.b]</w:t>
            </w:r>
          </w:p>
        </w:tc>
        <w:tc>
          <w:tcPr>
            <w:tcW w:w="1134" w:type="dxa"/>
            <w:tcBorders>
              <w:top w:val="nil"/>
              <w:bottom w:val="nil"/>
            </w:tcBorders>
            <w:shd w:val="clear" w:color="auto" w:fill="auto"/>
            <w:vAlign w:val="center"/>
          </w:tcPr>
          <w:p w14:paraId="10C6ADD1" w14:textId="77777777" w:rsidR="00AF04B6"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134" w:type="dxa"/>
            <w:tcBorders>
              <w:top w:val="nil"/>
              <w:bottom w:val="nil"/>
            </w:tcBorders>
            <w:shd w:val="clear" w:color="auto" w:fill="auto"/>
            <w:vAlign w:val="center"/>
          </w:tcPr>
          <w:p w14:paraId="3106DA0F" w14:textId="77777777" w:rsidR="00AF04B6"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281" w:type="dxa"/>
            <w:tcBorders>
              <w:top w:val="nil"/>
              <w:bottom w:val="nil"/>
            </w:tcBorders>
            <w:shd w:val="clear" w:color="auto" w:fill="auto"/>
            <w:vAlign w:val="center"/>
          </w:tcPr>
          <w:p w14:paraId="6EE82E97" w14:textId="77777777" w:rsidR="00AF04B6" w:rsidRPr="00010EFA"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030" w:type="dxa"/>
            <w:tcBorders>
              <w:top w:val="nil"/>
              <w:bottom w:val="nil"/>
            </w:tcBorders>
            <w:shd w:val="clear" w:color="auto" w:fill="auto"/>
            <w:vAlign w:val="center"/>
          </w:tcPr>
          <w:p w14:paraId="5C503916" w14:textId="77777777" w:rsidR="00AF04B6"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099" w:type="dxa"/>
            <w:tcBorders>
              <w:top w:val="nil"/>
              <w:bottom w:val="nil"/>
            </w:tcBorders>
            <w:shd w:val="clear" w:color="auto" w:fill="auto"/>
            <w:vAlign w:val="center"/>
          </w:tcPr>
          <w:p w14:paraId="0CAADFEE" w14:textId="77777777" w:rsidR="00AF04B6" w:rsidRPr="005A1043"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0C3789">
              <w:t>(66</w:t>
            </w:r>
            <w:r>
              <w:t>,</w:t>
            </w:r>
            <w:r w:rsidRPr="000C3789">
              <w:t>664)</w:t>
            </w:r>
          </w:p>
        </w:tc>
      </w:tr>
      <w:tr w:rsidR="00AF04B6" w:rsidRPr="00215D82" w14:paraId="49C2F702"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428BFAE" w14:textId="77777777" w:rsidR="00AF04B6" w:rsidRPr="00E03CF0" w:rsidRDefault="00AF04B6" w:rsidP="008A4FF4">
            <w:pPr>
              <w:pStyle w:val="08-Tabelageral"/>
              <w:ind w:left="113"/>
              <w:jc w:val="left"/>
              <w:rPr>
                <w:b w:val="0"/>
                <w:bCs w:val="0"/>
                <w:lang w:val="en-US"/>
              </w:rPr>
            </w:pPr>
            <w:r w:rsidRPr="008E3403">
              <w:rPr>
                <w:b w:val="0"/>
                <w:bCs w:val="0"/>
                <w:lang w:val="en-US"/>
              </w:rPr>
              <w:t xml:space="preserve">acquisition of equity interest </w:t>
            </w:r>
            <w:r w:rsidRPr="003260CE">
              <w:rPr>
                <w:b w:val="0"/>
                <w:bCs w:val="0"/>
                <w:lang w:val="en-US"/>
              </w:rPr>
              <w:t xml:space="preserve">– </w:t>
            </w:r>
            <w:r w:rsidRPr="00E03CF0">
              <w:rPr>
                <w:b w:val="0"/>
                <w:bCs w:val="0"/>
                <w:lang w:val="en-US"/>
              </w:rPr>
              <w:t>Brasilcap Capitalização S.A.</w:t>
            </w:r>
          </w:p>
        </w:tc>
        <w:tc>
          <w:tcPr>
            <w:tcW w:w="781" w:type="dxa"/>
            <w:tcBorders>
              <w:top w:val="nil"/>
              <w:bottom w:val="nil"/>
            </w:tcBorders>
            <w:shd w:val="clear" w:color="auto" w:fill="auto"/>
            <w:vAlign w:val="center"/>
          </w:tcPr>
          <w:p w14:paraId="4A4E378C" w14:textId="77777777" w:rsidR="00AF04B6" w:rsidRPr="00964EDF" w:rsidRDefault="00AF04B6" w:rsidP="008A4FF4">
            <w:pPr>
              <w:pStyle w:val="08-Tabelageral"/>
              <w:jc w:val="left"/>
              <w:cnfStyle w:val="000000100000" w:firstRow="0" w:lastRow="0" w:firstColumn="0" w:lastColumn="0" w:oddVBand="0" w:evenVBand="0" w:oddHBand="1" w:evenHBand="0" w:firstRowFirstColumn="0" w:firstRowLastColumn="0" w:lastRowFirstColumn="0" w:lastRowLastColumn="0"/>
            </w:pPr>
            <w:r w:rsidRPr="007273CE">
              <w:t>[7.b]</w:t>
            </w:r>
          </w:p>
        </w:tc>
        <w:tc>
          <w:tcPr>
            <w:tcW w:w="1134" w:type="dxa"/>
            <w:tcBorders>
              <w:top w:val="nil"/>
              <w:bottom w:val="nil"/>
            </w:tcBorders>
            <w:shd w:val="clear" w:color="auto" w:fill="auto"/>
            <w:vAlign w:val="center"/>
          </w:tcPr>
          <w:p w14:paraId="35B5DEAF" w14:textId="77777777" w:rsidR="00AF04B6"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134" w:type="dxa"/>
            <w:tcBorders>
              <w:top w:val="nil"/>
              <w:bottom w:val="nil"/>
            </w:tcBorders>
            <w:shd w:val="clear" w:color="auto" w:fill="auto"/>
            <w:vAlign w:val="center"/>
          </w:tcPr>
          <w:p w14:paraId="1D2CBDD6" w14:textId="77777777" w:rsidR="00AF04B6"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81" w:type="dxa"/>
            <w:tcBorders>
              <w:top w:val="nil"/>
              <w:bottom w:val="nil"/>
            </w:tcBorders>
            <w:shd w:val="clear" w:color="auto" w:fill="auto"/>
            <w:vAlign w:val="center"/>
          </w:tcPr>
          <w:p w14:paraId="587B818C" w14:textId="77777777" w:rsidR="00AF04B6" w:rsidRPr="00010EFA"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030" w:type="dxa"/>
            <w:tcBorders>
              <w:top w:val="nil"/>
              <w:bottom w:val="nil"/>
            </w:tcBorders>
            <w:shd w:val="clear" w:color="auto" w:fill="auto"/>
            <w:vAlign w:val="center"/>
          </w:tcPr>
          <w:p w14:paraId="1525CAA7" w14:textId="77777777" w:rsidR="00AF04B6"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rsidRPr="007273CE">
              <w:t>(632)</w:t>
            </w:r>
          </w:p>
        </w:tc>
        <w:tc>
          <w:tcPr>
            <w:tcW w:w="1099" w:type="dxa"/>
            <w:tcBorders>
              <w:top w:val="nil"/>
              <w:bottom w:val="nil"/>
            </w:tcBorders>
            <w:shd w:val="clear" w:color="auto" w:fill="auto"/>
            <w:vAlign w:val="center"/>
          </w:tcPr>
          <w:p w14:paraId="65DC26A2" w14:textId="77777777" w:rsidR="00AF04B6" w:rsidRPr="005A1043"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t>--</w:t>
            </w:r>
          </w:p>
        </w:tc>
      </w:tr>
      <w:tr w:rsidR="00AF04B6" w:rsidRPr="00215D82" w14:paraId="341F4731"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578ADF9E" w14:textId="77777777" w:rsidR="00AF04B6" w:rsidRPr="00215D82" w:rsidRDefault="00AF04B6" w:rsidP="008A4FF4">
            <w:pPr>
              <w:pStyle w:val="08-Tabelageral"/>
              <w:ind w:left="113"/>
              <w:jc w:val="left"/>
              <w:rPr>
                <w:b w:val="0"/>
              </w:rPr>
            </w:pPr>
            <w:r w:rsidRPr="00F96E85">
              <w:rPr>
                <w:b w:val="0"/>
              </w:rPr>
              <w:t>Acquisition Asset</w:t>
            </w:r>
          </w:p>
        </w:tc>
        <w:tc>
          <w:tcPr>
            <w:tcW w:w="781" w:type="dxa"/>
            <w:tcBorders>
              <w:top w:val="nil"/>
              <w:bottom w:val="nil"/>
            </w:tcBorders>
            <w:shd w:val="clear" w:color="auto" w:fill="auto"/>
            <w:vAlign w:val="center"/>
          </w:tcPr>
          <w:p w14:paraId="05B18CB7" w14:textId="77777777" w:rsidR="00AF04B6" w:rsidRPr="009F7D17" w:rsidRDefault="00AF04B6" w:rsidP="008A4FF4">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076FF391" w14:textId="77777777" w:rsidR="00AF04B6" w:rsidRPr="00EC190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CF113B">
              <w:t>75</w:t>
            </w:r>
          </w:p>
        </w:tc>
        <w:tc>
          <w:tcPr>
            <w:tcW w:w="1134" w:type="dxa"/>
            <w:tcBorders>
              <w:top w:val="nil"/>
              <w:bottom w:val="nil"/>
            </w:tcBorders>
            <w:shd w:val="clear" w:color="auto" w:fill="auto"/>
            <w:vAlign w:val="center"/>
          </w:tcPr>
          <w:p w14:paraId="6CDFC628" w14:textId="77777777" w:rsidR="00AF04B6" w:rsidRPr="00010EFA"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1F57DD">
              <w:t>(286)</w:t>
            </w:r>
          </w:p>
        </w:tc>
        <w:tc>
          <w:tcPr>
            <w:tcW w:w="281" w:type="dxa"/>
            <w:tcBorders>
              <w:top w:val="nil"/>
              <w:bottom w:val="nil"/>
            </w:tcBorders>
            <w:shd w:val="clear" w:color="auto" w:fill="auto"/>
            <w:vAlign w:val="center"/>
          </w:tcPr>
          <w:p w14:paraId="5FC1ED7B" w14:textId="77777777" w:rsidR="00AF04B6" w:rsidRPr="00010EFA"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030" w:type="dxa"/>
            <w:tcBorders>
              <w:top w:val="nil"/>
              <w:bottom w:val="nil"/>
            </w:tcBorders>
            <w:shd w:val="clear" w:color="auto" w:fill="auto"/>
            <w:vAlign w:val="center"/>
          </w:tcPr>
          <w:p w14:paraId="2DC078C0" w14:textId="77777777" w:rsidR="00AF04B6" w:rsidRPr="00010EFA"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7273CE">
              <w:t>75</w:t>
            </w:r>
          </w:p>
        </w:tc>
        <w:tc>
          <w:tcPr>
            <w:tcW w:w="1099" w:type="dxa"/>
            <w:tcBorders>
              <w:top w:val="nil"/>
              <w:bottom w:val="nil"/>
            </w:tcBorders>
            <w:shd w:val="clear" w:color="auto" w:fill="auto"/>
            <w:vAlign w:val="center"/>
          </w:tcPr>
          <w:p w14:paraId="4BE53B43" w14:textId="77777777" w:rsidR="00AF04B6" w:rsidRPr="00010EFA"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t>(</w:t>
            </w:r>
            <w:r w:rsidRPr="001F57DD">
              <w:t>286</w:t>
            </w:r>
            <w:r>
              <w:t>)</w:t>
            </w:r>
          </w:p>
        </w:tc>
      </w:tr>
      <w:tr w:rsidR="00AF04B6" w:rsidRPr="00010EFA" w14:paraId="586DFECB"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EFAF214" w14:textId="77777777" w:rsidR="00AF04B6" w:rsidRPr="00BD6C7E" w:rsidRDefault="00AF04B6" w:rsidP="008A4FF4">
            <w:pPr>
              <w:pStyle w:val="08-Tabelageral"/>
              <w:jc w:val="left"/>
              <w:rPr>
                <w:b w:val="0"/>
                <w:lang w:val="en-US"/>
              </w:rPr>
            </w:pPr>
            <w:r w:rsidRPr="00BD6C7E">
              <w:rPr>
                <w:lang w:val="en-US"/>
              </w:rPr>
              <w:t>Cash provided by investment activities</w:t>
            </w:r>
          </w:p>
        </w:tc>
        <w:tc>
          <w:tcPr>
            <w:tcW w:w="781" w:type="dxa"/>
            <w:tcBorders>
              <w:top w:val="nil"/>
              <w:bottom w:val="nil"/>
            </w:tcBorders>
            <w:shd w:val="clear" w:color="auto" w:fill="auto"/>
            <w:vAlign w:val="center"/>
          </w:tcPr>
          <w:p w14:paraId="6C25A37C" w14:textId="77777777" w:rsidR="00AF04B6" w:rsidRPr="00BD6C7E" w:rsidRDefault="00AF04B6" w:rsidP="008A4FF4">
            <w:pPr>
              <w:pStyle w:val="08-Tabelageral"/>
              <w:jc w:val="left"/>
              <w:cnfStyle w:val="000000100000" w:firstRow="0" w:lastRow="0" w:firstColumn="0" w:lastColumn="0" w:oddVBand="0" w:evenVBand="0" w:oddHBand="1" w:evenHBand="0" w:firstRowFirstColumn="0" w:firstRowLastColumn="0" w:lastRowFirstColumn="0" w:lastRowLastColumn="0"/>
              <w:rPr>
                <w:szCs w:val="14"/>
                <w:lang w:val="en-US"/>
              </w:rPr>
            </w:pPr>
          </w:p>
        </w:tc>
        <w:tc>
          <w:tcPr>
            <w:tcW w:w="1134" w:type="dxa"/>
            <w:tcBorders>
              <w:top w:val="nil"/>
              <w:bottom w:val="nil"/>
            </w:tcBorders>
            <w:shd w:val="clear" w:color="auto" w:fill="auto"/>
            <w:vAlign w:val="center"/>
          </w:tcPr>
          <w:p w14:paraId="7AFDAB0D" w14:textId="77777777" w:rsidR="00AF04B6" w:rsidRPr="00F06920"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CF113B">
              <w:rPr>
                <w:rFonts w:cs="Arial"/>
                <w:b/>
                <w:szCs w:val="14"/>
              </w:rPr>
              <w:t>3</w:t>
            </w:r>
            <w:r>
              <w:rPr>
                <w:rFonts w:cs="Arial"/>
                <w:b/>
                <w:szCs w:val="14"/>
              </w:rPr>
              <w:t>,</w:t>
            </w:r>
            <w:r w:rsidRPr="00CF113B">
              <w:rPr>
                <w:rFonts w:cs="Arial"/>
                <w:b/>
                <w:szCs w:val="14"/>
              </w:rPr>
              <w:t>629</w:t>
            </w:r>
            <w:r>
              <w:rPr>
                <w:rFonts w:cs="Arial"/>
                <w:b/>
                <w:szCs w:val="14"/>
              </w:rPr>
              <w:t>,</w:t>
            </w:r>
            <w:r w:rsidRPr="00CF113B">
              <w:rPr>
                <w:rFonts w:cs="Arial"/>
                <w:b/>
                <w:szCs w:val="14"/>
              </w:rPr>
              <w:t>337</w:t>
            </w:r>
          </w:p>
        </w:tc>
        <w:tc>
          <w:tcPr>
            <w:tcW w:w="1134" w:type="dxa"/>
            <w:tcBorders>
              <w:top w:val="nil"/>
              <w:bottom w:val="nil"/>
            </w:tcBorders>
            <w:shd w:val="clear" w:color="auto" w:fill="auto"/>
            <w:vAlign w:val="center"/>
          </w:tcPr>
          <w:p w14:paraId="70981E36" w14:textId="77777777" w:rsidR="00AF04B6" w:rsidRPr="00F06920"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rPr>
            </w:pPr>
            <w:r w:rsidRPr="001F57DD">
              <w:rPr>
                <w:rFonts w:cs="Arial"/>
                <w:b/>
                <w:szCs w:val="14"/>
              </w:rPr>
              <w:t>2</w:t>
            </w:r>
            <w:r>
              <w:rPr>
                <w:rFonts w:cs="Arial"/>
                <w:b/>
                <w:szCs w:val="14"/>
              </w:rPr>
              <w:t>,</w:t>
            </w:r>
            <w:r w:rsidRPr="001F57DD">
              <w:rPr>
                <w:rFonts w:cs="Arial"/>
                <w:b/>
                <w:szCs w:val="14"/>
              </w:rPr>
              <w:t>133</w:t>
            </w:r>
            <w:r>
              <w:rPr>
                <w:rFonts w:cs="Arial"/>
                <w:b/>
                <w:szCs w:val="14"/>
              </w:rPr>
              <w:t>,</w:t>
            </w:r>
            <w:r w:rsidRPr="001F57DD">
              <w:rPr>
                <w:rFonts w:cs="Arial"/>
                <w:b/>
                <w:szCs w:val="14"/>
              </w:rPr>
              <w:t>826</w:t>
            </w:r>
          </w:p>
        </w:tc>
        <w:tc>
          <w:tcPr>
            <w:tcW w:w="281" w:type="dxa"/>
            <w:tcBorders>
              <w:top w:val="nil"/>
              <w:bottom w:val="nil"/>
            </w:tcBorders>
            <w:shd w:val="clear" w:color="auto" w:fill="auto"/>
            <w:vAlign w:val="center"/>
          </w:tcPr>
          <w:p w14:paraId="16CBEDA3" w14:textId="77777777" w:rsidR="00AF04B6" w:rsidRPr="00F06920"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030" w:type="dxa"/>
            <w:tcBorders>
              <w:top w:val="nil"/>
              <w:bottom w:val="nil"/>
            </w:tcBorders>
            <w:shd w:val="clear" w:color="auto" w:fill="auto"/>
            <w:vAlign w:val="center"/>
          </w:tcPr>
          <w:p w14:paraId="28684EF9" w14:textId="77777777" w:rsidR="00AF04B6" w:rsidRPr="00F06920"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FF1327">
              <w:rPr>
                <w:rFonts w:cs="Arial"/>
                <w:b/>
                <w:szCs w:val="14"/>
              </w:rPr>
              <w:t>2</w:t>
            </w:r>
            <w:r>
              <w:rPr>
                <w:rFonts w:cs="Arial"/>
                <w:b/>
                <w:szCs w:val="14"/>
              </w:rPr>
              <w:t>,</w:t>
            </w:r>
            <w:r w:rsidRPr="00FF1327">
              <w:rPr>
                <w:rFonts w:cs="Arial"/>
                <w:b/>
                <w:szCs w:val="14"/>
              </w:rPr>
              <w:t>636</w:t>
            </w:r>
            <w:r>
              <w:rPr>
                <w:rFonts w:cs="Arial"/>
                <w:b/>
                <w:szCs w:val="14"/>
              </w:rPr>
              <w:t>,</w:t>
            </w:r>
            <w:r w:rsidRPr="00FF1327">
              <w:rPr>
                <w:rFonts w:cs="Arial"/>
                <w:b/>
                <w:szCs w:val="14"/>
              </w:rPr>
              <w:t>797</w:t>
            </w:r>
          </w:p>
        </w:tc>
        <w:tc>
          <w:tcPr>
            <w:tcW w:w="1099" w:type="dxa"/>
            <w:tcBorders>
              <w:top w:val="nil"/>
              <w:bottom w:val="nil"/>
            </w:tcBorders>
            <w:shd w:val="clear" w:color="auto" w:fill="auto"/>
            <w:vAlign w:val="center"/>
          </w:tcPr>
          <w:p w14:paraId="44AA683E" w14:textId="77777777" w:rsidR="00AF04B6" w:rsidRPr="00F06920"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rPr>
            </w:pPr>
            <w:r w:rsidRPr="001F57DD">
              <w:rPr>
                <w:rFonts w:cs="Arial"/>
                <w:b/>
                <w:szCs w:val="14"/>
              </w:rPr>
              <w:t>1</w:t>
            </w:r>
            <w:r>
              <w:rPr>
                <w:rFonts w:cs="Arial"/>
                <w:b/>
                <w:szCs w:val="14"/>
              </w:rPr>
              <w:t>,</w:t>
            </w:r>
            <w:r w:rsidRPr="001F57DD">
              <w:rPr>
                <w:rFonts w:cs="Arial"/>
                <w:b/>
                <w:szCs w:val="14"/>
              </w:rPr>
              <w:t>060</w:t>
            </w:r>
            <w:r>
              <w:rPr>
                <w:rFonts w:cs="Arial"/>
                <w:b/>
                <w:szCs w:val="14"/>
              </w:rPr>
              <w:t>,</w:t>
            </w:r>
            <w:r w:rsidRPr="001F57DD">
              <w:rPr>
                <w:rFonts w:cs="Arial"/>
                <w:b/>
                <w:szCs w:val="14"/>
              </w:rPr>
              <w:t>036</w:t>
            </w:r>
          </w:p>
        </w:tc>
      </w:tr>
      <w:tr w:rsidR="00AF04B6" w:rsidRPr="001D6BE8" w14:paraId="2334B52E"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0ED49DA5" w14:textId="77777777" w:rsidR="00AF04B6" w:rsidRPr="00CD3714" w:rsidRDefault="00AF04B6" w:rsidP="0039314B">
            <w:pPr>
              <w:pStyle w:val="08-Tabelageral"/>
              <w:jc w:val="left"/>
            </w:pPr>
          </w:p>
        </w:tc>
        <w:tc>
          <w:tcPr>
            <w:tcW w:w="781" w:type="dxa"/>
            <w:tcBorders>
              <w:top w:val="nil"/>
              <w:bottom w:val="nil"/>
            </w:tcBorders>
            <w:shd w:val="clear" w:color="auto" w:fill="auto"/>
            <w:vAlign w:val="center"/>
          </w:tcPr>
          <w:p w14:paraId="0DB08C00" w14:textId="77777777" w:rsidR="00AF04B6" w:rsidRPr="00CF4B29" w:rsidRDefault="00AF04B6" w:rsidP="0039314B">
            <w:pPr>
              <w:pStyle w:val="08-Tabelageral"/>
              <w:jc w:val="left"/>
              <w:cnfStyle w:val="000000000000" w:firstRow="0" w:lastRow="0" w:firstColumn="0" w:lastColumn="0" w:oddVBand="0" w:evenVBand="0" w:oddHBand="0" w:evenHBand="0" w:firstRowFirstColumn="0" w:firstRowLastColumn="0" w:lastRowFirstColumn="0" w:lastRowLastColumn="0"/>
              <w:rPr>
                <w:b/>
                <w:szCs w:val="14"/>
              </w:rPr>
            </w:pPr>
          </w:p>
        </w:tc>
        <w:tc>
          <w:tcPr>
            <w:tcW w:w="1134" w:type="dxa"/>
            <w:tcBorders>
              <w:top w:val="nil"/>
              <w:bottom w:val="nil"/>
            </w:tcBorders>
            <w:shd w:val="clear" w:color="auto" w:fill="auto"/>
            <w:vAlign w:val="center"/>
          </w:tcPr>
          <w:p w14:paraId="48F7934C" w14:textId="77777777" w:rsidR="00AF04B6" w:rsidRPr="00350BA7" w:rsidRDefault="00AF04B6" w:rsidP="0039314B">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CDAA665" w14:textId="77777777" w:rsidR="00AF04B6" w:rsidRPr="00010EFA" w:rsidRDefault="00AF04B6" w:rsidP="0039314B">
            <w:pPr>
              <w:pStyle w:val="08-Tabelageral"/>
              <w:cnfStyle w:val="000000000000" w:firstRow="0" w:lastRow="0" w:firstColumn="0" w:lastColumn="0" w:oddVBand="0" w:evenVBand="0" w:oddHBand="0" w:evenHBand="0" w:firstRowFirstColumn="0" w:firstRowLastColumn="0" w:lastRowFirstColumn="0" w:lastRowLastColumn="0"/>
            </w:pPr>
          </w:p>
        </w:tc>
        <w:tc>
          <w:tcPr>
            <w:tcW w:w="281" w:type="dxa"/>
            <w:tcBorders>
              <w:top w:val="nil"/>
              <w:bottom w:val="nil"/>
            </w:tcBorders>
            <w:shd w:val="clear" w:color="auto" w:fill="auto"/>
            <w:vAlign w:val="center"/>
          </w:tcPr>
          <w:p w14:paraId="4B2E5E16" w14:textId="77777777" w:rsidR="00AF04B6" w:rsidRPr="00010EFA" w:rsidRDefault="00AF04B6" w:rsidP="0039314B">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30" w:type="dxa"/>
            <w:tcBorders>
              <w:top w:val="nil"/>
              <w:bottom w:val="nil"/>
            </w:tcBorders>
            <w:shd w:val="clear" w:color="auto" w:fill="auto"/>
            <w:vAlign w:val="center"/>
          </w:tcPr>
          <w:p w14:paraId="4CDC5353" w14:textId="77777777" w:rsidR="00AF04B6" w:rsidRPr="00010EFA" w:rsidRDefault="00AF04B6" w:rsidP="0039314B">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99" w:type="dxa"/>
            <w:tcBorders>
              <w:top w:val="nil"/>
              <w:bottom w:val="nil"/>
            </w:tcBorders>
            <w:shd w:val="clear" w:color="auto" w:fill="auto"/>
            <w:vAlign w:val="center"/>
          </w:tcPr>
          <w:p w14:paraId="3B756F1E" w14:textId="77777777" w:rsidR="00AF04B6" w:rsidRPr="00010EFA" w:rsidRDefault="00AF04B6" w:rsidP="0039314B">
            <w:pPr>
              <w:pStyle w:val="08-Tabelageral"/>
              <w:cnfStyle w:val="000000000000" w:firstRow="0" w:lastRow="0" w:firstColumn="0" w:lastColumn="0" w:oddVBand="0" w:evenVBand="0" w:oddHBand="0" w:evenHBand="0" w:firstRowFirstColumn="0" w:firstRowLastColumn="0" w:lastRowFirstColumn="0" w:lastRowLastColumn="0"/>
            </w:pPr>
          </w:p>
        </w:tc>
      </w:tr>
      <w:tr w:rsidR="00AF04B6" w:rsidRPr="00960237" w14:paraId="25C4E76D"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3817730A" w14:textId="77777777" w:rsidR="00AF04B6" w:rsidRPr="00BD6C7E" w:rsidRDefault="00AF04B6" w:rsidP="0039314B">
            <w:pPr>
              <w:pStyle w:val="08-Tabelageral"/>
              <w:jc w:val="left"/>
              <w:rPr>
                <w:lang w:val="en-US"/>
              </w:rPr>
            </w:pPr>
            <w:r w:rsidRPr="00BD6C7E">
              <w:rPr>
                <w:lang w:val="en-US"/>
              </w:rPr>
              <w:t>Cash flow from financing activities</w:t>
            </w:r>
          </w:p>
        </w:tc>
        <w:tc>
          <w:tcPr>
            <w:tcW w:w="781" w:type="dxa"/>
            <w:tcBorders>
              <w:top w:val="nil"/>
              <w:bottom w:val="nil"/>
            </w:tcBorders>
            <w:shd w:val="clear" w:color="auto" w:fill="auto"/>
            <w:vAlign w:val="center"/>
          </w:tcPr>
          <w:p w14:paraId="76A50B7D" w14:textId="77777777" w:rsidR="00AF04B6" w:rsidRPr="00BD6C7E" w:rsidRDefault="00AF04B6" w:rsidP="0039314B">
            <w:pPr>
              <w:pStyle w:val="08-Tabelageral"/>
              <w:jc w:val="left"/>
              <w:cnfStyle w:val="000000100000" w:firstRow="0" w:lastRow="0" w:firstColumn="0" w:lastColumn="0" w:oddVBand="0" w:evenVBand="0" w:oddHBand="1" w:evenHBand="0" w:firstRowFirstColumn="0" w:firstRowLastColumn="0" w:lastRowFirstColumn="0" w:lastRowLastColumn="0"/>
              <w:rPr>
                <w:b/>
                <w:szCs w:val="14"/>
                <w:lang w:val="en-US"/>
              </w:rPr>
            </w:pPr>
          </w:p>
        </w:tc>
        <w:tc>
          <w:tcPr>
            <w:tcW w:w="1134" w:type="dxa"/>
            <w:tcBorders>
              <w:top w:val="nil"/>
              <w:bottom w:val="nil"/>
            </w:tcBorders>
            <w:shd w:val="clear" w:color="auto" w:fill="auto"/>
            <w:vAlign w:val="center"/>
          </w:tcPr>
          <w:p w14:paraId="34B6B7D7" w14:textId="77777777" w:rsidR="00AF04B6" w:rsidRPr="00BD6C7E"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134" w:type="dxa"/>
            <w:tcBorders>
              <w:top w:val="nil"/>
              <w:bottom w:val="nil"/>
            </w:tcBorders>
            <w:shd w:val="clear" w:color="auto" w:fill="auto"/>
            <w:vAlign w:val="center"/>
          </w:tcPr>
          <w:p w14:paraId="60B78FA4" w14:textId="77777777" w:rsidR="00AF04B6" w:rsidRPr="00BD6C7E"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b/>
                <w:lang w:val="en-US"/>
              </w:rPr>
            </w:pPr>
          </w:p>
        </w:tc>
        <w:tc>
          <w:tcPr>
            <w:tcW w:w="281" w:type="dxa"/>
            <w:tcBorders>
              <w:top w:val="nil"/>
              <w:bottom w:val="nil"/>
            </w:tcBorders>
            <w:shd w:val="clear" w:color="auto" w:fill="auto"/>
            <w:vAlign w:val="center"/>
          </w:tcPr>
          <w:p w14:paraId="7D0E6CED" w14:textId="77777777" w:rsidR="00AF04B6" w:rsidRPr="00BD6C7E"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030" w:type="dxa"/>
            <w:tcBorders>
              <w:top w:val="nil"/>
              <w:bottom w:val="nil"/>
            </w:tcBorders>
            <w:shd w:val="clear" w:color="auto" w:fill="auto"/>
            <w:vAlign w:val="center"/>
          </w:tcPr>
          <w:p w14:paraId="2D75C4F2" w14:textId="77777777" w:rsidR="00AF04B6" w:rsidRPr="00BD6C7E"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099" w:type="dxa"/>
            <w:tcBorders>
              <w:top w:val="nil"/>
              <w:bottom w:val="nil"/>
            </w:tcBorders>
            <w:shd w:val="clear" w:color="auto" w:fill="auto"/>
            <w:vAlign w:val="center"/>
          </w:tcPr>
          <w:p w14:paraId="1A1153B4" w14:textId="77777777" w:rsidR="00AF04B6" w:rsidRPr="00BD6C7E" w:rsidRDefault="00AF04B6" w:rsidP="0039314B">
            <w:pPr>
              <w:pStyle w:val="08-Tabelageral"/>
              <w:cnfStyle w:val="000000100000" w:firstRow="0" w:lastRow="0" w:firstColumn="0" w:lastColumn="0" w:oddVBand="0" w:evenVBand="0" w:oddHBand="1" w:evenHBand="0" w:firstRowFirstColumn="0" w:firstRowLastColumn="0" w:lastRowFirstColumn="0" w:lastRowLastColumn="0"/>
              <w:rPr>
                <w:b/>
                <w:lang w:val="en-US"/>
              </w:rPr>
            </w:pPr>
          </w:p>
        </w:tc>
      </w:tr>
      <w:tr w:rsidR="00AF04B6" w:rsidRPr="0042427F" w14:paraId="227B9C47"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0DEEFB92" w14:textId="77777777" w:rsidR="00AF04B6" w:rsidRPr="0042427F" w:rsidRDefault="00AF04B6" w:rsidP="004F1B41">
            <w:pPr>
              <w:pStyle w:val="08-Tabelageral"/>
              <w:ind w:left="113"/>
              <w:jc w:val="left"/>
              <w:rPr>
                <w:b w:val="0"/>
              </w:rPr>
            </w:pPr>
            <w:r w:rsidRPr="00AF12C2">
              <w:rPr>
                <w:b w:val="0"/>
              </w:rPr>
              <w:t>Dividends paid</w:t>
            </w:r>
          </w:p>
        </w:tc>
        <w:tc>
          <w:tcPr>
            <w:tcW w:w="781" w:type="dxa"/>
            <w:tcBorders>
              <w:top w:val="nil"/>
              <w:bottom w:val="nil"/>
            </w:tcBorders>
            <w:shd w:val="clear" w:color="auto" w:fill="auto"/>
            <w:vAlign w:val="center"/>
          </w:tcPr>
          <w:p w14:paraId="2435C1A5" w14:textId="77777777" w:rsidR="00AF04B6" w:rsidRPr="0042427F" w:rsidRDefault="00AF04B6" w:rsidP="004F1B41">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134" w:type="dxa"/>
            <w:tcBorders>
              <w:top w:val="nil"/>
              <w:bottom w:val="nil"/>
            </w:tcBorders>
            <w:shd w:val="clear" w:color="auto" w:fill="auto"/>
            <w:vAlign w:val="center"/>
          </w:tcPr>
          <w:p w14:paraId="3D5293DC" w14:textId="77777777" w:rsidR="00AF04B6" w:rsidRPr="00EC190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CF113B">
              <w:t>(3</w:t>
            </w:r>
            <w:r>
              <w:t>,</w:t>
            </w:r>
            <w:r w:rsidRPr="00CF113B">
              <w:t>925</w:t>
            </w:r>
            <w:r>
              <w:t>,</w:t>
            </w:r>
            <w:r w:rsidRPr="00CF113B">
              <w:t>751)</w:t>
            </w:r>
          </w:p>
        </w:tc>
        <w:tc>
          <w:tcPr>
            <w:tcW w:w="1134" w:type="dxa"/>
            <w:tcBorders>
              <w:top w:val="nil"/>
              <w:bottom w:val="nil"/>
            </w:tcBorders>
            <w:shd w:val="clear" w:color="auto" w:fill="auto"/>
            <w:vAlign w:val="center"/>
          </w:tcPr>
          <w:p w14:paraId="23FF2C40" w14:textId="77777777" w:rsidR="00AF04B6" w:rsidRPr="0042427F"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A4052C">
              <w:t>(1</w:t>
            </w:r>
            <w:r>
              <w:t>,</w:t>
            </w:r>
            <w:r w:rsidRPr="00A4052C">
              <w:t>990</w:t>
            </w:r>
            <w:r>
              <w:t>,</w:t>
            </w:r>
            <w:r w:rsidRPr="00A4052C">
              <w:t>675)</w:t>
            </w:r>
          </w:p>
        </w:tc>
        <w:tc>
          <w:tcPr>
            <w:tcW w:w="281" w:type="dxa"/>
            <w:tcBorders>
              <w:top w:val="nil"/>
              <w:bottom w:val="nil"/>
            </w:tcBorders>
            <w:shd w:val="clear" w:color="auto" w:fill="auto"/>
            <w:vAlign w:val="center"/>
          </w:tcPr>
          <w:p w14:paraId="0F51581D" w14:textId="77777777" w:rsidR="00AF04B6" w:rsidRPr="00966509"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030" w:type="dxa"/>
            <w:tcBorders>
              <w:top w:val="nil"/>
              <w:bottom w:val="nil"/>
            </w:tcBorders>
            <w:shd w:val="clear" w:color="auto" w:fill="auto"/>
            <w:vAlign w:val="center"/>
          </w:tcPr>
          <w:p w14:paraId="3EAE013D" w14:textId="77777777" w:rsidR="00AF04B6" w:rsidRPr="00966509"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7273CE">
              <w:t>(3</w:t>
            </w:r>
            <w:r>
              <w:t>,</w:t>
            </w:r>
            <w:r w:rsidRPr="007273CE">
              <w:t>925</w:t>
            </w:r>
            <w:r>
              <w:t>,</w:t>
            </w:r>
            <w:r w:rsidRPr="007273CE">
              <w:t>751)</w:t>
            </w:r>
          </w:p>
        </w:tc>
        <w:tc>
          <w:tcPr>
            <w:tcW w:w="1099" w:type="dxa"/>
            <w:tcBorders>
              <w:top w:val="nil"/>
              <w:bottom w:val="nil"/>
            </w:tcBorders>
            <w:shd w:val="clear" w:color="auto" w:fill="auto"/>
            <w:vAlign w:val="center"/>
          </w:tcPr>
          <w:p w14:paraId="34725D8C" w14:textId="77777777" w:rsidR="00AF04B6" w:rsidRPr="0042427F"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A4052C">
              <w:t>(1</w:t>
            </w:r>
            <w:r>
              <w:t>,</w:t>
            </w:r>
            <w:r w:rsidRPr="00A4052C">
              <w:t>990</w:t>
            </w:r>
            <w:r>
              <w:t>,</w:t>
            </w:r>
            <w:r w:rsidRPr="00A4052C">
              <w:t>675)</w:t>
            </w:r>
          </w:p>
        </w:tc>
      </w:tr>
      <w:tr w:rsidR="00AF04B6" w:rsidRPr="0042427F" w14:paraId="2CFA71BB"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7B271027" w14:textId="77777777" w:rsidR="00AF04B6" w:rsidRPr="00BD6C7E" w:rsidRDefault="00AF04B6" w:rsidP="004F1B41">
            <w:pPr>
              <w:pStyle w:val="08-Tabelageral"/>
              <w:jc w:val="left"/>
              <w:rPr>
                <w:lang w:val="en-US"/>
              </w:rPr>
            </w:pPr>
            <w:r w:rsidRPr="00BD6C7E">
              <w:rPr>
                <w:lang w:val="en-US"/>
              </w:rPr>
              <w:t>Cash flow provided by financing activities</w:t>
            </w:r>
          </w:p>
        </w:tc>
        <w:tc>
          <w:tcPr>
            <w:tcW w:w="781" w:type="dxa"/>
            <w:tcBorders>
              <w:top w:val="nil"/>
              <w:bottom w:val="nil"/>
            </w:tcBorders>
            <w:shd w:val="clear" w:color="auto" w:fill="auto"/>
            <w:vAlign w:val="center"/>
          </w:tcPr>
          <w:p w14:paraId="24A3A97F" w14:textId="77777777" w:rsidR="00AF04B6" w:rsidRPr="00D2760A" w:rsidRDefault="00AF04B6" w:rsidP="004F1B41">
            <w:pPr>
              <w:pStyle w:val="08-Tabelageral"/>
              <w:jc w:val="left"/>
              <w:cnfStyle w:val="000000100000" w:firstRow="0" w:lastRow="0" w:firstColumn="0" w:lastColumn="0" w:oddVBand="0" w:evenVBand="0" w:oddHBand="1" w:evenHBand="0" w:firstRowFirstColumn="0" w:firstRowLastColumn="0" w:lastRowFirstColumn="0" w:lastRowLastColumn="0"/>
              <w:rPr>
                <w:b/>
                <w:bCs/>
                <w:lang w:val="en-US"/>
              </w:rPr>
            </w:pPr>
          </w:p>
        </w:tc>
        <w:tc>
          <w:tcPr>
            <w:tcW w:w="1134" w:type="dxa"/>
            <w:tcBorders>
              <w:top w:val="nil"/>
              <w:bottom w:val="nil"/>
            </w:tcBorders>
            <w:shd w:val="clear" w:color="auto" w:fill="auto"/>
            <w:vAlign w:val="center"/>
          </w:tcPr>
          <w:p w14:paraId="35AA3465" w14:textId="77777777" w:rsidR="00AF04B6" w:rsidRPr="00D2760A"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rPr>
            </w:pPr>
            <w:r w:rsidRPr="00CF113B">
              <w:rPr>
                <w:b/>
              </w:rPr>
              <w:t>(3</w:t>
            </w:r>
            <w:r>
              <w:rPr>
                <w:b/>
              </w:rPr>
              <w:t>,</w:t>
            </w:r>
            <w:r w:rsidRPr="00CF113B">
              <w:rPr>
                <w:b/>
              </w:rPr>
              <w:t>925</w:t>
            </w:r>
            <w:r>
              <w:rPr>
                <w:b/>
              </w:rPr>
              <w:t>,</w:t>
            </w:r>
            <w:r w:rsidRPr="00CF113B">
              <w:rPr>
                <w:b/>
              </w:rPr>
              <w:t>751)</w:t>
            </w:r>
          </w:p>
        </w:tc>
        <w:tc>
          <w:tcPr>
            <w:tcW w:w="1134" w:type="dxa"/>
            <w:tcBorders>
              <w:top w:val="nil"/>
              <w:bottom w:val="nil"/>
            </w:tcBorders>
            <w:shd w:val="clear" w:color="auto" w:fill="auto"/>
            <w:vAlign w:val="center"/>
          </w:tcPr>
          <w:p w14:paraId="5DA8D690" w14:textId="77777777" w:rsidR="00AF04B6" w:rsidRPr="00D2760A"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rPr>
                <w:b/>
                <w:bCs/>
              </w:rPr>
            </w:pPr>
            <w:r w:rsidRPr="00A4052C">
              <w:rPr>
                <w:b/>
                <w:bCs/>
              </w:rPr>
              <w:t>(1</w:t>
            </w:r>
            <w:r>
              <w:rPr>
                <w:b/>
                <w:bCs/>
              </w:rPr>
              <w:t>,</w:t>
            </w:r>
            <w:r w:rsidRPr="00A4052C">
              <w:rPr>
                <w:b/>
                <w:bCs/>
              </w:rPr>
              <w:t>990</w:t>
            </w:r>
            <w:r>
              <w:rPr>
                <w:b/>
                <w:bCs/>
              </w:rPr>
              <w:t>,</w:t>
            </w:r>
            <w:r w:rsidRPr="00A4052C">
              <w:rPr>
                <w:b/>
                <w:bCs/>
              </w:rPr>
              <w:t>675)</w:t>
            </w:r>
          </w:p>
        </w:tc>
        <w:tc>
          <w:tcPr>
            <w:tcW w:w="281" w:type="dxa"/>
            <w:tcBorders>
              <w:top w:val="nil"/>
              <w:bottom w:val="nil"/>
            </w:tcBorders>
            <w:shd w:val="clear" w:color="auto" w:fill="auto"/>
            <w:vAlign w:val="center"/>
          </w:tcPr>
          <w:p w14:paraId="313C4448" w14:textId="77777777" w:rsidR="00AF04B6" w:rsidRPr="00D2760A" w:rsidRDefault="00AF04B6" w:rsidP="004F1B41">
            <w:pPr>
              <w:pStyle w:val="08-Tabelageral"/>
              <w:jc w:val="left"/>
              <w:cnfStyle w:val="000000100000" w:firstRow="0" w:lastRow="0" w:firstColumn="0" w:lastColumn="0" w:oddVBand="0" w:evenVBand="0" w:oddHBand="1" w:evenHBand="0" w:firstRowFirstColumn="0" w:firstRowLastColumn="0" w:lastRowFirstColumn="0" w:lastRowLastColumn="0"/>
              <w:rPr>
                <w:b/>
                <w:bCs/>
              </w:rPr>
            </w:pPr>
          </w:p>
        </w:tc>
        <w:tc>
          <w:tcPr>
            <w:tcW w:w="1030" w:type="dxa"/>
            <w:tcBorders>
              <w:top w:val="nil"/>
              <w:bottom w:val="nil"/>
            </w:tcBorders>
            <w:shd w:val="clear" w:color="auto" w:fill="auto"/>
            <w:vAlign w:val="center"/>
          </w:tcPr>
          <w:p w14:paraId="70143C32" w14:textId="77777777" w:rsidR="00AF04B6" w:rsidRPr="00D2760A"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rPr>
            </w:pPr>
            <w:r w:rsidRPr="007273CE">
              <w:rPr>
                <w:b/>
                <w:bCs/>
              </w:rPr>
              <w:t>(3</w:t>
            </w:r>
            <w:r>
              <w:rPr>
                <w:b/>
                <w:bCs/>
              </w:rPr>
              <w:t>,</w:t>
            </w:r>
            <w:r w:rsidRPr="007273CE">
              <w:rPr>
                <w:b/>
                <w:bCs/>
              </w:rPr>
              <w:t>925</w:t>
            </w:r>
            <w:r>
              <w:rPr>
                <w:b/>
                <w:bCs/>
              </w:rPr>
              <w:t>,</w:t>
            </w:r>
            <w:r w:rsidRPr="007273CE">
              <w:rPr>
                <w:b/>
                <w:bCs/>
              </w:rPr>
              <w:t>751)</w:t>
            </w:r>
          </w:p>
        </w:tc>
        <w:tc>
          <w:tcPr>
            <w:tcW w:w="1099" w:type="dxa"/>
            <w:tcBorders>
              <w:top w:val="nil"/>
              <w:bottom w:val="nil"/>
            </w:tcBorders>
            <w:shd w:val="clear" w:color="auto" w:fill="auto"/>
            <w:vAlign w:val="center"/>
          </w:tcPr>
          <w:p w14:paraId="5356334A" w14:textId="77777777" w:rsidR="00AF04B6" w:rsidRPr="00D2760A"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rPr>
            </w:pPr>
            <w:r w:rsidRPr="00A4052C">
              <w:rPr>
                <w:b/>
                <w:bCs/>
              </w:rPr>
              <w:t>(1</w:t>
            </w:r>
            <w:r>
              <w:rPr>
                <w:b/>
                <w:bCs/>
              </w:rPr>
              <w:t>,</w:t>
            </w:r>
            <w:r w:rsidRPr="00A4052C">
              <w:rPr>
                <w:b/>
                <w:bCs/>
              </w:rPr>
              <w:t>990</w:t>
            </w:r>
            <w:r>
              <w:rPr>
                <w:b/>
                <w:bCs/>
              </w:rPr>
              <w:t>,</w:t>
            </w:r>
            <w:r w:rsidRPr="00A4052C">
              <w:rPr>
                <w:b/>
                <w:bCs/>
              </w:rPr>
              <w:t>675)</w:t>
            </w:r>
          </w:p>
        </w:tc>
      </w:tr>
      <w:tr w:rsidR="00AF04B6" w:rsidRPr="001D6BE8" w14:paraId="75DD57F1"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1EE9D03A" w14:textId="77777777" w:rsidR="00AF04B6" w:rsidRPr="0038031F" w:rsidRDefault="00AF04B6" w:rsidP="0039314B">
            <w:pPr>
              <w:pStyle w:val="08-Tabelageral"/>
              <w:ind w:left="32"/>
              <w:jc w:val="left"/>
              <w:rPr>
                <w:b w:val="0"/>
              </w:rPr>
            </w:pPr>
          </w:p>
        </w:tc>
        <w:tc>
          <w:tcPr>
            <w:tcW w:w="781" w:type="dxa"/>
            <w:tcBorders>
              <w:top w:val="nil"/>
              <w:bottom w:val="nil"/>
            </w:tcBorders>
            <w:shd w:val="clear" w:color="auto" w:fill="auto"/>
            <w:vAlign w:val="center"/>
          </w:tcPr>
          <w:p w14:paraId="0AE60AE1" w14:textId="77777777" w:rsidR="00AF04B6" w:rsidRPr="00CF4B29" w:rsidRDefault="00AF04B6" w:rsidP="0039314B">
            <w:pPr>
              <w:pStyle w:val="08-Tabelageral"/>
              <w:jc w:val="left"/>
              <w:cnfStyle w:val="000000000000" w:firstRow="0" w:lastRow="0" w:firstColumn="0" w:lastColumn="0" w:oddVBand="0" w:evenVBand="0" w:oddHBand="0" w:evenHBand="0" w:firstRowFirstColumn="0" w:firstRowLastColumn="0" w:lastRowFirstColumn="0" w:lastRowLastColumn="0"/>
              <w:rPr>
                <w:szCs w:val="14"/>
              </w:rPr>
            </w:pPr>
          </w:p>
        </w:tc>
        <w:tc>
          <w:tcPr>
            <w:tcW w:w="1134" w:type="dxa"/>
            <w:tcBorders>
              <w:top w:val="nil"/>
              <w:bottom w:val="nil"/>
            </w:tcBorders>
            <w:shd w:val="clear" w:color="auto" w:fill="auto"/>
            <w:vAlign w:val="center"/>
          </w:tcPr>
          <w:p w14:paraId="363C09FE" w14:textId="77777777" w:rsidR="00AF04B6" w:rsidRPr="00350BA7" w:rsidRDefault="00AF04B6" w:rsidP="0039314B">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38582E37" w14:textId="77777777" w:rsidR="00AF04B6" w:rsidRPr="00CF4B29" w:rsidRDefault="00AF04B6" w:rsidP="0039314B">
            <w:pPr>
              <w:pStyle w:val="08-Tabelageral"/>
              <w:cnfStyle w:val="000000000000" w:firstRow="0" w:lastRow="0" w:firstColumn="0" w:lastColumn="0" w:oddVBand="0" w:evenVBand="0" w:oddHBand="0" w:evenHBand="0" w:firstRowFirstColumn="0" w:firstRowLastColumn="0" w:lastRowFirstColumn="0" w:lastRowLastColumn="0"/>
            </w:pPr>
          </w:p>
        </w:tc>
        <w:tc>
          <w:tcPr>
            <w:tcW w:w="281" w:type="dxa"/>
            <w:tcBorders>
              <w:top w:val="nil"/>
              <w:bottom w:val="nil"/>
            </w:tcBorders>
            <w:shd w:val="clear" w:color="auto" w:fill="auto"/>
            <w:vAlign w:val="center"/>
          </w:tcPr>
          <w:p w14:paraId="29F1BEC3" w14:textId="77777777" w:rsidR="00AF04B6" w:rsidRPr="00350BA7" w:rsidRDefault="00AF04B6" w:rsidP="0039314B">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30" w:type="dxa"/>
            <w:tcBorders>
              <w:top w:val="nil"/>
              <w:bottom w:val="nil"/>
            </w:tcBorders>
            <w:shd w:val="clear" w:color="auto" w:fill="auto"/>
            <w:vAlign w:val="center"/>
          </w:tcPr>
          <w:p w14:paraId="3A2FFCF5" w14:textId="77777777" w:rsidR="00AF04B6" w:rsidRPr="00350BA7" w:rsidRDefault="00AF04B6" w:rsidP="0039314B">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99" w:type="dxa"/>
            <w:tcBorders>
              <w:top w:val="nil"/>
              <w:bottom w:val="nil"/>
            </w:tcBorders>
            <w:shd w:val="clear" w:color="auto" w:fill="auto"/>
            <w:vAlign w:val="center"/>
          </w:tcPr>
          <w:p w14:paraId="5E080CBB" w14:textId="77777777" w:rsidR="00AF04B6" w:rsidRPr="00CF4B29" w:rsidRDefault="00AF04B6" w:rsidP="0039314B">
            <w:pPr>
              <w:pStyle w:val="08-Tabelageral"/>
              <w:cnfStyle w:val="000000000000" w:firstRow="0" w:lastRow="0" w:firstColumn="0" w:lastColumn="0" w:oddVBand="0" w:evenVBand="0" w:oddHBand="0" w:evenHBand="0" w:firstRowFirstColumn="0" w:firstRowLastColumn="0" w:lastRowFirstColumn="0" w:lastRowLastColumn="0"/>
            </w:pPr>
          </w:p>
        </w:tc>
      </w:tr>
      <w:tr w:rsidR="00AF04B6" w:rsidRPr="00354D74" w14:paraId="390D703E"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4783BBFA" w14:textId="77777777" w:rsidR="00AF04B6" w:rsidRPr="00BD6C7E" w:rsidRDefault="00AF04B6" w:rsidP="004F1B41">
            <w:pPr>
              <w:pStyle w:val="08-Tabelageral"/>
              <w:jc w:val="left"/>
              <w:rPr>
                <w:lang w:val="en-US"/>
              </w:rPr>
            </w:pPr>
            <w:r w:rsidRPr="00BD6C7E">
              <w:rPr>
                <w:lang w:val="en-US"/>
              </w:rPr>
              <w:t>Net change in cash and cash equivalents</w:t>
            </w:r>
          </w:p>
        </w:tc>
        <w:tc>
          <w:tcPr>
            <w:tcW w:w="781" w:type="dxa"/>
            <w:tcBorders>
              <w:top w:val="nil"/>
              <w:bottom w:val="nil"/>
            </w:tcBorders>
            <w:shd w:val="clear" w:color="auto" w:fill="auto"/>
            <w:vAlign w:val="center"/>
          </w:tcPr>
          <w:p w14:paraId="23CF3060" w14:textId="77777777" w:rsidR="00AF04B6" w:rsidRPr="0038283D" w:rsidRDefault="00AF04B6" w:rsidP="004F1B41">
            <w:pPr>
              <w:pStyle w:val="08-Tabelageral"/>
              <w:jc w:val="left"/>
              <w:cnfStyle w:val="000000100000" w:firstRow="0" w:lastRow="0" w:firstColumn="0" w:lastColumn="0" w:oddVBand="0" w:evenVBand="0" w:oddHBand="1" w:evenHBand="0" w:firstRowFirstColumn="0" w:firstRowLastColumn="0" w:lastRowFirstColumn="0" w:lastRowLastColumn="0"/>
              <w:rPr>
                <w:b/>
                <w:lang w:val="en-US"/>
              </w:rPr>
            </w:pPr>
          </w:p>
        </w:tc>
        <w:tc>
          <w:tcPr>
            <w:tcW w:w="1134" w:type="dxa"/>
            <w:tcBorders>
              <w:top w:val="nil"/>
              <w:left w:val="nil"/>
              <w:bottom w:val="nil"/>
              <w:right w:val="nil"/>
            </w:tcBorders>
            <w:shd w:val="clear" w:color="auto" w:fill="auto"/>
            <w:vAlign w:val="center"/>
          </w:tcPr>
          <w:p w14:paraId="5E7FA273" w14:textId="77777777" w:rsidR="00AF04B6" w:rsidRPr="00881572"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lang w:val="en-US"/>
              </w:rPr>
            </w:pPr>
            <w:r w:rsidRPr="00CF113B">
              <w:rPr>
                <w:b/>
                <w:bCs/>
              </w:rPr>
              <w:t>(310</w:t>
            </w:r>
            <w:r>
              <w:rPr>
                <w:b/>
                <w:bCs/>
              </w:rPr>
              <w:t>,</w:t>
            </w:r>
            <w:r w:rsidRPr="00CF113B">
              <w:rPr>
                <w:b/>
                <w:bCs/>
              </w:rPr>
              <w:t>339)</w:t>
            </w:r>
          </w:p>
        </w:tc>
        <w:tc>
          <w:tcPr>
            <w:tcW w:w="1134" w:type="dxa"/>
            <w:tcBorders>
              <w:top w:val="nil"/>
              <w:left w:val="nil"/>
              <w:bottom w:val="nil"/>
              <w:right w:val="nil"/>
            </w:tcBorders>
            <w:shd w:val="clear" w:color="auto" w:fill="auto"/>
            <w:vAlign w:val="center"/>
          </w:tcPr>
          <w:p w14:paraId="6187EBDE" w14:textId="77777777" w:rsidR="00AF04B6" w:rsidRPr="0084302C"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160,449</w:t>
            </w:r>
          </w:p>
        </w:tc>
        <w:tc>
          <w:tcPr>
            <w:tcW w:w="281" w:type="dxa"/>
            <w:tcBorders>
              <w:top w:val="nil"/>
              <w:bottom w:val="nil"/>
            </w:tcBorders>
            <w:shd w:val="clear" w:color="auto" w:fill="auto"/>
            <w:vAlign w:val="center"/>
          </w:tcPr>
          <w:p w14:paraId="3670988A" w14:textId="77777777" w:rsidR="00AF04B6" w:rsidRPr="0084302C"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030" w:type="dxa"/>
            <w:tcBorders>
              <w:top w:val="nil"/>
              <w:left w:val="nil"/>
              <w:bottom w:val="nil"/>
              <w:right w:val="nil"/>
            </w:tcBorders>
            <w:shd w:val="clear" w:color="auto" w:fill="auto"/>
            <w:vAlign w:val="center"/>
          </w:tcPr>
          <w:p w14:paraId="1898A766" w14:textId="77777777" w:rsidR="00AF04B6" w:rsidRPr="0084302C"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rPr>
            </w:pPr>
            <w:r w:rsidRPr="00FF1327">
              <w:rPr>
                <w:b/>
                <w:bCs/>
              </w:rPr>
              <w:t>1</w:t>
            </w:r>
            <w:r>
              <w:rPr>
                <w:b/>
                <w:bCs/>
              </w:rPr>
              <w:t>,</w:t>
            </w:r>
            <w:r w:rsidRPr="00FF1327">
              <w:rPr>
                <w:b/>
                <w:bCs/>
              </w:rPr>
              <w:t>986</w:t>
            </w:r>
            <w:r>
              <w:rPr>
                <w:b/>
                <w:bCs/>
              </w:rPr>
              <w:t>,</w:t>
            </w:r>
            <w:r w:rsidRPr="00FF1327">
              <w:rPr>
                <w:b/>
                <w:bCs/>
              </w:rPr>
              <w:t>057</w:t>
            </w:r>
          </w:p>
        </w:tc>
        <w:tc>
          <w:tcPr>
            <w:tcW w:w="1099" w:type="dxa"/>
            <w:tcBorders>
              <w:top w:val="nil"/>
              <w:left w:val="nil"/>
              <w:bottom w:val="nil"/>
              <w:right w:val="nil"/>
            </w:tcBorders>
            <w:shd w:val="clear" w:color="auto" w:fill="auto"/>
            <w:vAlign w:val="center"/>
          </w:tcPr>
          <w:p w14:paraId="335AAF8D" w14:textId="77777777" w:rsidR="00AF04B6" w:rsidRPr="0084302C"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1,895,116</w:t>
            </w:r>
          </w:p>
        </w:tc>
      </w:tr>
      <w:tr w:rsidR="00AF04B6" w:rsidRPr="00354D74" w14:paraId="3FD307B0"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5397C0F5" w14:textId="77777777" w:rsidR="00AF04B6" w:rsidRPr="00354D74" w:rsidRDefault="00AF04B6" w:rsidP="004F1B41">
            <w:pPr>
              <w:pStyle w:val="08-Tabelageral"/>
              <w:ind w:left="113"/>
              <w:jc w:val="left"/>
              <w:rPr>
                <w:b w:val="0"/>
              </w:rPr>
            </w:pPr>
            <w:r w:rsidRPr="00AF12C2">
              <w:rPr>
                <w:b w:val="0"/>
              </w:rPr>
              <w:t>Opening balance</w:t>
            </w:r>
          </w:p>
        </w:tc>
        <w:tc>
          <w:tcPr>
            <w:tcW w:w="781" w:type="dxa"/>
            <w:tcBorders>
              <w:top w:val="nil"/>
              <w:bottom w:val="nil"/>
            </w:tcBorders>
            <w:shd w:val="clear" w:color="auto" w:fill="auto"/>
            <w:vAlign w:val="center"/>
          </w:tcPr>
          <w:p w14:paraId="7FD246F3" w14:textId="77777777" w:rsidR="00AF04B6" w:rsidRPr="00354D74" w:rsidRDefault="00AF04B6" w:rsidP="004F1B41">
            <w:pPr>
              <w:pStyle w:val="08-Tabelageral"/>
              <w:jc w:val="left"/>
              <w:cnfStyle w:val="000000000000" w:firstRow="0" w:lastRow="0" w:firstColumn="0" w:lastColumn="0" w:oddVBand="0" w:evenVBand="0" w:oddHBand="0" w:evenHBand="0" w:firstRowFirstColumn="0" w:firstRowLastColumn="0" w:lastRowFirstColumn="0" w:lastRowLastColumn="0"/>
              <w:rPr>
                <w:b/>
              </w:rPr>
            </w:pPr>
            <w:r w:rsidRPr="000C3D08">
              <w:t>[15]</w:t>
            </w:r>
          </w:p>
        </w:tc>
        <w:tc>
          <w:tcPr>
            <w:tcW w:w="1134" w:type="dxa"/>
            <w:tcBorders>
              <w:top w:val="nil"/>
              <w:left w:val="nil"/>
              <w:bottom w:val="nil"/>
              <w:right w:val="nil"/>
            </w:tcBorders>
            <w:shd w:val="clear" w:color="auto" w:fill="auto"/>
            <w:vAlign w:val="center"/>
          </w:tcPr>
          <w:p w14:paraId="40F8D136" w14:textId="77777777" w:rsidR="00AF04B6" w:rsidRPr="00EC190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CF113B">
              <w:t>369</w:t>
            </w:r>
            <w:r>
              <w:t>,</w:t>
            </w:r>
            <w:r w:rsidRPr="00CF113B">
              <w:t>342</w:t>
            </w:r>
          </w:p>
        </w:tc>
        <w:tc>
          <w:tcPr>
            <w:tcW w:w="1134" w:type="dxa"/>
            <w:tcBorders>
              <w:top w:val="nil"/>
              <w:left w:val="nil"/>
              <w:bottom w:val="nil"/>
              <w:right w:val="nil"/>
            </w:tcBorders>
            <w:shd w:val="clear" w:color="auto" w:fill="auto"/>
            <w:vAlign w:val="center"/>
          </w:tcPr>
          <w:p w14:paraId="247EE50D" w14:textId="77777777" w:rsidR="00AF04B6" w:rsidRPr="00354D7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color w:val="000000"/>
                <w:szCs w:val="14"/>
              </w:rPr>
              <w:t>208,893</w:t>
            </w:r>
          </w:p>
        </w:tc>
        <w:tc>
          <w:tcPr>
            <w:tcW w:w="281" w:type="dxa"/>
            <w:tcBorders>
              <w:top w:val="nil"/>
              <w:bottom w:val="nil"/>
            </w:tcBorders>
            <w:shd w:val="clear" w:color="auto" w:fill="auto"/>
            <w:vAlign w:val="center"/>
          </w:tcPr>
          <w:p w14:paraId="3325F4CC" w14:textId="77777777" w:rsidR="00AF04B6" w:rsidRPr="00354D7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030" w:type="dxa"/>
            <w:tcBorders>
              <w:top w:val="nil"/>
              <w:left w:val="nil"/>
              <w:bottom w:val="nil"/>
              <w:right w:val="nil"/>
            </w:tcBorders>
            <w:shd w:val="clear" w:color="auto" w:fill="auto"/>
            <w:vAlign w:val="center"/>
          </w:tcPr>
          <w:p w14:paraId="522CFE1D" w14:textId="77777777" w:rsidR="00AF04B6" w:rsidRPr="00354D7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7273CE">
              <w:t>4</w:t>
            </w:r>
            <w:r>
              <w:t>,</w:t>
            </w:r>
            <w:r w:rsidRPr="007273CE">
              <w:t>090</w:t>
            </w:r>
            <w:r>
              <w:t>,</w:t>
            </w:r>
            <w:r w:rsidRPr="007273CE">
              <w:t>561</w:t>
            </w:r>
          </w:p>
        </w:tc>
        <w:tc>
          <w:tcPr>
            <w:tcW w:w="1099" w:type="dxa"/>
            <w:tcBorders>
              <w:top w:val="nil"/>
              <w:left w:val="nil"/>
              <w:bottom w:val="nil"/>
              <w:right w:val="nil"/>
            </w:tcBorders>
            <w:shd w:val="clear" w:color="auto" w:fill="auto"/>
            <w:vAlign w:val="center"/>
          </w:tcPr>
          <w:p w14:paraId="231D8DBB" w14:textId="77777777" w:rsidR="00AF04B6" w:rsidRPr="00354D74"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color w:val="000000"/>
                <w:szCs w:val="14"/>
              </w:rPr>
              <w:t>2,195,445</w:t>
            </w:r>
          </w:p>
        </w:tc>
      </w:tr>
      <w:tr w:rsidR="00AF04B6" w:rsidRPr="00354D74" w14:paraId="12CDBF0C"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1DDAD317" w14:textId="77777777" w:rsidR="00AF04B6" w:rsidRPr="00354D74" w:rsidRDefault="00AF04B6" w:rsidP="004F1B41">
            <w:pPr>
              <w:pStyle w:val="08-Tabelageral"/>
              <w:ind w:left="113"/>
              <w:jc w:val="left"/>
              <w:rPr>
                <w:b w:val="0"/>
              </w:rPr>
            </w:pPr>
            <w:r w:rsidRPr="00AF12C2">
              <w:rPr>
                <w:b w:val="0"/>
              </w:rPr>
              <w:t>Closing balance</w:t>
            </w:r>
          </w:p>
        </w:tc>
        <w:tc>
          <w:tcPr>
            <w:tcW w:w="781" w:type="dxa"/>
            <w:tcBorders>
              <w:top w:val="nil"/>
              <w:bottom w:val="nil"/>
            </w:tcBorders>
            <w:shd w:val="clear" w:color="auto" w:fill="auto"/>
            <w:vAlign w:val="center"/>
          </w:tcPr>
          <w:p w14:paraId="6EE0DF43" w14:textId="77777777" w:rsidR="00AF04B6" w:rsidRPr="00354D74" w:rsidRDefault="00AF04B6" w:rsidP="004F1B41">
            <w:pPr>
              <w:pStyle w:val="08-Tabelageral"/>
              <w:jc w:val="left"/>
              <w:cnfStyle w:val="000000100000" w:firstRow="0" w:lastRow="0" w:firstColumn="0" w:lastColumn="0" w:oddVBand="0" w:evenVBand="0" w:oddHBand="1" w:evenHBand="0" w:firstRowFirstColumn="0" w:firstRowLastColumn="0" w:lastRowFirstColumn="0" w:lastRowLastColumn="0"/>
              <w:rPr>
                <w:b/>
              </w:rPr>
            </w:pPr>
            <w:r w:rsidRPr="000C3D08">
              <w:t>[15]</w:t>
            </w:r>
          </w:p>
        </w:tc>
        <w:tc>
          <w:tcPr>
            <w:tcW w:w="1134" w:type="dxa"/>
            <w:tcBorders>
              <w:top w:val="nil"/>
              <w:left w:val="nil"/>
              <w:bottom w:val="nil"/>
              <w:right w:val="nil"/>
            </w:tcBorders>
            <w:shd w:val="clear" w:color="auto" w:fill="auto"/>
            <w:vAlign w:val="center"/>
          </w:tcPr>
          <w:p w14:paraId="43E1F93D" w14:textId="77777777" w:rsidR="00AF04B6" w:rsidRPr="00EC1904"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rsidRPr="00CF113B">
              <w:t>59</w:t>
            </w:r>
            <w:r>
              <w:t>,</w:t>
            </w:r>
            <w:r w:rsidRPr="00CF113B">
              <w:t>003</w:t>
            </w:r>
          </w:p>
        </w:tc>
        <w:tc>
          <w:tcPr>
            <w:tcW w:w="1134" w:type="dxa"/>
            <w:tcBorders>
              <w:top w:val="nil"/>
              <w:left w:val="nil"/>
              <w:bottom w:val="nil"/>
              <w:right w:val="nil"/>
            </w:tcBorders>
            <w:shd w:val="clear" w:color="auto" w:fill="auto"/>
            <w:vAlign w:val="center"/>
          </w:tcPr>
          <w:p w14:paraId="4F236237" w14:textId="77777777" w:rsidR="00AF04B6" w:rsidRPr="00354D74"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369,342</w:t>
            </w:r>
          </w:p>
        </w:tc>
        <w:tc>
          <w:tcPr>
            <w:tcW w:w="281" w:type="dxa"/>
            <w:tcBorders>
              <w:top w:val="nil"/>
              <w:bottom w:val="nil"/>
            </w:tcBorders>
            <w:shd w:val="clear" w:color="auto" w:fill="auto"/>
            <w:vAlign w:val="center"/>
          </w:tcPr>
          <w:p w14:paraId="1B7BB5A5" w14:textId="77777777" w:rsidR="00AF04B6" w:rsidRPr="00354D74"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030" w:type="dxa"/>
            <w:tcBorders>
              <w:top w:val="nil"/>
              <w:left w:val="nil"/>
              <w:bottom w:val="nil"/>
              <w:right w:val="nil"/>
            </w:tcBorders>
            <w:shd w:val="clear" w:color="auto" w:fill="auto"/>
            <w:vAlign w:val="center"/>
          </w:tcPr>
          <w:p w14:paraId="73F4305D" w14:textId="77777777" w:rsidR="00AF04B6" w:rsidRPr="00354D74"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rsidRPr="00FF1327">
              <w:t>6</w:t>
            </w:r>
            <w:r>
              <w:t>,</w:t>
            </w:r>
            <w:r w:rsidRPr="00FF1327">
              <w:t>076</w:t>
            </w:r>
            <w:r>
              <w:t>,</w:t>
            </w:r>
            <w:r w:rsidRPr="00FF1327">
              <w:t>618</w:t>
            </w:r>
          </w:p>
        </w:tc>
        <w:tc>
          <w:tcPr>
            <w:tcW w:w="1099" w:type="dxa"/>
            <w:tcBorders>
              <w:top w:val="nil"/>
              <w:left w:val="nil"/>
              <w:bottom w:val="nil"/>
              <w:right w:val="nil"/>
            </w:tcBorders>
            <w:shd w:val="clear" w:color="auto" w:fill="auto"/>
            <w:vAlign w:val="center"/>
          </w:tcPr>
          <w:p w14:paraId="79F04D2D" w14:textId="77777777" w:rsidR="00AF04B6" w:rsidRPr="00354D74"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4,090,561</w:t>
            </w:r>
          </w:p>
        </w:tc>
      </w:tr>
      <w:tr w:rsidR="00AF04B6" w:rsidRPr="00354D74" w14:paraId="1775229F"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7A26E109" w14:textId="77777777" w:rsidR="00AF04B6" w:rsidRPr="00BD6C7E" w:rsidRDefault="00AF04B6" w:rsidP="004F1B41">
            <w:pPr>
              <w:pStyle w:val="08-Tabelageral"/>
              <w:jc w:val="left"/>
              <w:rPr>
                <w:lang w:val="en-US"/>
              </w:rPr>
            </w:pPr>
            <w:r w:rsidRPr="00BD6C7E">
              <w:rPr>
                <w:lang w:val="en-US"/>
              </w:rPr>
              <w:t>Increase (decrease) in cash and cash equivalents</w:t>
            </w:r>
          </w:p>
        </w:tc>
        <w:tc>
          <w:tcPr>
            <w:tcW w:w="781" w:type="dxa"/>
            <w:tcBorders>
              <w:top w:val="nil"/>
              <w:bottom w:val="nil"/>
            </w:tcBorders>
            <w:shd w:val="clear" w:color="auto" w:fill="auto"/>
            <w:vAlign w:val="center"/>
          </w:tcPr>
          <w:p w14:paraId="40940085" w14:textId="77777777" w:rsidR="00AF04B6" w:rsidRPr="00BD6C7E" w:rsidRDefault="00AF04B6" w:rsidP="004F1B41">
            <w:pPr>
              <w:pStyle w:val="08-Tabelageral"/>
              <w:jc w:val="left"/>
              <w:cnfStyle w:val="000000000000" w:firstRow="0" w:lastRow="0" w:firstColumn="0" w:lastColumn="0" w:oddVBand="0" w:evenVBand="0" w:oddHBand="0" w:evenHBand="0" w:firstRowFirstColumn="0" w:firstRowLastColumn="0" w:lastRowFirstColumn="0" w:lastRowLastColumn="0"/>
              <w:rPr>
                <w:b/>
                <w:lang w:val="en-US"/>
              </w:rPr>
            </w:pPr>
          </w:p>
        </w:tc>
        <w:tc>
          <w:tcPr>
            <w:tcW w:w="1134" w:type="dxa"/>
            <w:tcBorders>
              <w:top w:val="nil"/>
              <w:left w:val="nil"/>
              <w:bottom w:val="nil"/>
              <w:right w:val="nil"/>
            </w:tcBorders>
            <w:shd w:val="clear" w:color="auto" w:fill="auto"/>
            <w:vAlign w:val="center"/>
          </w:tcPr>
          <w:p w14:paraId="08E4B7AD" w14:textId="77777777" w:rsidR="00AF04B6" w:rsidRPr="00F06920" w:rsidRDefault="00AF04B6" w:rsidP="004F1B41">
            <w:pPr>
              <w:pStyle w:val="08-Tabelageral"/>
              <w:cnfStyle w:val="000000000000" w:firstRow="0" w:lastRow="0" w:firstColumn="0" w:lastColumn="0" w:oddVBand="0" w:evenVBand="0" w:oddHBand="0" w:evenHBand="0" w:firstRowFirstColumn="0" w:firstRowLastColumn="0" w:lastRowFirstColumn="0" w:lastRowLastColumn="0"/>
              <w:rPr>
                <w:b/>
                <w:bCs/>
              </w:rPr>
            </w:pPr>
            <w:r w:rsidRPr="00CF113B">
              <w:rPr>
                <w:b/>
              </w:rPr>
              <w:t>(310</w:t>
            </w:r>
            <w:r>
              <w:rPr>
                <w:b/>
              </w:rPr>
              <w:t>,</w:t>
            </w:r>
            <w:r w:rsidRPr="00CF113B">
              <w:rPr>
                <w:b/>
              </w:rPr>
              <w:t>339)</w:t>
            </w:r>
          </w:p>
        </w:tc>
        <w:tc>
          <w:tcPr>
            <w:tcW w:w="1134" w:type="dxa"/>
            <w:tcBorders>
              <w:top w:val="nil"/>
              <w:left w:val="nil"/>
              <w:bottom w:val="nil"/>
              <w:right w:val="nil"/>
            </w:tcBorders>
            <w:shd w:val="clear" w:color="auto" w:fill="auto"/>
            <w:vAlign w:val="center"/>
          </w:tcPr>
          <w:p w14:paraId="496714A8" w14:textId="77777777" w:rsidR="00AF04B6" w:rsidRPr="00F06920" w:rsidRDefault="00AF04B6" w:rsidP="004F1B41">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160,449</w:t>
            </w:r>
          </w:p>
        </w:tc>
        <w:tc>
          <w:tcPr>
            <w:tcW w:w="281" w:type="dxa"/>
            <w:tcBorders>
              <w:top w:val="nil"/>
              <w:bottom w:val="nil"/>
            </w:tcBorders>
            <w:shd w:val="clear" w:color="auto" w:fill="auto"/>
            <w:vAlign w:val="center"/>
          </w:tcPr>
          <w:p w14:paraId="12903C56" w14:textId="77777777" w:rsidR="00AF04B6" w:rsidRPr="00F06920" w:rsidRDefault="00AF04B6" w:rsidP="004F1B41">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030" w:type="dxa"/>
            <w:tcBorders>
              <w:top w:val="nil"/>
              <w:left w:val="nil"/>
              <w:bottom w:val="nil"/>
              <w:right w:val="nil"/>
            </w:tcBorders>
            <w:shd w:val="clear" w:color="auto" w:fill="auto"/>
            <w:vAlign w:val="center"/>
          </w:tcPr>
          <w:p w14:paraId="426777C6" w14:textId="77777777" w:rsidR="00AF04B6" w:rsidRPr="00F06920" w:rsidRDefault="00AF04B6" w:rsidP="004F1B41">
            <w:pPr>
              <w:pStyle w:val="08-Tabelageral"/>
              <w:cnfStyle w:val="000000000000" w:firstRow="0" w:lastRow="0" w:firstColumn="0" w:lastColumn="0" w:oddVBand="0" w:evenVBand="0" w:oddHBand="0" w:evenHBand="0" w:firstRowFirstColumn="0" w:firstRowLastColumn="0" w:lastRowFirstColumn="0" w:lastRowLastColumn="0"/>
              <w:rPr>
                <w:b/>
                <w:bCs/>
              </w:rPr>
            </w:pPr>
            <w:r w:rsidRPr="00FF1327">
              <w:rPr>
                <w:b/>
                <w:bCs/>
              </w:rPr>
              <w:t>1</w:t>
            </w:r>
            <w:r>
              <w:rPr>
                <w:b/>
                <w:bCs/>
              </w:rPr>
              <w:t>,</w:t>
            </w:r>
            <w:r w:rsidRPr="00FF1327">
              <w:rPr>
                <w:b/>
                <w:bCs/>
              </w:rPr>
              <w:t>986</w:t>
            </w:r>
            <w:r>
              <w:rPr>
                <w:b/>
                <w:bCs/>
              </w:rPr>
              <w:t>,</w:t>
            </w:r>
            <w:r w:rsidRPr="00FF1327">
              <w:rPr>
                <w:b/>
                <w:bCs/>
              </w:rPr>
              <w:t>057</w:t>
            </w:r>
          </w:p>
        </w:tc>
        <w:tc>
          <w:tcPr>
            <w:tcW w:w="1099" w:type="dxa"/>
            <w:tcBorders>
              <w:top w:val="nil"/>
              <w:left w:val="nil"/>
              <w:bottom w:val="nil"/>
              <w:right w:val="nil"/>
            </w:tcBorders>
            <w:shd w:val="clear" w:color="auto" w:fill="auto"/>
            <w:vAlign w:val="center"/>
          </w:tcPr>
          <w:p w14:paraId="166ABA2E" w14:textId="77777777" w:rsidR="00AF04B6" w:rsidRPr="00F06920" w:rsidRDefault="00AF04B6" w:rsidP="004F1B41">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1,895,116</w:t>
            </w:r>
          </w:p>
        </w:tc>
      </w:tr>
      <w:tr w:rsidR="00AF04B6" w:rsidRPr="001D6BE8" w14:paraId="685C2307"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03BDF22D" w14:textId="77777777" w:rsidR="00AF04B6" w:rsidRPr="0038031F" w:rsidRDefault="00AF04B6" w:rsidP="004F1B41">
            <w:pPr>
              <w:pStyle w:val="08-Tabelageral"/>
              <w:ind w:left="113"/>
              <w:jc w:val="left"/>
              <w:rPr>
                <w:b w:val="0"/>
              </w:rPr>
            </w:pPr>
          </w:p>
        </w:tc>
        <w:tc>
          <w:tcPr>
            <w:tcW w:w="781" w:type="dxa"/>
            <w:tcBorders>
              <w:top w:val="nil"/>
              <w:bottom w:val="nil"/>
            </w:tcBorders>
            <w:shd w:val="clear" w:color="auto" w:fill="auto"/>
            <w:vAlign w:val="center"/>
          </w:tcPr>
          <w:p w14:paraId="2900559B" w14:textId="77777777" w:rsidR="00AF04B6" w:rsidRPr="00CF4B29" w:rsidRDefault="00AF04B6" w:rsidP="004F1B41">
            <w:pPr>
              <w:pStyle w:val="08-Tabelageral"/>
              <w:jc w:val="left"/>
              <w:cnfStyle w:val="000000100000" w:firstRow="0" w:lastRow="0" w:firstColumn="0" w:lastColumn="0" w:oddVBand="0" w:evenVBand="0" w:oddHBand="1" w:evenHBand="0" w:firstRowFirstColumn="0" w:firstRowLastColumn="0" w:lastRowFirstColumn="0" w:lastRowLastColumn="0"/>
              <w:rPr>
                <w:szCs w:val="14"/>
              </w:rPr>
            </w:pPr>
          </w:p>
        </w:tc>
        <w:tc>
          <w:tcPr>
            <w:tcW w:w="1134" w:type="dxa"/>
            <w:tcBorders>
              <w:top w:val="nil"/>
              <w:bottom w:val="nil"/>
            </w:tcBorders>
            <w:shd w:val="clear" w:color="auto" w:fill="auto"/>
            <w:vAlign w:val="center"/>
          </w:tcPr>
          <w:p w14:paraId="0CE0EA10" w14:textId="77777777" w:rsidR="00AF04B6" w:rsidRPr="00350BA7"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B80179E" w14:textId="77777777" w:rsidR="00AF04B6" w:rsidRPr="00CF4B29" w:rsidRDefault="00AF04B6" w:rsidP="004F1B41">
            <w:pPr>
              <w:pStyle w:val="08-Tabelageral"/>
              <w:cnfStyle w:val="000000100000" w:firstRow="0" w:lastRow="0" w:firstColumn="0" w:lastColumn="0" w:oddVBand="0" w:evenVBand="0" w:oddHBand="1" w:evenHBand="0" w:firstRowFirstColumn="0" w:firstRowLastColumn="0" w:lastRowFirstColumn="0" w:lastRowLastColumn="0"/>
            </w:pPr>
          </w:p>
        </w:tc>
        <w:tc>
          <w:tcPr>
            <w:tcW w:w="281" w:type="dxa"/>
            <w:tcBorders>
              <w:top w:val="nil"/>
              <w:bottom w:val="nil"/>
            </w:tcBorders>
            <w:shd w:val="clear" w:color="auto" w:fill="auto"/>
            <w:vAlign w:val="center"/>
          </w:tcPr>
          <w:p w14:paraId="6C16DDE4" w14:textId="77777777" w:rsidR="00AF04B6" w:rsidRPr="00350BA7"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30" w:type="dxa"/>
            <w:tcBorders>
              <w:top w:val="nil"/>
              <w:bottom w:val="nil"/>
            </w:tcBorders>
            <w:shd w:val="clear" w:color="auto" w:fill="auto"/>
            <w:vAlign w:val="center"/>
          </w:tcPr>
          <w:p w14:paraId="444B5755" w14:textId="77777777" w:rsidR="00AF04B6" w:rsidRPr="00350BA7"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99" w:type="dxa"/>
            <w:tcBorders>
              <w:top w:val="nil"/>
              <w:bottom w:val="nil"/>
            </w:tcBorders>
            <w:shd w:val="clear" w:color="auto" w:fill="auto"/>
            <w:vAlign w:val="center"/>
          </w:tcPr>
          <w:p w14:paraId="19623A1D" w14:textId="77777777" w:rsidR="00AF04B6" w:rsidRPr="00CF4B29" w:rsidRDefault="00AF04B6" w:rsidP="004F1B41">
            <w:pPr>
              <w:pStyle w:val="08-Tabelageral"/>
              <w:cnfStyle w:val="000000100000" w:firstRow="0" w:lastRow="0" w:firstColumn="0" w:lastColumn="0" w:oddVBand="0" w:evenVBand="0" w:oddHBand="1" w:evenHBand="0" w:firstRowFirstColumn="0" w:firstRowLastColumn="0" w:lastRowFirstColumn="0" w:lastRowLastColumn="0"/>
            </w:pPr>
          </w:p>
        </w:tc>
      </w:tr>
      <w:tr w:rsidR="00AF04B6" w:rsidRPr="00354D74" w14:paraId="75A750C3"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31B8C219" w14:textId="77777777" w:rsidR="00AF04B6" w:rsidRPr="00354D74" w:rsidRDefault="00AF04B6" w:rsidP="004F1B41">
            <w:pPr>
              <w:pStyle w:val="08-Tabelageral"/>
              <w:jc w:val="left"/>
            </w:pPr>
            <w:r w:rsidRPr="00AF12C2">
              <w:t>Complementary information on operations</w:t>
            </w:r>
          </w:p>
        </w:tc>
        <w:tc>
          <w:tcPr>
            <w:tcW w:w="781" w:type="dxa"/>
            <w:tcBorders>
              <w:top w:val="nil"/>
              <w:bottom w:val="nil"/>
            </w:tcBorders>
            <w:shd w:val="clear" w:color="auto" w:fill="auto"/>
            <w:vAlign w:val="center"/>
          </w:tcPr>
          <w:p w14:paraId="17FB0AE8" w14:textId="77777777" w:rsidR="00AF04B6" w:rsidRPr="00354D74" w:rsidRDefault="00AF04B6" w:rsidP="004F1B41">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14DE273F" w14:textId="77777777" w:rsidR="00AF04B6" w:rsidRPr="007B017E" w:rsidRDefault="00AF04B6" w:rsidP="004F1B41">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99461DF" w14:textId="77777777" w:rsidR="00AF04B6" w:rsidRPr="007B017E" w:rsidRDefault="00AF04B6" w:rsidP="004F1B41">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281" w:type="dxa"/>
            <w:tcBorders>
              <w:top w:val="nil"/>
              <w:bottom w:val="nil"/>
            </w:tcBorders>
            <w:shd w:val="clear" w:color="auto" w:fill="auto"/>
            <w:vAlign w:val="center"/>
          </w:tcPr>
          <w:p w14:paraId="3C7B7484" w14:textId="77777777" w:rsidR="00AF04B6" w:rsidRPr="007B017E" w:rsidRDefault="00AF04B6" w:rsidP="004F1B41">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30" w:type="dxa"/>
            <w:tcBorders>
              <w:top w:val="nil"/>
              <w:bottom w:val="nil"/>
            </w:tcBorders>
            <w:shd w:val="clear" w:color="auto" w:fill="auto"/>
            <w:vAlign w:val="center"/>
          </w:tcPr>
          <w:p w14:paraId="6731B0E3" w14:textId="77777777" w:rsidR="00AF04B6" w:rsidRPr="007B017E" w:rsidRDefault="00AF04B6" w:rsidP="004F1B41">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99" w:type="dxa"/>
            <w:tcBorders>
              <w:top w:val="nil"/>
              <w:bottom w:val="nil"/>
            </w:tcBorders>
            <w:shd w:val="clear" w:color="auto" w:fill="auto"/>
            <w:vAlign w:val="center"/>
          </w:tcPr>
          <w:p w14:paraId="785BD27F" w14:textId="77777777" w:rsidR="00AF04B6" w:rsidRPr="007B017E" w:rsidRDefault="00AF04B6" w:rsidP="004F1B41">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r>
      <w:tr w:rsidR="00AF04B6" w:rsidRPr="00354D74" w14:paraId="54933562"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ED24825" w14:textId="77777777" w:rsidR="00AF04B6" w:rsidRPr="00354D74" w:rsidRDefault="00AF04B6" w:rsidP="004F1B41">
            <w:pPr>
              <w:pStyle w:val="08-Tabelageral"/>
              <w:ind w:left="113"/>
              <w:jc w:val="left"/>
              <w:rPr>
                <w:b w:val="0"/>
              </w:rPr>
            </w:pPr>
            <w:r w:rsidRPr="00AF12C2">
              <w:rPr>
                <w:b w:val="0"/>
              </w:rPr>
              <w:t>Income tax pa</w:t>
            </w:r>
            <w:r>
              <w:rPr>
                <w:b w:val="0"/>
              </w:rPr>
              <w:t>id</w:t>
            </w:r>
          </w:p>
        </w:tc>
        <w:tc>
          <w:tcPr>
            <w:tcW w:w="781" w:type="dxa"/>
            <w:tcBorders>
              <w:top w:val="nil"/>
              <w:bottom w:val="nil"/>
            </w:tcBorders>
            <w:shd w:val="clear" w:color="auto" w:fill="auto"/>
            <w:vAlign w:val="center"/>
          </w:tcPr>
          <w:p w14:paraId="54267E4B" w14:textId="77777777" w:rsidR="00AF04B6" w:rsidRPr="00354D74" w:rsidRDefault="00AF04B6" w:rsidP="004F1B41">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134" w:type="dxa"/>
            <w:tcBorders>
              <w:top w:val="nil"/>
              <w:bottom w:val="nil"/>
            </w:tcBorders>
            <w:shd w:val="clear" w:color="auto" w:fill="auto"/>
            <w:vAlign w:val="center"/>
          </w:tcPr>
          <w:p w14:paraId="63C7EEB1" w14:textId="77777777" w:rsidR="00AF04B6" w:rsidRPr="00A82576"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rsidRPr="00E3263B">
              <w:t>(322)</w:t>
            </w:r>
          </w:p>
        </w:tc>
        <w:tc>
          <w:tcPr>
            <w:tcW w:w="1134" w:type="dxa"/>
            <w:tcBorders>
              <w:top w:val="nil"/>
              <w:bottom w:val="nil"/>
            </w:tcBorders>
            <w:shd w:val="clear" w:color="auto" w:fill="auto"/>
            <w:vAlign w:val="center"/>
          </w:tcPr>
          <w:p w14:paraId="081CE847" w14:textId="77777777" w:rsidR="00AF04B6" w:rsidRPr="00A82576"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rsidRPr="00AA1BE8">
              <w:t>(1</w:t>
            </w:r>
            <w:r>
              <w:t>,</w:t>
            </w:r>
            <w:r w:rsidRPr="00AA1BE8">
              <w:t>254)</w:t>
            </w:r>
          </w:p>
        </w:tc>
        <w:tc>
          <w:tcPr>
            <w:tcW w:w="281" w:type="dxa"/>
            <w:tcBorders>
              <w:top w:val="nil"/>
              <w:bottom w:val="nil"/>
            </w:tcBorders>
            <w:shd w:val="clear" w:color="auto" w:fill="auto"/>
            <w:vAlign w:val="center"/>
          </w:tcPr>
          <w:p w14:paraId="58079574" w14:textId="77777777" w:rsidR="00AF04B6" w:rsidRPr="00A82576"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030" w:type="dxa"/>
            <w:tcBorders>
              <w:top w:val="nil"/>
              <w:bottom w:val="nil"/>
            </w:tcBorders>
            <w:shd w:val="clear" w:color="auto" w:fill="auto"/>
            <w:vAlign w:val="center"/>
          </w:tcPr>
          <w:p w14:paraId="35FD5CAE" w14:textId="77777777" w:rsidR="00AF04B6" w:rsidRPr="00A82576"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rsidRPr="004D4948">
              <w:t>(793</w:t>
            </w:r>
            <w:r>
              <w:t>,</w:t>
            </w:r>
            <w:r w:rsidRPr="004D4948">
              <w:t>454)</w:t>
            </w:r>
          </w:p>
        </w:tc>
        <w:tc>
          <w:tcPr>
            <w:tcW w:w="1099" w:type="dxa"/>
            <w:tcBorders>
              <w:top w:val="nil"/>
              <w:bottom w:val="nil"/>
            </w:tcBorders>
            <w:shd w:val="clear" w:color="auto" w:fill="auto"/>
            <w:vAlign w:val="center"/>
          </w:tcPr>
          <w:p w14:paraId="53D95B5F" w14:textId="77777777" w:rsidR="00AF04B6" w:rsidRPr="00A82576" w:rsidRDefault="00AF04B6" w:rsidP="004F1B41">
            <w:pPr>
              <w:pStyle w:val="08-Tabelageral"/>
              <w:ind w:left="113"/>
              <w:cnfStyle w:val="000000100000" w:firstRow="0" w:lastRow="0" w:firstColumn="0" w:lastColumn="0" w:oddVBand="0" w:evenVBand="0" w:oddHBand="1" w:evenHBand="0" w:firstRowFirstColumn="0" w:firstRowLastColumn="0" w:lastRowFirstColumn="0" w:lastRowLastColumn="0"/>
            </w:pPr>
            <w:r>
              <w:t>(</w:t>
            </w:r>
            <w:r w:rsidRPr="00F2498E">
              <w:t>698</w:t>
            </w:r>
            <w:r>
              <w:t>,</w:t>
            </w:r>
            <w:r w:rsidRPr="00F2498E">
              <w:t>971</w:t>
            </w:r>
            <w:r>
              <w:t>)</w:t>
            </w:r>
          </w:p>
        </w:tc>
      </w:tr>
      <w:tr w:rsidR="00AF04B6" w:rsidRPr="00354D74" w14:paraId="060E2AB6" w14:textId="77777777" w:rsidTr="00A36985">
        <w:trPr>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nil"/>
            </w:tcBorders>
            <w:shd w:val="clear" w:color="auto" w:fill="auto"/>
            <w:vAlign w:val="center"/>
          </w:tcPr>
          <w:p w14:paraId="2E73E3B1" w14:textId="77777777" w:rsidR="00AF04B6" w:rsidRPr="00354D74" w:rsidRDefault="00AF04B6" w:rsidP="004F1B41">
            <w:pPr>
              <w:pStyle w:val="08-Tabelageral"/>
              <w:ind w:left="113"/>
              <w:jc w:val="left"/>
              <w:rPr>
                <w:b w:val="0"/>
              </w:rPr>
            </w:pPr>
            <w:r>
              <w:rPr>
                <w:b w:val="0"/>
              </w:rPr>
              <w:t>Social contribution paid</w:t>
            </w:r>
          </w:p>
        </w:tc>
        <w:tc>
          <w:tcPr>
            <w:tcW w:w="781" w:type="dxa"/>
            <w:tcBorders>
              <w:top w:val="nil"/>
              <w:bottom w:val="nil"/>
            </w:tcBorders>
            <w:shd w:val="clear" w:color="auto" w:fill="auto"/>
            <w:vAlign w:val="center"/>
          </w:tcPr>
          <w:p w14:paraId="2EF2D724" w14:textId="77777777" w:rsidR="00AF04B6" w:rsidRPr="00354D74" w:rsidRDefault="00AF04B6" w:rsidP="004F1B41">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134" w:type="dxa"/>
            <w:tcBorders>
              <w:top w:val="nil"/>
              <w:bottom w:val="nil"/>
            </w:tcBorders>
            <w:shd w:val="clear" w:color="auto" w:fill="auto"/>
            <w:vAlign w:val="center"/>
          </w:tcPr>
          <w:p w14:paraId="353451C0" w14:textId="77777777" w:rsidR="00AF04B6" w:rsidRPr="00A82576"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E3263B">
              <w:t>(502)</w:t>
            </w:r>
          </w:p>
        </w:tc>
        <w:tc>
          <w:tcPr>
            <w:tcW w:w="1134" w:type="dxa"/>
            <w:tcBorders>
              <w:top w:val="nil"/>
              <w:bottom w:val="nil"/>
            </w:tcBorders>
            <w:shd w:val="clear" w:color="auto" w:fill="auto"/>
            <w:vAlign w:val="center"/>
          </w:tcPr>
          <w:p w14:paraId="33310C24" w14:textId="77777777" w:rsidR="00AF04B6" w:rsidRPr="00A82576"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AA1BE8">
              <w:t>(845)</w:t>
            </w:r>
          </w:p>
        </w:tc>
        <w:tc>
          <w:tcPr>
            <w:tcW w:w="281" w:type="dxa"/>
            <w:tcBorders>
              <w:top w:val="nil"/>
              <w:bottom w:val="nil"/>
            </w:tcBorders>
            <w:shd w:val="clear" w:color="auto" w:fill="auto"/>
            <w:vAlign w:val="center"/>
          </w:tcPr>
          <w:p w14:paraId="7BAB8F4D" w14:textId="77777777" w:rsidR="00AF04B6" w:rsidRPr="00A82576"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030" w:type="dxa"/>
            <w:tcBorders>
              <w:top w:val="nil"/>
              <w:bottom w:val="nil"/>
            </w:tcBorders>
            <w:shd w:val="clear" w:color="auto" w:fill="auto"/>
            <w:vAlign w:val="center"/>
          </w:tcPr>
          <w:p w14:paraId="7FA56F16" w14:textId="77777777" w:rsidR="00AF04B6" w:rsidRPr="00A82576"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rsidRPr="004D4948">
              <w:t>(362</w:t>
            </w:r>
            <w:r>
              <w:t>,</w:t>
            </w:r>
            <w:r w:rsidRPr="004D4948">
              <w:t>009)</w:t>
            </w:r>
          </w:p>
        </w:tc>
        <w:tc>
          <w:tcPr>
            <w:tcW w:w="1099" w:type="dxa"/>
            <w:tcBorders>
              <w:top w:val="nil"/>
              <w:bottom w:val="nil"/>
            </w:tcBorders>
            <w:shd w:val="clear" w:color="auto" w:fill="auto"/>
            <w:vAlign w:val="center"/>
          </w:tcPr>
          <w:p w14:paraId="08A39169" w14:textId="77777777" w:rsidR="00AF04B6" w:rsidRPr="00A82576" w:rsidRDefault="00AF04B6" w:rsidP="004F1B41">
            <w:pPr>
              <w:pStyle w:val="08-Tabelageral"/>
              <w:ind w:left="113"/>
              <w:cnfStyle w:val="000000000000" w:firstRow="0" w:lastRow="0" w:firstColumn="0" w:lastColumn="0" w:oddVBand="0" w:evenVBand="0" w:oddHBand="0" w:evenHBand="0" w:firstRowFirstColumn="0" w:firstRowLastColumn="0" w:lastRowFirstColumn="0" w:lastRowLastColumn="0"/>
            </w:pPr>
            <w:r>
              <w:t>(</w:t>
            </w:r>
            <w:r w:rsidRPr="00F2498E">
              <w:t>285</w:t>
            </w:r>
            <w:r>
              <w:t>,</w:t>
            </w:r>
            <w:r w:rsidRPr="00F2498E">
              <w:t>15</w:t>
            </w:r>
            <w:r>
              <w:t>5)</w:t>
            </w:r>
          </w:p>
        </w:tc>
      </w:tr>
      <w:tr w:rsidR="00AF04B6" w:rsidRPr="001D6BE8" w14:paraId="40DCFE9D" w14:textId="77777777" w:rsidTr="00A369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464" w:type="dxa"/>
            <w:tcBorders>
              <w:top w:val="nil"/>
              <w:bottom w:val="single" w:sz="2" w:space="0" w:color="1F4E79" w:themeColor="accent1" w:themeShade="80"/>
            </w:tcBorders>
            <w:shd w:val="clear" w:color="auto" w:fill="auto"/>
            <w:vAlign w:val="center"/>
          </w:tcPr>
          <w:p w14:paraId="6889391E" w14:textId="77777777" w:rsidR="00AF04B6" w:rsidRPr="00A82576" w:rsidRDefault="00AF04B6" w:rsidP="004F1B41">
            <w:pPr>
              <w:pStyle w:val="08-Tabelageral"/>
              <w:jc w:val="left"/>
              <w:rPr>
                <w:rFonts w:cs="Arial"/>
                <w:szCs w:val="14"/>
              </w:rPr>
            </w:pPr>
            <w:r w:rsidRPr="00EF500E">
              <w:rPr>
                <w:rFonts w:cs="Arial"/>
                <w:szCs w:val="14"/>
              </w:rPr>
              <w:t>Total taxes paid</w:t>
            </w:r>
          </w:p>
        </w:tc>
        <w:tc>
          <w:tcPr>
            <w:tcW w:w="781" w:type="dxa"/>
            <w:tcBorders>
              <w:top w:val="nil"/>
              <w:bottom w:val="single" w:sz="2" w:space="0" w:color="1F4E79" w:themeColor="accent1" w:themeShade="80"/>
            </w:tcBorders>
            <w:shd w:val="clear" w:color="auto" w:fill="auto"/>
            <w:vAlign w:val="center"/>
          </w:tcPr>
          <w:p w14:paraId="73612C28" w14:textId="77777777" w:rsidR="00AF04B6" w:rsidRPr="00A82576" w:rsidRDefault="00AF04B6" w:rsidP="004F1B41">
            <w:pPr>
              <w:pStyle w:val="08-Tabelageral"/>
              <w:jc w:val="left"/>
              <w:cnfStyle w:val="000000100000" w:firstRow="0" w:lastRow="0" w:firstColumn="0" w:lastColumn="0" w:oddVBand="0" w:evenVBand="0" w:oddHBand="1" w:evenHBand="0" w:firstRowFirstColumn="0" w:firstRowLastColumn="0" w:lastRowFirstColumn="0" w:lastRowLastColumn="0"/>
              <w:rPr>
                <w:b/>
                <w:szCs w:val="14"/>
              </w:rPr>
            </w:pPr>
          </w:p>
        </w:tc>
        <w:tc>
          <w:tcPr>
            <w:tcW w:w="1134" w:type="dxa"/>
            <w:tcBorders>
              <w:top w:val="nil"/>
              <w:bottom w:val="single" w:sz="2" w:space="0" w:color="1F4E79" w:themeColor="accent1" w:themeShade="80"/>
            </w:tcBorders>
            <w:shd w:val="clear" w:color="auto" w:fill="auto"/>
            <w:vAlign w:val="center"/>
          </w:tcPr>
          <w:p w14:paraId="71E7E8D3" w14:textId="77777777" w:rsidR="00AF04B6" w:rsidRPr="00F06920"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E3263B">
              <w:rPr>
                <w:rFonts w:cs="Arial"/>
                <w:b/>
                <w:bCs/>
                <w:szCs w:val="14"/>
              </w:rPr>
              <w:t>(824)</w:t>
            </w:r>
          </w:p>
        </w:tc>
        <w:tc>
          <w:tcPr>
            <w:tcW w:w="1134" w:type="dxa"/>
            <w:tcBorders>
              <w:top w:val="nil"/>
              <w:bottom w:val="single" w:sz="2" w:space="0" w:color="1F4E79" w:themeColor="accent1" w:themeShade="80"/>
            </w:tcBorders>
            <w:shd w:val="clear" w:color="auto" w:fill="auto"/>
            <w:vAlign w:val="center"/>
          </w:tcPr>
          <w:p w14:paraId="68DBCEE0" w14:textId="77777777" w:rsidR="00AF04B6" w:rsidRPr="00F06920"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rPr>
            </w:pPr>
            <w:r w:rsidRPr="00AA1BE8">
              <w:rPr>
                <w:rFonts w:cs="Arial"/>
                <w:b/>
                <w:szCs w:val="14"/>
              </w:rPr>
              <w:t>(2</w:t>
            </w:r>
            <w:r>
              <w:rPr>
                <w:rFonts w:cs="Arial"/>
                <w:b/>
                <w:szCs w:val="14"/>
              </w:rPr>
              <w:t>,</w:t>
            </w:r>
            <w:r w:rsidRPr="00AA1BE8">
              <w:rPr>
                <w:rFonts w:cs="Arial"/>
                <w:b/>
                <w:szCs w:val="14"/>
              </w:rPr>
              <w:t>099)</w:t>
            </w:r>
          </w:p>
        </w:tc>
        <w:tc>
          <w:tcPr>
            <w:tcW w:w="281" w:type="dxa"/>
            <w:tcBorders>
              <w:top w:val="nil"/>
              <w:bottom w:val="single" w:sz="2" w:space="0" w:color="1F4E79" w:themeColor="accent1" w:themeShade="80"/>
            </w:tcBorders>
            <w:shd w:val="clear" w:color="auto" w:fill="auto"/>
            <w:vAlign w:val="center"/>
          </w:tcPr>
          <w:p w14:paraId="539C5AB0" w14:textId="77777777" w:rsidR="00AF04B6" w:rsidRPr="00F06920"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030" w:type="dxa"/>
            <w:tcBorders>
              <w:top w:val="nil"/>
              <w:bottom w:val="single" w:sz="2" w:space="0" w:color="1F4E79" w:themeColor="accent1" w:themeShade="80"/>
            </w:tcBorders>
            <w:shd w:val="clear" w:color="auto" w:fill="auto"/>
            <w:vAlign w:val="center"/>
          </w:tcPr>
          <w:p w14:paraId="305000AF" w14:textId="77777777" w:rsidR="00AF04B6" w:rsidRPr="00F06920"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D4948">
              <w:rPr>
                <w:rFonts w:cs="Arial"/>
                <w:b/>
                <w:bCs/>
                <w:szCs w:val="14"/>
              </w:rPr>
              <w:t>(1</w:t>
            </w:r>
            <w:r>
              <w:rPr>
                <w:rFonts w:cs="Arial"/>
                <w:b/>
                <w:bCs/>
                <w:szCs w:val="14"/>
              </w:rPr>
              <w:t>,</w:t>
            </w:r>
            <w:r w:rsidRPr="004D4948">
              <w:rPr>
                <w:rFonts w:cs="Arial"/>
                <w:b/>
                <w:bCs/>
                <w:szCs w:val="14"/>
              </w:rPr>
              <w:t>155</w:t>
            </w:r>
            <w:r>
              <w:rPr>
                <w:rFonts w:cs="Arial"/>
                <w:b/>
                <w:bCs/>
                <w:szCs w:val="14"/>
              </w:rPr>
              <w:t>,</w:t>
            </w:r>
            <w:r w:rsidRPr="004D4948">
              <w:rPr>
                <w:rFonts w:cs="Arial"/>
                <w:b/>
                <w:bCs/>
                <w:szCs w:val="14"/>
              </w:rPr>
              <w:t>463)</w:t>
            </w:r>
          </w:p>
        </w:tc>
        <w:tc>
          <w:tcPr>
            <w:tcW w:w="1099" w:type="dxa"/>
            <w:tcBorders>
              <w:top w:val="nil"/>
              <w:bottom w:val="single" w:sz="2" w:space="0" w:color="1F4E79" w:themeColor="accent1" w:themeShade="80"/>
            </w:tcBorders>
            <w:shd w:val="clear" w:color="auto" w:fill="auto"/>
            <w:vAlign w:val="center"/>
          </w:tcPr>
          <w:p w14:paraId="0836FEE3" w14:textId="77777777" w:rsidR="00AF04B6" w:rsidRPr="00F06920" w:rsidRDefault="00AF04B6" w:rsidP="004F1B41">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w:t>
            </w:r>
            <w:r w:rsidRPr="00F2498E">
              <w:rPr>
                <w:rFonts w:cs="Arial"/>
                <w:b/>
                <w:bCs/>
                <w:szCs w:val="14"/>
              </w:rPr>
              <w:t>984</w:t>
            </w:r>
            <w:r>
              <w:rPr>
                <w:rFonts w:cs="Arial"/>
                <w:b/>
                <w:bCs/>
                <w:szCs w:val="14"/>
              </w:rPr>
              <w:t>,</w:t>
            </w:r>
            <w:r w:rsidRPr="00F2498E">
              <w:rPr>
                <w:rFonts w:cs="Arial"/>
                <w:b/>
                <w:bCs/>
                <w:szCs w:val="14"/>
              </w:rPr>
              <w:t>12</w:t>
            </w:r>
            <w:r>
              <w:rPr>
                <w:rFonts w:cs="Arial"/>
                <w:b/>
                <w:bCs/>
                <w:szCs w:val="14"/>
              </w:rPr>
              <w:t>6)</w:t>
            </w:r>
          </w:p>
        </w:tc>
      </w:tr>
    </w:tbl>
    <w:p w14:paraId="7920B70E" w14:textId="77777777" w:rsidR="00AF04B6" w:rsidRPr="00BD6C7E" w:rsidRDefault="00AF04B6">
      <w:pPr>
        <w:rPr>
          <w:rFonts w:cs="Arial"/>
          <w:sz w:val="14"/>
          <w:szCs w:val="14"/>
          <w:lang w:val="en-US"/>
        </w:rPr>
      </w:pPr>
      <w:r w:rsidRPr="007E0F9F">
        <w:rPr>
          <w:rFonts w:cs="Arial"/>
          <w:sz w:val="14"/>
          <w:szCs w:val="14"/>
          <w:lang w:val="en-US"/>
        </w:rPr>
        <w:t>The accompanying notes are an integral part of these financial statements</w:t>
      </w:r>
      <w:r>
        <w:rPr>
          <w:rFonts w:cs="Arial"/>
          <w:sz w:val="14"/>
          <w:szCs w:val="14"/>
          <w:lang w:val="en-US"/>
        </w:rPr>
        <w:t>.</w:t>
      </w:r>
      <w:r w:rsidRPr="00BD6C7E">
        <w:rPr>
          <w:rFonts w:cs="Arial"/>
          <w:sz w:val="14"/>
          <w:szCs w:val="14"/>
          <w:lang w:val="en-US"/>
        </w:rPr>
        <w:br w:type="page"/>
      </w:r>
    </w:p>
    <w:p w14:paraId="771B951C" w14:textId="77777777" w:rsidR="00AF04B6" w:rsidRPr="00BD6C7E" w:rsidRDefault="00AF04B6" w:rsidP="00D366A1">
      <w:pPr>
        <w:rPr>
          <w:rFonts w:cs="Arial"/>
          <w:sz w:val="14"/>
          <w:szCs w:val="14"/>
          <w:lang w:val="en-US"/>
        </w:rPr>
        <w:sectPr w:rsidR="00AF04B6" w:rsidRPr="00BD6C7E" w:rsidSect="00AC2D4C">
          <w:headerReference w:type="even" r:id="rId15"/>
          <w:headerReference w:type="first" r:id="rId16"/>
          <w:pgSz w:w="11906" w:h="16838" w:code="9"/>
          <w:pgMar w:top="1134" w:right="1134" w:bottom="851" w:left="1134" w:header="851" w:footer="284" w:gutter="0"/>
          <w:cols w:space="708"/>
          <w:docGrid w:linePitch="360"/>
        </w:sectPr>
      </w:pPr>
    </w:p>
    <w:p w14:paraId="78344B47" w14:textId="77777777" w:rsidR="00AF04B6" w:rsidRPr="00BD6C7E" w:rsidRDefault="00AF04B6" w:rsidP="00796546">
      <w:pPr>
        <w:tabs>
          <w:tab w:val="left" w:pos="10089"/>
        </w:tabs>
        <w:rPr>
          <w:rFonts w:cs="Arial"/>
          <w:sz w:val="14"/>
          <w:szCs w:val="14"/>
          <w:lang w:val="en-US"/>
        </w:rPr>
      </w:pPr>
      <w:r w:rsidRPr="00BD6C7E">
        <w:rPr>
          <w:rFonts w:cs="Arial"/>
          <w:sz w:val="14"/>
          <w:szCs w:val="14"/>
          <w:lang w:val="en-US"/>
        </w:rPr>
        <w:lastRenderedPageBreak/>
        <w:tab/>
      </w:r>
    </w:p>
    <w:p w14:paraId="0938E998" w14:textId="77777777" w:rsidR="00AF04B6" w:rsidRPr="00BA4C93" w:rsidRDefault="00AF04B6" w:rsidP="00FC4475">
      <w:pPr>
        <w:pStyle w:val="Ttulo1"/>
      </w:pPr>
      <w:bookmarkStart w:id="18" w:name="_Toc126781089"/>
      <w:r w:rsidRPr="00BA4C93">
        <w:t>STATEMENT OF CHANGES IN EQUITY</w:t>
      </w:r>
      <w:bookmarkEnd w:id="18"/>
    </w:p>
    <w:p w14:paraId="67661700" w14:textId="77777777" w:rsidR="00AF04B6" w:rsidRPr="00AF04B6" w:rsidRDefault="00AF04B6" w:rsidP="00B03722">
      <w:pPr>
        <w:pStyle w:val="06-Rmil"/>
        <w:ind w:right="-173"/>
        <w:rPr>
          <w:lang w:val="en-US"/>
        </w:rPr>
      </w:pPr>
      <w:r w:rsidRPr="00AF04B6">
        <w:rPr>
          <w:lang w:val="en-US"/>
        </w:rPr>
        <w:t>R$ thousand</w:t>
      </w:r>
    </w:p>
    <w:tbl>
      <w:tblPr>
        <w:tblStyle w:val="TabeladeLista6Colorida-nfase510"/>
        <w:tblW w:w="15026" w:type="dxa"/>
        <w:tblInd w:w="108" w:type="dxa"/>
        <w:tblLayout w:type="fixed"/>
        <w:tblLook w:val="04A0" w:firstRow="1" w:lastRow="0" w:firstColumn="1" w:lastColumn="0" w:noHBand="0" w:noVBand="1"/>
      </w:tblPr>
      <w:tblGrid>
        <w:gridCol w:w="3689"/>
        <w:gridCol w:w="852"/>
        <w:gridCol w:w="1276"/>
        <w:gridCol w:w="993"/>
        <w:gridCol w:w="1277"/>
        <w:gridCol w:w="1846"/>
        <w:gridCol w:w="1122"/>
        <w:gridCol w:w="1289"/>
        <w:gridCol w:w="1560"/>
        <w:gridCol w:w="1122"/>
      </w:tblGrid>
      <w:tr w:rsidR="00AF04B6" w:rsidRPr="004E4235" w14:paraId="0207EC23" w14:textId="77777777" w:rsidTr="00A50ADB">
        <w:trPr>
          <w:cnfStyle w:val="100000000000" w:firstRow="1" w:lastRow="0" w:firstColumn="0" w:lastColumn="0" w:oddVBand="0" w:evenVBand="0" w:oddHBand="0" w:evenHBand="0" w:firstRowFirstColumn="0" w:firstRowLastColumn="0" w:lastRowFirstColumn="0" w:lastRowLastColumn="0"/>
          <w:trHeight w:hRule="exact" w:val="309"/>
        </w:trPr>
        <w:tc>
          <w:tcPr>
            <w:cnfStyle w:val="001000000000" w:firstRow="0" w:lastRow="0" w:firstColumn="1" w:lastColumn="0" w:oddVBand="0" w:evenVBand="0" w:oddHBand="0" w:evenHBand="0" w:firstRowFirstColumn="0" w:firstRowLastColumn="0" w:lastRowFirstColumn="0" w:lastRowLastColumn="0"/>
            <w:tcW w:w="3689" w:type="dxa"/>
            <w:vMerge w:val="restart"/>
            <w:tcBorders>
              <w:top w:val="single" w:sz="2" w:space="0" w:color="1F4E79" w:themeColor="accent1" w:themeShade="80"/>
              <w:bottom w:val="single" w:sz="2" w:space="0" w:color="1F4E79" w:themeColor="accent1" w:themeShade="80"/>
            </w:tcBorders>
            <w:shd w:val="clear" w:color="auto" w:fill="auto"/>
            <w:vAlign w:val="center"/>
          </w:tcPr>
          <w:p w14:paraId="528D5056" w14:textId="77777777" w:rsidR="00AF04B6" w:rsidRPr="00AF04B6" w:rsidRDefault="00AF04B6" w:rsidP="003E112B">
            <w:pPr>
              <w:rPr>
                <w:rFonts w:cs="Arial"/>
                <w:bCs w:val="0"/>
                <w:sz w:val="14"/>
                <w:szCs w:val="14"/>
              </w:rPr>
            </w:pPr>
            <w:r w:rsidRPr="00AF04B6">
              <w:rPr>
                <w:rFonts w:cs="Arial"/>
                <w:sz w:val="14"/>
                <w:szCs w:val="14"/>
              </w:rPr>
              <w:t>Event</w:t>
            </w:r>
          </w:p>
        </w:tc>
        <w:tc>
          <w:tcPr>
            <w:tcW w:w="852" w:type="dxa"/>
            <w:vMerge w:val="restart"/>
            <w:tcBorders>
              <w:top w:val="single" w:sz="2" w:space="0" w:color="1F4E79" w:themeColor="accent1" w:themeShade="80"/>
              <w:bottom w:val="single" w:sz="2" w:space="0" w:color="1F4E79" w:themeColor="accent1" w:themeShade="80"/>
            </w:tcBorders>
            <w:shd w:val="clear" w:color="auto" w:fill="auto"/>
            <w:vAlign w:val="center"/>
          </w:tcPr>
          <w:p w14:paraId="124FDE51" w14:textId="77777777" w:rsidR="00AF04B6" w:rsidRPr="00AF04B6" w:rsidRDefault="00AF04B6" w:rsidP="00AE584E">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AF04B6">
              <w:rPr>
                <w:rFonts w:cs="Arial"/>
                <w:bCs w:val="0"/>
                <w:sz w:val="14"/>
                <w:szCs w:val="14"/>
              </w:rPr>
              <w:t>Note</w:t>
            </w:r>
          </w:p>
        </w:tc>
        <w:tc>
          <w:tcPr>
            <w:tcW w:w="1276" w:type="dxa"/>
            <w:vMerge w:val="restart"/>
            <w:tcBorders>
              <w:top w:val="single" w:sz="2" w:space="0" w:color="1F4E79" w:themeColor="accent1" w:themeShade="80"/>
              <w:bottom w:val="single" w:sz="2" w:space="0" w:color="1F4E79" w:themeColor="accent1" w:themeShade="80"/>
            </w:tcBorders>
            <w:shd w:val="clear" w:color="auto" w:fill="auto"/>
            <w:vAlign w:val="center"/>
          </w:tcPr>
          <w:p w14:paraId="1D10928F" w14:textId="77777777" w:rsidR="00AF04B6" w:rsidRPr="00AF04B6" w:rsidRDefault="00AF04B6" w:rsidP="00AE584E">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AF04B6">
              <w:rPr>
                <w:rFonts w:cs="Arial"/>
                <w:sz w:val="14"/>
                <w:szCs w:val="14"/>
              </w:rPr>
              <w:t>Capital</w:t>
            </w:r>
          </w:p>
        </w:tc>
        <w:tc>
          <w:tcPr>
            <w:tcW w:w="993" w:type="dxa"/>
            <w:vMerge w:val="restart"/>
            <w:tcBorders>
              <w:top w:val="single" w:sz="2" w:space="0" w:color="1F4E79" w:themeColor="accent1" w:themeShade="80"/>
              <w:bottom w:val="single" w:sz="2" w:space="0" w:color="1F4E79" w:themeColor="accent1" w:themeShade="80"/>
            </w:tcBorders>
            <w:shd w:val="clear" w:color="auto" w:fill="auto"/>
            <w:vAlign w:val="center"/>
          </w:tcPr>
          <w:p w14:paraId="1FD33638" w14:textId="77777777" w:rsidR="00AF04B6" w:rsidRPr="00AF04B6" w:rsidRDefault="00AF04B6" w:rsidP="003E112B">
            <w:pPr>
              <w:jc w:val="center"/>
              <w:cnfStyle w:val="100000000000" w:firstRow="1" w:lastRow="0" w:firstColumn="0" w:lastColumn="0" w:oddVBand="0" w:evenVBand="0" w:oddHBand="0" w:evenHBand="0" w:firstRowFirstColumn="0" w:firstRowLastColumn="0" w:lastRowFirstColumn="0" w:lastRowLastColumn="0"/>
              <w:rPr>
                <w:rFonts w:cs="Arial"/>
                <w:b w:val="0"/>
                <w:bCs w:val="0"/>
                <w:sz w:val="14"/>
                <w:szCs w:val="14"/>
              </w:rPr>
            </w:pPr>
            <w:r w:rsidRPr="00AF04B6">
              <w:rPr>
                <w:rFonts w:cs="Arial"/>
                <w:sz w:val="14"/>
                <w:szCs w:val="14"/>
              </w:rPr>
              <w:t>Capital Reserves</w:t>
            </w:r>
          </w:p>
        </w:tc>
        <w:tc>
          <w:tcPr>
            <w:tcW w:w="3123" w:type="dxa"/>
            <w:gridSpan w:val="2"/>
            <w:tcBorders>
              <w:top w:val="single" w:sz="2" w:space="0" w:color="1F4E79" w:themeColor="accent1" w:themeShade="80"/>
              <w:bottom w:val="single" w:sz="2" w:space="0" w:color="1F4E79" w:themeColor="accent1" w:themeShade="80"/>
            </w:tcBorders>
            <w:shd w:val="clear" w:color="auto" w:fill="auto"/>
            <w:vAlign w:val="center"/>
          </w:tcPr>
          <w:p w14:paraId="04D3B3A7" w14:textId="77777777" w:rsidR="00AF04B6" w:rsidRPr="00AF04B6" w:rsidRDefault="00AF04B6" w:rsidP="003E112B">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AF04B6">
              <w:rPr>
                <w:rFonts w:cs="Arial"/>
                <w:sz w:val="14"/>
                <w:szCs w:val="14"/>
              </w:rPr>
              <w:t>Profit Reserves</w:t>
            </w:r>
          </w:p>
        </w:tc>
        <w:tc>
          <w:tcPr>
            <w:tcW w:w="1122" w:type="dxa"/>
            <w:vMerge w:val="restart"/>
            <w:tcBorders>
              <w:top w:val="single" w:sz="2" w:space="0" w:color="1F4E79" w:themeColor="accent1" w:themeShade="80"/>
              <w:bottom w:val="single" w:sz="2" w:space="0" w:color="1F4E79" w:themeColor="accent1" w:themeShade="80"/>
            </w:tcBorders>
            <w:shd w:val="clear" w:color="auto" w:fill="auto"/>
            <w:vAlign w:val="center"/>
          </w:tcPr>
          <w:p w14:paraId="489FAEB6" w14:textId="77777777" w:rsidR="00AF04B6" w:rsidRPr="00AF04B6" w:rsidRDefault="00AF04B6" w:rsidP="003E112B">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AF04B6">
              <w:rPr>
                <w:rFonts w:cs="Arial"/>
                <w:sz w:val="14"/>
                <w:szCs w:val="14"/>
              </w:rPr>
              <w:t>Treasury Shares</w:t>
            </w:r>
          </w:p>
        </w:tc>
        <w:tc>
          <w:tcPr>
            <w:tcW w:w="1289" w:type="dxa"/>
            <w:vMerge w:val="restart"/>
            <w:tcBorders>
              <w:top w:val="single" w:sz="2" w:space="0" w:color="1F4E79" w:themeColor="accent1" w:themeShade="80"/>
              <w:bottom w:val="single" w:sz="2" w:space="0" w:color="1F4E79" w:themeColor="accent1" w:themeShade="80"/>
            </w:tcBorders>
            <w:shd w:val="clear" w:color="auto" w:fill="auto"/>
            <w:vAlign w:val="center"/>
          </w:tcPr>
          <w:p w14:paraId="30FE59EE" w14:textId="77777777" w:rsidR="00AF04B6" w:rsidRPr="00AF04B6" w:rsidRDefault="00AF04B6" w:rsidP="003E112B">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AF04B6">
              <w:rPr>
                <w:rFonts w:cs="Arial"/>
                <w:sz w:val="14"/>
                <w:szCs w:val="14"/>
              </w:rPr>
              <w:t>Other accumulated comprehensive income</w:t>
            </w:r>
          </w:p>
        </w:tc>
        <w:tc>
          <w:tcPr>
            <w:tcW w:w="1560" w:type="dxa"/>
            <w:vMerge w:val="restart"/>
            <w:tcBorders>
              <w:top w:val="single" w:sz="2" w:space="0" w:color="1F4E79" w:themeColor="accent1" w:themeShade="80"/>
              <w:bottom w:val="single" w:sz="2" w:space="0" w:color="1F4E79" w:themeColor="accent1" w:themeShade="80"/>
            </w:tcBorders>
            <w:shd w:val="clear" w:color="auto" w:fill="auto"/>
            <w:vAlign w:val="center"/>
          </w:tcPr>
          <w:p w14:paraId="28CCC2D3" w14:textId="77777777" w:rsidR="00AF04B6" w:rsidRPr="00AF04B6" w:rsidRDefault="00AF04B6" w:rsidP="003E112B">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AF04B6">
              <w:rPr>
                <w:rFonts w:cs="Arial"/>
                <w:sz w:val="14"/>
                <w:szCs w:val="14"/>
              </w:rPr>
              <w:t>Retained Earnings/ Accumulated Losses</w:t>
            </w:r>
          </w:p>
        </w:tc>
        <w:tc>
          <w:tcPr>
            <w:tcW w:w="1122" w:type="dxa"/>
            <w:vMerge w:val="restart"/>
            <w:tcBorders>
              <w:top w:val="single" w:sz="2" w:space="0" w:color="1F4E79" w:themeColor="accent1" w:themeShade="80"/>
              <w:bottom w:val="single" w:sz="2" w:space="0" w:color="1F4E79" w:themeColor="accent1" w:themeShade="80"/>
            </w:tcBorders>
            <w:shd w:val="clear" w:color="auto" w:fill="auto"/>
            <w:vAlign w:val="center"/>
          </w:tcPr>
          <w:p w14:paraId="525AD771" w14:textId="77777777" w:rsidR="00AF04B6" w:rsidRPr="00AF04B6" w:rsidRDefault="00AF04B6" w:rsidP="003E112B">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AF04B6">
              <w:rPr>
                <w:rFonts w:cs="Arial"/>
                <w:bCs w:val="0"/>
                <w:sz w:val="14"/>
                <w:szCs w:val="14"/>
              </w:rPr>
              <w:t>Total</w:t>
            </w:r>
          </w:p>
        </w:tc>
      </w:tr>
      <w:tr w:rsidR="00AF04B6" w:rsidRPr="004E4235" w14:paraId="5FB03D76" w14:textId="77777777" w:rsidTr="00A50ADB">
        <w:trPr>
          <w:cnfStyle w:val="000000100000" w:firstRow="0" w:lastRow="0" w:firstColumn="0" w:lastColumn="0" w:oddVBand="0" w:evenVBand="0" w:oddHBand="1" w:evenHBand="0" w:firstRowFirstColumn="0" w:firstRowLastColumn="0" w:lastRowFirstColumn="0" w:lastRowLastColumn="0"/>
          <w:trHeight w:hRule="exact" w:val="408"/>
        </w:trPr>
        <w:tc>
          <w:tcPr>
            <w:cnfStyle w:val="001000000000" w:firstRow="0" w:lastRow="0" w:firstColumn="1" w:lastColumn="0" w:oddVBand="0" w:evenVBand="0" w:oddHBand="0" w:evenHBand="0" w:firstRowFirstColumn="0" w:firstRowLastColumn="0" w:lastRowFirstColumn="0" w:lastRowLastColumn="0"/>
            <w:tcW w:w="3689" w:type="dxa"/>
            <w:vMerge/>
            <w:tcBorders>
              <w:top w:val="nil"/>
              <w:bottom w:val="single" w:sz="2" w:space="0" w:color="1F4E79" w:themeColor="accent1" w:themeShade="80"/>
            </w:tcBorders>
            <w:shd w:val="clear" w:color="auto" w:fill="auto"/>
            <w:vAlign w:val="center"/>
          </w:tcPr>
          <w:p w14:paraId="04FAA547" w14:textId="77777777" w:rsidR="00AF04B6" w:rsidRPr="00AF04B6" w:rsidRDefault="00AF04B6" w:rsidP="003E112B">
            <w:pPr>
              <w:rPr>
                <w:rFonts w:cs="Arial"/>
                <w:sz w:val="14"/>
                <w:szCs w:val="14"/>
              </w:rPr>
            </w:pPr>
          </w:p>
        </w:tc>
        <w:tc>
          <w:tcPr>
            <w:tcW w:w="852" w:type="dxa"/>
            <w:vMerge/>
            <w:tcBorders>
              <w:top w:val="nil"/>
              <w:bottom w:val="single" w:sz="2" w:space="0" w:color="1F4E79" w:themeColor="accent1" w:themeShade="80"/>
            </w:tcBorders>
            <w:shd w:val="clear" w:color="auto" w:fill="auto"/>
            <w:vAlign w:val="center"/>
          </w:tcPr>
          <w:p w14:paraId="1EA34EDE" w14:textId="77777777" w:rsidR="00AF04B6" w:rsidRPr="00AF04B6" w:rsidRDefault="00AF04B6" w:rsidP="003E112B">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76" w:type="dxa"/>
            <w:vMerge/>
            <w:tcBorders>
              <w:top w:val="nil"/>
              <w:bottom w:val="single" w:sz="2" w:space="0" w:color="1F4E79" w:themeColor="accent1" w:themeShade="80"/>
            </w:tcBorders>
            <w:shd w:val="clear" w:color="auto" w:fill="auto"/>
            <w:vAlign w:val="center"/>
          </w:tcPr>
          <w:p w14:paraId="7A155C59" w14:textId="77777777" w:rsidR="00AF04B6" w:rsidRPr="00AF04B6" w:rsidRDefault="00AF04B6" w:rsidP="003E112B">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993" w:type="dxa"/>
            <w:vMerge/>
            <w:tcBorders>
              <w:top w:val="nil"/>
              <w:bottom w:val="single" w:sz="2" w:space="0" w:color="1F4E79" w:themeColor="accent1" w:themeShade="80"/>
            </w:tcBorders>
            <w:shd w:val="clear" w:color="auto" w:fill="auto"/>
            <w:vAlign w:val="center"/>
          </w:tcPr>
          <w:p w14:paraId="2084BEC1" w14:textId="77777777" w:rsidR="00AF04B6" w:rsidRPr="00AF04B6" w:rsidRDefault="00AF04B6" w:rsidP="003E112B">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77" w:type="dxa"/>
            <w:tcBorders>
              <w:top w:val="single" w:sz="2" w:space="0" w:color="1F4E79" w:themeColor="accent1" w:themeShade="80"/>
              <w:bottom w:val="single" w:sz="2" w:space="0" w:color="1F4E79" w:themeColor="accent1" w:themeShade="80"/>
            </w:tcBorders>
            <w:shd w:val="clear" w:color="auto" w:fill="auto"/>
            <w:vAlign w:val="center"/>
          </w:tcPr>
          <w:p w14:paraId="1F96AA16" w14:textId="77777777" w:rsidR="00AF04B6" w:rsidRPr="00AF04B6" w:rsidRDefault="00AF04B6" w:rsidP="003E112B">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AF04B6">
              <w:rPr>
                <w:rFonts w:cs="Arial"/>
                <w:b/>
                <w:sz w:val="14"/>
                <w:szCs w:val="14"/>
              </w:rPr>
              <w:t>Legal Reserve</w:t>
            </w:r>
          </w:p>
        </w:tc>
        <w:tc>
          <w:tcPr>
            <w:tcW w:w="1846" w:type="dxa"/>
            <w:tcBorders>
              <w:top w:val="single" w:sz="2" w:space="0" w:color="1F4E79" w:themeColor="accent1" w:themeShade="80"/>
              <w:bottom w:val="single" w:sz="2" w:space="0" w:color="1F4E79" w:themeColor="accent1" w:themeShade="80"/>
            </w:tcBorders>
            <w:shd w:val="clear" w:color="auto" w:fill="auto"/>
            <w:vAlign w:val="center"/>
          </w:tcPr>
          <w:p w14:paraId="7207DBC4" w14:textId="77777777" w:rsidR="00AF04B6" w:rsidRPr="00AF04B6" w:rsidRDefault="00AF04B6" w:rsidP="003E112B">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AF04B6">
              <w:rPr>
                <w:rFonts w:cs="Arial"/>
                <w:b/>
                <w:sz w:val="14"/>
                <w:szCs w:val="14"/>
              </w:rPr>
              <w:t>Statutory Reserve</w:t>
            </w:r>
          </w:p>
        </w:tc>
        <w:tc>
          <w:tcPr>
            <w:tcW w:w="1122" w:type="dxa"/>
            <w:vMerge/>
            <w:tcBorders>
              <w:top w:val="nil"/>
              <w:bottom w:val="single" w:sz="2" w:space="0" w:color="1F4E79" w:themeColor="accent1" w:themeShade="80"/>
            </w:tcBorders>
            <w:shd w:val="clear" w:color="auto" w:fill="auto"/>
            <w:vAlign w:val="center"/>
          </w:tcPr>
          <w:p w14:paraId="3286DCE0" w14:textId="77777777" w:rsidR="00AF04B6" w:rsidRPr="00AF04B6" w:rsidRDefault="00AF04B6" w:rsidP="003E112B">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89" w:type="dxa"/>
            <w:vMerge/>
            <w:tcBorders>
              <w:top w:val="nil"/>
              <w:bottom w:val="single" w:sz="2" w:space="0" w:color="1F4E79" w:themeColor="accent1" w:themeShade="80"/>
            </w:tcBorders>
            <w:shd w:val="clear" w:color="auto" w:fill="auto"/>
            <w:vAlign w:val="center"/>
          </w:tcPr>
          <w:p w14:paraId="7AD43BC9" w14:textId="77777777" w:rsidR="00AF04B6" w:rsidRPr="00AF04B6" w:rsidRDefault="00AF04B6" w:rsidP="003E112B">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560" w:type="dxa"/>
            <w:vMerge/>
            <w:tcBorders>
              <w:top w:val="nil"/>
              <w:bottom w:val="single" w:sz="2" w:space="0" w:color="1F4E79" w:themeColor="accent1" w:themeShade="80"/>
            </w:tcBorders>
            <w:shd w:val="clear" w:color="auto" w:fill="auto"/>
            <w:vAlign w:val="center"/>
          </w:tcPr>
          <w:p w14:paraId="3B0699FC" w14:textId="77777777" w:rsidR="00AF04B6" w:rsidRPr="00AF04B6" w:rsidRDefault="00AF04B6" w:rsidP="003E112B">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22" w:type="dxa"/>
            <w:vMerge/>
            <w:tcBorders>
              <w:top w:val="nil"/>
              <w:bottom w:val="single" w:sz="2" w:space="0" w:color="1F4E79" w:themeColor="accent1" w:themeShade="80"/>
            </w:tcBorders>
            <w:shd w:val="clear" w:color="auto" w:fill="auto"/>
            <w:vAlign w:val="center"/>
          </w:tcPr>
          <w:p w14:paraId="074E3E14" w14:textId="77777777" w:rsidR="00AF04B6" w:rsidRPr="00AF04B6" w:rsidRDefault="00AF04B6" w:rsidP="003E112B">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r>
      <w:tr w:rsidR="00AF04B6" w:rsidRPr="004E4235" w14:paraId="674003CC" w14:textId="77777777" w:rsidTr="00A50ADB">
        <w:trPr>
          <w:cnfStyle w:val="000000010000" w:firstRow="0" w:lastRow="0" w:firstColumn="0" w:lastColumn="0" w:oddVBand="0" w:evenVBand="0" w:oddHBand="0" w:evenHBand="1"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3689" w:type="dxa"/>
            <w:tcBorders>
              <w:top w:val="single" w:sz="2" w:space="0" w:color="1F4E79" w:themeColor="accent1" w:themeShade="80"/>
              <w:bottom w:val="nil"/>
            </w:tcBorders>
            <w:shd w:val="clear" w:color="auto" w:fill="auto"/>
            <w:vAlign w:val="center"/>
          </w:tcPr>
          <w:p w14:paraId="0732BA8D" w14:textId="77777777" w:rsidR="00AF04B6" w:rsidRPr="00AF04B6" w:rsidRDefault="00AF04B6" w:rsidP="002F6C75">
            <w:pPr>
              <w:keepNext/>
              <w:keepLines/>
              <w:spacing w:before="40" w:after="40"/>
              <w:rPr>
                <w:rFonts w:eastAsia="Times New Roman" w:cs="Arial"/>
                <w:spacing w:val="-2"/>
                <w:sz w:val="14"/>
                <w:szCs w:val="14"/>
                <w:lang w:eastAsia="pt-BR"/>
              </w:rPr>
            </w:pPr>
            <w:r w:rsidRPr="00AF04B6">
              <w:rPr>
                <w:rFonts w:eastAsia="Times New Roman" w:cs="Arial"/>
                <w:spacing w:val="-2"/>
                <w:sz w:val="14"/>
                <w:szCs w:val="14"/>
                <w:lang w:eastAsia="pt-BR"/>
              </w:rPr>
              <w:t>Balances at Dec 31, 2020</w:t>
            </w:r>
          </w:p>
        </w:tc>
        <w:tc>
          <w:tcPr>
            <w:tcW w:w="852" w:type="dxa"/>
            <w:tcBorders>
              <w:top w:val="single" w:sz="2" w:space="0" w:color="1F4E79" w:themeColor="accent1" w:themeShade="80"/>
              <w:bottom w:val="nil"/>
            </w:tcBorders>
            <w:shd w:val="clear" w:color="auto" w:fill="auto"/>
            <w:vAlign w:val="center"/>
          </w:tcPr>
          <w:p w14:paraId="402B6F2A" w14:textId="77777777" w:rsidR="00AF04B6" w:rsidRPr="00AF04B6" w:rsidRDefault="00AF04B6" w:rsidP="002F6C7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276" w:type="dxa"/>
            <w:tcBorders>
              <w:top w:val="single" w:sz="2" w:space="0" w:color="1F4E79" w:themeColor="accent1" w:themeShade="80"/>
              <w:bottom w:val="nil"/>
            </w:tcBorders>
            <w:shd w:val="clear" w:color="auto" w:fill="auto"/>
            <w:vAlign w:val="center"/>
          </w:tcPr>
          <w:p w14:paraId="5D54841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3,396,767</w:t>
            </w:r>
          </w:p>
        </w:tc>
        <w:tc>
          <w:tcPr>
            <w:tcW w:w="993" w:type="dxa"/>
            <w:tcBorders>
              <w:top w:val="single" w:sz="2" w:space="0" w:color="1F4E79" w:themeColor="accent1" w:themeShade="80"/>
              <w:bottom w:val="nil"/>
            </w:tcBorders>
            <w:shd w:val="clear" w:color="auto" w:fill="auto"/>
            <w:vAlign w:val="center"/>
          </w:tcPr>
          <w:p w14:paraId="0E5C1411"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1,588</w:t>
            </w:r>
          </w:p>
        </w:tc>
        <w:tc>
          <w:tcPr>
            <w:tcW w:w="1277" w:type="dxa"/>
            <w:tcBorders>
              <w:top w:val="single" w:sz="2" w:space="0" w:color="1F4E79" w:themeColor="accent1" w:themeShade="80"/>
              <w:bottom w:val="nil"/>
            </w:tcBorders>
            <w:shd w:val="clear" w:color="auto" w:fill="auto"/>
            <w:vAlign w:val="center"/>
          </w:tcPr>
          <w:p w14:paraId="7D7A7C01"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679,354</w:t>
            </w:r>
          </w:p>
        </w:tc>
        <w:tc>
          <w:tcPr>
            <w:tcW w:w="1846" w:type="dxa"/>
            <w:tcBorders>
              <w:top w:val="single" w:sz="2" w:space="0" w:color="1F4E79" w:themeColor="accent1" w:themeShade="80"/>
              <w:bottom w:val="nil"/>
            </w:tcBorders>
            <w:shd w:val="clear" w:color="auto" w:fill="auto"/>
            <w:vAlign w:val="center"/>
          </w:tcPr>
          <w:p w14:paraId="5EF43C88"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2,381,602</w:t>
            </w:r>
          </w:p>
        </w:tc>
        <w:tc>
          <w:tcPr>
            <w:tcW w:w="1122" w:type="dxa"/>
            <w:tcBorders>
              <w:top w:val="single" w:sz="2" w:space="0" w:color="1F4E79" w:themeColor="accent1" w:themeShade="80"/>
              <w:bottom w:val="nil"/>
            </w:tcBorders>
            <w:shd w:val="clear" w:color="auto" w:fill="auto"/>
            <w:vAlign w:val="center"/>
          </w:tcPr>
          <w:p w14:paraId="5AC3052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(82,588)</w:t>
            </w:r>
          </w:p>
        </w:tc>
        <w:tc>
          <w:tcPr>
            <w:tcW w:w="1289" w:type="dxa"/>
            <w:tcBorders>
              <w:top w:val="single" w:sz="2" w:space="0" w:color="1F4E79" w:themeColor="accent1" w:themeShade="80"/>
              <w:bottom w:val="nil"/>
            </w:tcBorders>
            <w:shd w:val="clear" w:color="auto" w:fill="auto"/>
            <w:vAlign w:val="center"/>
          </w:tcPr>
          <w:p w14:paraId="06A9512F"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12,882</w:t>
            </w:r>
          </w:p>
        </w:tc>
        <w:tc>
          <w:tcPr>
            <w:tcW w:w="1560" w:type="dxa"/>
            <w:tcBorders>
              <w:top w:val="single" w:sz="2" w:space="0" w:color="1F4E79" w:themeColor="accent1" w:themeShade="80"/>
              <w:bottom w:val="nil"/>
            </w:tcBorders>
            <w:shd w:val="clear" w:color="auto" w:fill="auto"/>
            <w:vAlign w:val="center"/>
          </w:tcPr>
          <w:p w14:paraId="289C2B67"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w:t>
            </w:r>
          </w:p>
        </w:tc>
        <w:tc>
          <w:tcPr>
            <w:tcW w:w="1122" w:type="dxa"/>
            <w:tcBorders>
              <w:top w:val="single" w:sz="2" w:space="0" w:color="1F4E79" w:themeColor="accent1" w:themeShade="80"/>
              <w:bottom w:val="nil"/>
            </w:tcBorders>
            <w:shd w:val="clear" w:color="auto" w:fill="auto"/>
            <w:vAlign w:val="center"/>
          </w:tcPr>
          <w:p w14:paraId="0A39D228"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6,389,605</w:t>
            </w:r>
          </w:p>
        </w:tc>
      </w:tr>
      <w:tr w:rsidR="00AF04B6" w:rsidRPr="004E4235" w14:paraId="35BA2C99" w14:textId="77777777" w:rsidTr="00A50AD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1DDE9CF3" w14:textId="77777777" w:rsidR="00AF04B6" w:rsidRPr="00AF04B6" w:rsidRDefault="00AF04B6" w:rsidP="002F6C75">
            <w:pPr>
              <w:keepNext/>
              <w:keepLines/>
              <w:spacing w:before="40" w:after="40"/>
              <w:ind w:left="177"/>
              <w:rPr>
                <w:rFonts w:eastAsia="Times New Roman" w:cs="Arial"/>
                <w:b w:val="0"/>
                <w:spacing w:val="-2"/>
                <w:sz w:val="14"/>
                <w:szCs w:val="14"/>
                <w:lang w:eastAsia="pt-BR"/>
              </w:rPr>
            </w:pPr>
            <w:r w:rsidRPr="00AF04B6">
              <w:rPr>
                <w:rFonts w:eastAsia="Times New Roman" w:cs="Arial"/>
                <w:b w:val="0"/>
                <w:spacing w:val="-2"/>
                <w:sz w:val="14"/>
                <w:szCs w:val="14"/>
                <w:lang w:eastAsia="pt-BR"/>
              </w:rPr>
              <w:t>Share-based payment transactions</w:t>
            </w:r>
          </w:p>
        </w:tc>
        <w:tc>
          <w:tcPr>
            <w:tcW w:w="852" w:type="dxa"/>
            <w:tcBorders>
              <w:top w:val="nil"/>
              <w:bottom w:val="nil"/>
            </w:tcBorders>
            <w:shd w:val="clear" w:color="auto" w:fill="auto"/>
            <w:vAlign w:val="center"/>
          </w:tcPr>
          <w:p w14:paraId="0037E914"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76" w:type="dxa"/>
            <w:tcBorders>
              <w:top w:val="nil"/>
              <w:bottom w:val="nil"/>
            </w:tcBorders>
            <w:shd w:val="clear" w:color="auto" w:fill="auto"/>
            <w:vAlign w:val="center"/>
          </w:tcPr>
          <w:p w14:paraId="7BF54CB9"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993" w:type="dxa"/>
            <w:tcBorders>
              <w:top w:val="nil"/>
              <w:bottom w:val="nil"/>
            </w:tcBorders>
            <w:shd w:val="clear" w:color="auto" w:fill="auto"/>
            <w:vAlign w:val="center"/>
          </w:tcPr>
          <w:p w14:paraId="0C8D58B6"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(80)</w:t>
            </w:r>
          </w:p>
        </w:tc>
        <w:tc>
          <w:tcPr>
            <w:tcW w:w="1277" w:type="dxa"/>
            <w:tcBorders>
              <w:top w:val="nil"/>
              <w:bottom w:val="nil"/>
            </w:tcBorders>
            <w:shd w:val="clear" w:color="auto" w:fill="auto"/>
            <w:vAlign w:val="center"/>
          </w:tcPr>
          <w:p w14:paraId="2590F797"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846" w:type="dxa"/>
            <w:tcBorders>
              <w:top w:val="nil"/>
              <w:bottom w:val="nil"/>
            </w:tcBorders>
            <w:shd w:val="clear" w:color="auto" w:fill="auto"/>
            <w:vAlign w:val="center"/>
          </w:tcPr>
          <w:p w14:paraId="45771B8B"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122" w:type="dxa"/>
            <w:tcBorders>
              <w:top w:val="nil"/>
              <w:bottom w:val="nil"/>
            </w:tcBorders>
            <w:shd w:val="clear" w:color="auto" w:fill="auto"/>
            <w:vAlign w:val="center"/>
          </w:tcPr>
          <w:p w14:paraId="05688C79"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z w:val="14"/>
                <w:szCs w:val="14"/>
              </w:rPr>
              <w:t>1,268</w:t>
            </w:r>
          </w:p>
        </w:tc>
        <w:tc>
          <w:tcPr>
            <w:tcW w:w="1289" w:type="dxa"/>
            <w:tcBorders>
              <w:top w:val="nil"/>
              <w:bottom w:val="nil"/>
            </w:tcBorders>
            <w:shd w:val="clear" w:color="auto" w:fill="auto"/>
            <w:vAlign w:val="center"/>
          </w:tcPr>
          <w:p w14:paraId="16E1C3CB"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560" w:type="dxa"/>
            <w:tcBorders>
              <w:top w:val="nil"/>
              <w:bottom w:val="nil"/>
            </w:tcBorders>
            <w:shd w:val="clear" w:color="auto" w:fill="auto"/>
            <w:vAlign w:val="center"/>
          </w:tcPr>
          <w:p w14:paraId="6E21014F"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122" w:type="dxa"/>
            <w:tcBorders>
              <w:top w:val="nil"/>
              <w:bottom w:val="nil"/>
            </w:tcBorders>
            <w:shd w:val="clear" w:color="auto" w:fill="auto"/>
            <w:vAlign w:val="center"/>
          </w:tcPr>
          <w:p w14:paraId="033C273E"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z w:val="14"/>
                <w:szCs w:val="14"/>
              </w:rPr>
              <w:t>1,188</w:t>
            </w:r>
          </w:p>
        </w:tc>
      </w:tr>
      <w:tr w:rsidR="00AF04B6" w:rsidRPr="004E4235" w14:paraId="5840E6FB" w14:textId="77777777" w:rsidTr="00A50ADB">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424DB077" w14:textId="77777777" w:rsidR="00AF04B6" w:rsidRPr="00AF04B6" w:rsidRDefault="00AF04B6" w:rsidP="002F6C75">
            <w:pPr>
              <w:keepNext/>
              <w:keepLines/>
              <w:spacing w:before="40" w:after="40"/>
              <w:ind w:left="177"/>
              <w:rPr>
                <w:rFonts w:eastAsia="Times New Roman" w:cs="Arial"/>
                <w:b w:val="0"/>
                <w:spacing w:val="-2"/>
                <w:sz w:val="14"/>
                <w:szCs w:val="14"/>
                <w:lang w:eastAsia="pt-BR"/>
              </w:rPr>
            </w:pPr>
            <w:r w:rsidRPr="00AF04B6">
              <w:rPr>
                <w:rFonts w:eastAsia="Times New Roman" w:cs="Arial"/>
                <w:b w:val="0"/>
                <w:spacing w:val="-2"/>
                <w:sz w:val="14"/>
                <w:szCs w:val="14"/>
                <w:lang w:eastAsia="pt-BR"/>
              </w:rPr>
              <w:t>Other accumulated comprehensive income</w:t>
            </w:r>
          </w:p>
        </w:tc>
        <w:tc>
          <w:tcPr>
            <w:tcW w:w="852" w:type="dxa"/>
            <w:tcBorders>
              <w:top w:val="nil"/>
              <w:bottom w:val="nil"/>
            </w:tcBorders>
            <w:shd w:val="clear" w:color="auto" w:fill="auto"/>
            <w:vAlign w:val="center"/>
          </w:tcPr>
          <w:p w14:paraId="3977AFA1"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p>
        </w:tc>
        <w:tc>
          <w:tcPr>
            <w:tcW w:w="1276" w:type="dxa"/>
            <w:tcBorders>
              <w:top w:val="nil"/>
              <w:bottom w:val="nil"/>
            </w:tcBorders>
            <w:shd w:val="clear" w:color="auto" w:fill="auto"/>
            <w:vAlign w:val="center"/>
          </w:tcPr>
          <w:p w14:paraId="3F998AA1"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993" w:type="dxa"/>
            <w:tcBorders>
              <w:top w:val="nil"/>
              <w:bottom w:val="nil"/>
            </w:tcBorders>
            <w:shd w:val="clear" w:color="auto" w:fill="auto"/>
            <w:vAlign w:val="center"/>
          </w:tcPr>
          <w:p w14:paraId="006825D9"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277" w:type="dxa"/>
            <w:tcBorders>
              <w:top w:val="nil"/>
              <w:bottom w:val="nil"/>
            </w:tcBorders>
            <w:shd w:val="clear" w:color="auto" w:fill="auto"/>
            <w:vAlign w:val="center"/>
          </w:tcPr>
          <w:p w14:paraId="3680A3C4"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846" w:type="dxa"/>
            <w:tcBorders>
              <w:top w:val="nil"/>
              <w:bottom w:val="nil"/>
            </w:tcBorders>
            <w:shd w:val="clear" w:color="auto" w:fill="auto"/>
            <w:vAlign w:val="center"/>
          </w:tcPr>
          <w:p w14:paraId="001756F2"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122" w:type="dxa"/>
            <w:tcBorders>
              <w:top w:val="nil"/>
              <w:bottom w:val="nil"/>
            </w:tcBorders>
            <w:shd w:val="clear" w:color="auto" w:fill="auto"/>
            <w:vAlign w:val="center"/>
          </w:tcPr>
          <w:p w14:paraId="1A6F4162"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289" w:type="dxa"/>
            <w:tcBorders>
              <w:top w:val="nil"/>
              <w:bottom w:val="nil"/>
            </w:tcBorders>
            <w:shd w:val="clear" w:color="auto" w:fill="auto"/>
            <w:vAlign w:val="center"/>
          </w:tcPr>
          <w:p w14:paraId="392BFA4F"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(171,346)</w:t>
            </w:r>
          </w:p>
        </w:tc>
        <w:tc>
          <w:tcPr>
            <w:tcW w:w="1560" w:type="dxa"/>
            <w:tcBorders>
              <w:top w:val="nil"/>
              <w:bottom w:val="nil"/>
            </w:tcBorders>
            <w:shd w:val="clear" w:color="auto" w:fill="auto"/>
            <w:vAlign w:val="center"/>
          </w:tcPr>
          <w:p w14:paraId="672E888D"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122" w:type="dxa"/>
            <w:tcBorders>
              <w:top w:val="nil"/>
              <w:bottom w:val="nil"/>
            </w:tcBorders>
            <w:shd w:val="clear" w:color="auto" w:fill="auto"/>
            <w:vAlign w:val="center"/>
          </w:tcPr>
          <w:p w14:paraId="7F396767"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z w:val="14"/>
                <w:szCs w:val="14"/>
              </w:rPr>
              <w:t>(171,346)</w:t>
            </w:r>
          </w:p>
        </w:tc>
      </w:tr>
      <w:tr w:rsidR="00AF04B6" w:rsidRPr="004E4235" w14:paraId="3AC6F2AE" w14:textId="77777777" w:rsidTr="00A50AD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4CEA2218" w14:textId="77777777" w:rsidR="00AF04B6" w:rsidRPr="00AF04B6" w:rsidRDefault="00AF04B6" w:rsidP="002F6C75">
            <w:pPr>
              <w:keepNext/>
              <w:keepLines/>
              <w:spacing w:before="40" w:after="40"/>
              <w:ind w:left="177"/>
              <w:rPr>
                <w:rFonts w:cs="Arial"/>
                <w:sz w:val="14"/>
                <w:szCs w:val="14"/>
                <w:lang w:val="en-US"/>
              </w:rPr>
            </w:pPr>
            <w:r w:rsidRPr="00AF04B6">
              <w:rPr>
                <w:rFonts w:cs="Arial"/>
                <w:b w:val="0"/>
                <w:bCs w:val="0"/>
                <w:sz w:val="14"/>
                <w:szCs w:val="14"/>
              </w:rPr>
              <w:t>Expired dividends</w:t>
            </w:r>
          </w:p>
        </w:tc>
        <w:tc>
          <w:tcPr>
            <w:tcW w:w="852" w:type="dxa"/>
            <w:tcBorders>
              <w:top w:val="nil"/>
              <w:bottom w:val="nil"/>
            </w:tcBorders>
            <w:shd w:val="clear" w:color="auto" w:fill="auto"/>
            <w:vAlign w:val="center"/>
          </w:tcPr>
          <w:p w14:paraId="4D2AD6AC"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76" w:type="dxa"/>
            <w:tcBorders>
              <w:top w:val="nil"/>
              <w:bottom w:val="nil"/>
            </w:tcBorders>
            <w:shd w:val="clear" w:color="auto" w:fill="auto"/>
            <w:vAlign w:val="center"/>
          </w:tcPr>
          <w:p w14:paraId="7F7A6A29"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spacing w:val="-2"/>
                <w:sz w:val="14"/>
                <w:szCs w:val="14"/>
                <w:lang w:eastAsia="pt-BR"/>
              </w:rPr>
              <w:t>--</w:t>
            </w:r>
          </w:p>
        </w:tc>
        <w:tc>
          <w:tcPr>
            <w:tcW w:w="993" w:type="dxa"/>
            <w:tcBorders>
              <w:top w:val="nil"/>
              <w:bottom w:val="nil"/>
            </w:tcBorders>
            <w:shd w:val="clear" w:color="auto" w:fill="auto"/>
            <w:vAlign w:val="center"/>
          </w:tcPr>
          <w:p w14:paraId="16479365"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spacing w:val="-2"/>
                <w:sz w:val="14"/>
                <w:szCs w:val="14"/>
                <w:lang w:eastAsia="pt-BR"/>
              </w:rPr>
              <w:t>--</w:t>
            </w:r>
          </w:p>
        </w:tc>
        <w:tc>
          <w:tcPr>
            <w:tcW w:w="1277" w:type="dxa"/>
            <w:tcBorders>
              <w:top w:val="nil"/>
              <w:bottom w:val="nil"/>
            </w:tcBorders>
            <w:shd w:val="clear" w:color="auto" w:fill="auto"/>
            <w:vAlign w:val="center"/>
          </w:tcPr>
          <w:p w14:paraId="52EE3DC4"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spacing w:val="-2"/>
                <w:sz w:val="14"/>
                <w:szCs w:val="14"/>
                <w:lang w:eastAsia="pt-BR"/>
              </w:rPr>
              <w:t>--</w:t>
            </w:r>
          </w:p>
        </w:tc>
        <w:tc>
          <w:tcPr>
            <w:tcW w:w="1846" w:type="dxa"/>
            <w:tcBorders>
              <w:top w:val="nil"/>
              <w:bottom w:val="nil"/>
            </w:tcBorders>
            <w:shd w:val="clear" w:color="auto" w:fill="auto"/>
            <w:vAlign w:val="center"/>
          </w:tcPr>
          <w:p w14:paraId="18C46B43"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spacing w:val="-2"/>
                <w:sz w:val="14"/>
                <w:szCs w:val="14"/>
                <w:lang w:eastAsia="pt-BR"/>
              </w:rPr>
              <w:t>--</w:t>
            </w:r>
          </w:p>
        </w:tc>
        <w:tc>
          <w:tcPr>
            <w:tcW w:w="1122" w:type="dxa"/>
            <w:tcBorders>
              <w:top w:val="nil"/>
              <w:bottom w:val="nil"/>
            </w:tcBorders>
            <w:shd w:val="clear" w:color="auto" w:fill="auto"/>
            <w:vAlign w:val="center"/>
          </w:tcPr>
          <w:p w14:paraId="4253A1C3"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spacing w:val="-2"/>
                <w:sz w:val="14"/>
                <w:szCs w:val="14"/>
                <w:lang w:eastAsia="pt-BR"/>
              </w:rPr>
              <w:t>--</w:t>
            </w:r>
          </w:p>
        </w:tc>
        <w:tc>
          <w:tcPr>
            <w:tcW w:w="1289" w:type="dxa"/>
            <w:tcBorders>
              <w:top w:val="nil"/>
              <w:bottom w:val="nil"/>
            </w:tcBorders>
            <w:shd w:val="clear" w:color="auto" w:fill="auto"/>
            <w:vAlign w:val="center"/>
          </w:tcPr>
          <w:p w14:paraId="1D718711"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spacing w:val="-2"/>
                <w:sz w:val="14"/>
                <w:szCs w:val="14"/>
                <w:lang w:eastAsia="pt-BR"/>
              </w:rPr>
              <w:t>--</w:t>
            </w:r>
          </w:p>
        </w:tc>
        <w:tc>
          <w:tcPr>
            <w:tcW w:w="1560" w:type="dxa"/>
            <w:tcBorders>
              <w:top w:val="nil"/>
              <w:bottom w:val="nil"/>
            </w:tcBorders>
            <w:shd w:val="clear" w:color="auto" w:fill="auto"/>
            <w:vAlign w:val="center"/>
          </w:tcPr>
          <w:p w14:paraId="275746C2"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spacing w:val="-2"/>
                <w:sz w:val="14"/>
                <w:szCs w:val="14"/>
                <w:lang w:eastAsia="pt-BR"/>
              </w:rPr>
              <w:t>45</w:t>
            </w:r>
          </w:p>
        </w:tc>
        <w:tc>
          <w:tcPr>
            <w:tcW w:w="1122" w:type="dxa"/>
            <w:tcBorders>
              <w:top w:val="nil"/>
              <w:bottom w:val="nil"/>
            </w:tcBorders>
            <w:shd w:val="clear" w:color="auto" w:fill="auto"/>
            <w:vAlign w:val="center"/>
          </w:tcPr>
          <w:p w14:paraId="5A424110"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sz w:val="14"/>
                <w:szCs w:val="14"/>
              </w:rPr>
              <w:t>45</w:t>
            </w:r>
          </w:p>
        </w:tc>
      </w:tr>
      <w:tr w:rsidR="00AF04B6" w:rsidRPr="004E4235" w14:paraId="07BE7591" w14:textId="77777777" w:rsidTr="00A50ADB">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7D58DE51" w14:textId="77777777" w:rsidR="00AF04B6" w:rsidRPr="00AF04B6" w:rsidRDefault="00AF04B6" w:rsidP="002F6C75">
            <w:pPr>
              <w:keepNext/>
              <w:keepLines/>
              <w:spacing w:before="40" w:after="40"/>
              <w:rPr>
                <w:rFonts w:eastAsia="Times New Roman" w:cs="Arial"/>
                <w:spacing w:val="-2"/>
                <w:sz w:val="14"/>
                <w:szCs w:val="14"/>
                <w:lang w:val="en-US" w:eastAsia="pt-BR"/>
              </w:rPr>
            </w:pPr>
            <w:r w:rsidRPr="00AF04B6">
              <w:rPr>
                <w:rFonts w:cs="Arial"/>
                <w:sz w:val="14"/>
                <w:szCs w:val="14"/>
                <w:lang w:val="en-US"/>
              </w:rPr>
              <w:t>Net income for the period</w:t>
            </w:r>
          </w:p>
        </w:tc>
        <w:tc>
          <w:tcPr>
            <w:tcW w:w="852" w:type="dxa"/>
            <w:tcBorders>
              <w:top w:val="nil"/>
              <w:bottom w:val="nil"/>
            </w:tcBorders>
            <w:shd w:val="clear" w:color="auto" w:fill="auto"/>
            <w:vAlign w:val="center"/>
          </w:tcPr>
          <w:p w14:paraId="5555B2D9"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val="en-US" w:eastAsia="pt-BR"/>
              </w:rPr>
            </w:pPr>
          </w:p>
        </w:tc>
        <w:tc>
          <w:tcPr>
            <w:tcW w:w="1276" w:type="dxa"/>
            <w:tcBorders>
              <w:top w:val="nil"/>
              <w:bottom w:val="nil"/>
            </w:tcBorders>
            <w:shd w:val="clear" w:color="auto" w:fill="auto"/>
            <w:vAlign w:val="center"/>
          </w:tcPr>
          <w:p w14:paraId="53BB1E8D"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w:t>
            </w:r>
          </w:p>
        </w:tc>
        <w:tc>
          <w:tcPr>
            <w:tcW w:w="993" w:type="dxa"/>
            <w:tcBorders>
              <w:top w:val="nil"/>
              <w:bottom w:val="nil"/>
            </w:tcBorders>
            <w:shd w:val="clear" w:color="auto" w:fill="auto"/>
            <w:vAlign w:val="center"/>
          </w:tcPr>
          <w:p w14:paraId="4C8FDA6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w:t>
            </w:r>
          </w:p>
        </w:tc>
        <w:tc>
          <w:tcPr>
            <w:tcW w:w="1277" w:type="dxa"/>
            <w:tcBorders>
              <w:top w:val="nil"/>
              <w:bottom w:val="nil"/>
            </w:tcBorders>
            <w:shd w:val="clear" w:color="auto" w:fill="auto"/>
            <w:vAlign w:val="center"/>
          </w:tcPr>
          <w:p w14:paraId="45BA1FFF"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w:t>
            </w:r>
          </w:p>
        </w:tc>
        <w:tc>
          <w:tcPr>
            <w:tcW w:w="1846" w:type="dxa"/>
            <w:tcBorders>
              <w:top w:val="nil"/>
              <w:bottom w:val="nil"/>
            </w:tcBorders>
            <w:shd w:val="clear" w:color="auto" w:fill="auto"/>
            <w:vAlign w:val="center"/>
          </w:tcPr>
          <w:p w14:paraId="106A422C"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w:t>
            </w:r>
          </w:p>
        </w:tc>
        <w:tc>
          <w:tcPr>
            <w:tcW w:w="1122" w:type="dxa"/>
            <w:tcBorders>
              <w:top w:val="nil"/>
              <w:bottom w:val="nil"/>
            </w:tcBorders>
            <w:shd w:val="clear" w:color="auto" w:fill="auto"/>
            <w:vAlign w:val="center"/>
          </w:tcPr>
          <w:p w14:paraId="57793EDE"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w:t>
            </w:r>
          </w:p>
        </w:tc>
        <w:tc>
          <w:tcPr>
            <w:tcW w:w="1289" w:type="dxa"/>
            <w:tcBorders>
              <w:top w:val="nil"/>
              <w:bottom w:val="nil"/>
            </w:tcBorders>
            <w:shd w:val="clear" w:color="auto" w:fill="auto"/>
            <w:vAlign w:val="center"/>
          </w:tcPr>
          <w:p w14:paraId="616D9CEB"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w:t>
            </w:r>
          </w:p>
        </w:tc>
        <w:tc>
          <w:tcPr>
            <w:tcW w:w="1560" w:type="dxa"/>
            <w:tcBorders>
              <w:top w:val="nil"/>
              <w:bottom w:val="nil"/>
            </w:tcBorders>
            <w:shd w:val="clear" w:color="auto" w:fill="auto"/>
            <w:vAlign w:val="center"/>
          </w:tcPr>
          <w:p w14:paraId="4529CE2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z w:val="14"/>
                <w:szCs w:val="14"/>
              </w:rPr>
              <w:t>3,933,217</w:t>
            </w:r>
          </w:p>
        </w:tc>
        <w:tc>
          <w:tcPr>
            <w:tcW w:w="1122" w:type="dxa"/>
            <w:tcBorders>
              <w:top w:val="nil"/>
              <w:bottom w:val="nil"/>
            </w:tcBorders>
            <w:shd w:val="clear" w:color="auto" w:fill="auto"/>
            <w:vAlign w:val="center"/>
          </w:tcPr>
          <w:p w14:paraId="6FD6350F"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z w:val="14"/>
                <w:szCs w:val="14"/>
              </w:rPr>
              <w:t>3,933,217</w:t>
            </w:r>
          </w:p>
        </w:tc>
      </w:tr>
      <w:tr w:rsidR="00AF04B6" w:rsidRPr="004E4235" w14:paraId="388D3935" w14:textId="77777777" w:rsidTr="00A50ADB">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30B0EB8E" w14:textId="77777777" w:rsidR="00AF04B6" w:rsidRPr="00AF04B6" w:rsidRDefault="00AF04B6" w:rsidP="002F6C75">
            <w:pPr>
              <w:keepNext/>
              <w:keepLines/>
              <w:spacing w:before="40" w:after="40"/>
              <w:rPr>
                <w:rFonts w:cs="Arial"/>
                <w:sz w:val="14"/>
                <w:szCs w:val="14"/>
                <w:lang w:val="en-US"/>
              </w:rPr>
            </w:pPr>
            <w:r w:rsidRPr="00AF04B6">
              <w:rPr>
                <w:bCs w:val="0"/>
                <w:sz w:val="14"/>
                <w:szCs w:val="14"/>
              </w:rPr>
              <w:t>Destinations</w:t>
            </w:r>
            <w:r w:rsidRPr="00AF04B6">
              <w:rPr>
                <w:b w:val="0"/>
                <w:bCs w:val="0"/>
                <w:sz w:val="14"/>
                <w:szCs w:val="14"/>
              </w:rPr>
              <w:t xml:space="preserve"> - Profit Reserves</w:t>
            </w:r>
          </w:p>
        </w:tc>
        <w:tc>
          <w:tcPr>
            <w:tcW w:w="852" w:type="dxa"/>
            <w:tcBorders>
              <w:top w:val="nil"/>
              <w:bottom w:val="nil"/>
            </w:tcBorders>
            <w:shd w:val="clear" w:color="auto" w:fill="auto"/>
            <w:vAlign w:val="center"/>
          </w:tcPr>
          <w:p w14:paraId="0E49830D"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76" w:type="dxa"/>
            <w:tcBorders>
              <w:top w:val="nil"/>
              <w:bottom w:val="nil"/>
            </w:tcBorders>
            <w:shd w:val="clear" w:color="auto" w:fill="auto"/>
            <w:vAlign w:val="center"/>
          </w:tcPr>
          <w:p w14:paraId="353542BE"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w:t>
            </w:r>
          </w:p>
        </w:tc>
        <w:tc>
          <w:tcPr>
            <w:tcW w:w="993" w:type="dxa"/>
            <w:tcBorders>
              <w:top w:val="nil"/>
              <w:bottom w:val="nil"/>
            </w:tcBorders>
            <w:shd w:val="clear" w:color="auto" w:fill="auto"/>
            <w:vAlign w:val="center"/>
          </w:tcPr>
          <w:p w14:paraId="574E55A1"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w:t>
            </w:r>
          </w:p>
        </w:tc>
        <w:tc>
          <w:tcPr>
            <w:tcW w:w="1277" w:type="dxa"/>
            <w:tcBorders>
              <w:top w:val="nil"/>
              <w:bottom w:val="nil"/>
            </w:tcBorders>
            <w:shd w:val="clear" w:color="auto" w:fill="auto"/>
            <w:vAlign w:val="center"/>
          </w:tcPr>
          <w:p w14:paraId="7337DCD3"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w:t>
            </w:r>
          </w:p>
        </w:tc>
        <w:tc>
          <w:tcPr>
            <w:tcW w:w="1846" w:type="dxa"/>
            <w:tcBorders>
              <w:top w:val="nil"/>
              <w:bottom w:val="nil"/>
            </w:tcBorders>
            <w:shd w:val="clear" w:color="auto" w:fill="auto"/>
            <w:vAlign w:val="center"/>
          </w:tcPr>
          <w:p w14:paraId="411F749A"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1,061,969</w:t>
            </w:r>
          </w:p>
        </w:tc>
        <w:tc>
          <w:tcPr>
            <w:tcW w:w="1122" w:type="dxa"/>
            <w:tcBorders>
              <w:top w:val="nil"/>
              <w:bottom w:val="nil"/>
            </w:tcBorders>
            <w:shd w:val="clear" w:color="auto" w:fill="auto"/>
            <w:vAlign w:val="center"/>
          </w:tcPr>
          <w:p w14:paraId="6EC90BCA"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w:t>
            </w:r>
          </w:p>
        </w:tc>
        <w:tc>
          <w:tcPr>
            <w:tcW w:w="1289" w:type="dxa"/>
            <w:tcBorders>
              <w:top w:val="nil"/>
              <w:bottom w:val="nil"/>
            </w:tcBorders>
            <w:shd w:val="clear" w:color="auto" w:fill="auto"/>
            <w:vAlign w:val="center"/>
          </w:tcPr>
          <w:p w14:paraId="31D6280A"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cs="Arial"/>
                <w:bCs/>
                <w:sz w:val="14"/>
                <w:szCs w:val="14"/>
              </w:rPr>
              <w:t>--</w:t>
            </w:r>
          </w:p>
        </w:tc>
        <w:tc>
          <w:tcPr>
            <w:tcW w:w="1560" w:type="dxa"/>
            <w:tcBorders>
              <w:top w:val="nil"/>
              <w:bottom w:val="nil"/>
            </w:tcBorders>
            <w:shd w:val="clear" w:color="auto" w:fill="auto"/>
            <w:vAlign w:val="center"/>
          </w:tcPr>
          <w:p w14:paraId="7FCAD195"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F04B6">
              <w:rPr>
                <w:rFonts w:eastAsia="Times New Roman" w:cs="Arial"/>
                <w:bCs/>
                <w:sz w:val="14"/>
                <w:szCs w:val="14"/>
              </w:rPr>
              <w:t>(1,061,969)</w:t>
            </w:r>
          </w:p>
        </w:tc>
        <w:tc>
          <w:tcPr>
            <w:tcW w:w="1122" w:type="dxa"/>
            <w:tcBorders>
              <w:top w:val="nil"/>
              <w:bottom w:val="nil"/>
            </w:tcBorders>
            <w:shd w:val="clear" w:color="auto" w:fill="auto"/>
            <w:vAlign w:val="center"/>
          </w:tcPr>
          <w:p w14:paraId="22D74C0C"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F04B6">
              <w:rPr>
                <w:rFonts w:eastAsia="Times New Roman" w:cs="Arial"/>
                <w:bCs/>
                <w:sz w:val="14"/>
                <w:szCs w:val="14"/>
              </w:rPr>
              <w:t>--</w:t>
            </w:r>
          </w:p>
        </w:tc>
      </w:tr>
      <w:tr w:rsidR="00AF04B6" w:rsidRPr="004E4235" w14:paraId="2BE996E4" w14:textId="77777777" w:rsidTr="00A50ADB">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1CD87FB9" w14:textId="77777777" w:rsidR="00AF04B6" w:rsidRPr="00AF04B6" w:rsidRDefault="00AF04B6" w:rsidP="002F6C75">
            <w:pPr>
              <w:keepNext/>
              <w:keepLines/>
              <w:spacing w:before="40" w:after="40"/>
              <w:rPr>
                <w:rFonts w:cs="Arial"/>
                <w:sz w:val="14"/>
                <w:szCs w:val="14"/>
                <w:lang w:val="en-US"/>
              </w:rPr>
            </w:pPr>
            <w:r w:rsidRPr="00AF04B6">
              <w:rPr>
                <w:b w:val="0"/>
                <w:bCs w:val="0"/>
                <w:sz w:val="14"/>
                <w:szCs w:val="14"/>
                <w:lang w:val="en-US"/>
              </w:rPr>
              <w:t xml:space="preserve">                      - Intermediary dividends payable</w:t>
            </w:r>
          </w:p>
        </w:tc>
        <w:tc>
          <w:tcPr>
            <w:tcW w:w="852" w:type="dxa"/>
            <w:tcBorders>
              <w:top w:val="nil"/>
              <w:bottom w:val="nil"/>
            </w:tcBorders>
            <w:shd w:val="clear" w:color="auto" w:fill="auto"/>
            <w:vAlign w:val="center"/>
          </w:tcPr>
          <w:p w14:paraId="38A88B0A"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276" w:type="dxa"/>
            <w:tcBorders>
              <w:top w:val="nil"/>
              <w:bottom w:val="nil"/>
            </w:tcBorders>
            <w:shd w:val="clear" w:color="auto" w:fill="auto"/>
            <w:vAlign w:val="center"/>
          </w:tcPr>
          <w:p w14:paraId="34EAC644"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w:t>
            </w:r>
          </w:p>
        </w:tc>
        <w:tc>
          <w:tcPr>
            <w:tcW w:w="993" w:type="dxa"/>
            <w:tcBorders>
              <w:top w:val="nil"/>
              <w:bottom w:val="nil"/>
            </w:tcBorders>
            <w:shd w:val="clear" w:color="auto" w:fill="auto"/>
            <w:vAlign w:val="center"/>
          </w:tcPr>
          <w:p w14:paraId="2DC4EB0E"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w:t>
            </w:r>
          </w:p>
        </w:tc>
        <w:tc>
          <w:tcPr>
            <w:tcW w:w="1277" w:type="dxa"/>
            <w:tcBorders>
              <w:top w:val="nil"/>
              <w:bottom w:val="nil"/>
            </w:tcBorders>
            <w:shd w:val="clear" w:color="auto" w:fill="auto"/>
            <w:vAlign w:val="center"/>
          </w:tcPr>
          <w:p w14:paraId="767A5572"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w:t>
            </w:r>
          </w:p>
        </w:tc>
        <w:tc>
          <w:tcPr>
            <w:tcW w:w="1846" w:type="dxa"/>
            <w:tcBorders>
              <w:top w:val="nil"/>
              <w:bottom w:val="nil"/>
            </w:tcBorders>
            <w:shd w:val="clear" w:color="auto" w:fill="auto"/>
            <w:vAlign w:val="center"/>
          </w:tcPr>
          <w:p w14:paraId="4E2CDCB1"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w:t>
            </w:r>
          </w:p>
        </w:tc>
        <w:tc>
          <w:tcPr>
            <w:tcW w:w="1122" w:type="dxa"/>
            <w:tcBorders>
              <w:top w:val="nil"/>
              <w:bottom w:val="nil"/>
            </w:tcBorders>
            <w:shd w:val="clear" w:color="auto" w:fill="auto"/>
            <w:vAlign w:val="center"/>
          </w:tcPr>
          <w:p w14:paraId="2A1B49E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w:t>
            </w:r>
          </w:p>
        </w:tc>
        <w:tc>
          <w:tcPr>
            <w:tcW w:w="1289" w:type="dxa"/>
            <w:tcBorders>
              <w:top w:val="nil"/>
              <w:bottom w:val="nil"/>
            </w:tcBorders>
            <w:shd w:val="clear" w:color="auto" w:fill="auto"/>
            <w:vAlign w:val="center"/>
          </w:tcPr>
          <w:p w14:paraId="73EE96A0"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Cs/>
                <w:sz w:val="14"/>
                <w:szCs w:val="14"/>
              </w:rPr>
              <w:t>--</w:t>
            </w:r>
          </w:p>
        </w:tc>
        <w:tc>
          <w:tcPr>
            <w:tcW w:w="1560" w:type="dxa"/>
            <w:tcBorders>
              <w:top w:val="nil"/>
              <w:bottom w:val="nil"/>
            </w:tcBorders>
            <w:shd w:val="clear" w:color="auto" w:fill="auto"/>
            <w:vAlign w:val="center"/>
          </w:tcPr>
          <w:p w14:paraId="2315806C"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F04B6">
              <w:rPr>
                <w:rFonts w:eastAsia="Times New Roman" w:cs="Arial"/>
                <w:bCs/>
                <w:sz w:val="14"/>
                <w:szCs w:val="14"/>
              </w:rPr>
              <w:t>(1,040,024)</w:t>
            </w:r>
          </w:p>
        </w:tc>
        <w:tc>
          <w:tcPr>
            <w:tcW w:w="1122" w:type="dxa"/>
            <w:tcBorders>
              <w:top w:val="nil"/>
              <w:bottom w:val="nil"/>
            </w:tcBorders>
            <w:shd w:val="clear" w:color="auto" w:fill="auto"/>
            <w:vAlign w:val="center"/>
          </w:tcPr>
          <w:p w14:paraId="0AEC724C"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F04B6">
              <w:rPr>
                <w:rFonts w:eastAsia="Times New Roman" w:cs="Arial"/>
                <w:bCs/>
                <w:sz w:val="14"/>
                <w:szCs w:val="14"/>
              </w:rPr>
              <w:t>(1,040,024)</w:t>
            </w:r>
          </w:p>
        </w:tc>
      </w:tr>
      <w:tr w:rsidR="00AF04B6" w:rsidRPr="004E4235" w14:paraId="29E5ECDB" w14:textId="77777777" w:rsidTr="002F6C7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689" w:type="dxa"/>
            <w:tcBorders>
              <w:top w:val="nil"/>
              <w:bottom w:val="single" w:sz="4" w:space="0" w:color="1F4E79" w:themeColor="accent1" w:themeShade="80"/>
            </w:tcBorders>
            <w:shd w:val="clear" w:color="auto" w:fill="auto"/>
            <w:vAlign w:val="center"/>
          </w:tcPr>
          <w:p w14:paraId="3B4E7508" w14:textId="77777777" w:rsidR="00AF04B6" w:rsidRPr="00AF04B6" w:rsidRDefault="00AF04B6" w:rsidP="002F6C75">
            <w:pPr>
              <w:keepNext/>
              <w:keepLines/>
              <w:spacing w:before="40" w:after="40"/>
              <w:rPr>
                <w:rFonts w:eastAsia="Times New Roman" w:cs="Arial"/>
                <w:b w:val="0"/>
                <w:spacing w:val="-2"/>
                <w:sz w:val="14"/>
                <w:szCs w:val="14"/>
                <w:lang w:val="en-US" w:eastAsia="pt-BR"/>
              </w:rPr>
            </w:pPr>
            <w:r w:rsidRPr="00AF04B6">
              <w:rPr>
                <w:b w:val="0"/>
                <w:sz w:val="14"/>
                <w:szCs w:val="14"/>
              </w:rPr>
              <w:t xml:space="preserve">                      - Proposed dividends</w:t>
            </w:r>
          </w:p>
        </w:tc>
        <w:tc>
          <w:tcPr>
            <w:tcW w:w="852" w:type="dxa"/>
            <w:tcBorders>
              <w:top w:val="nil"/>
              <w:bottom w:val="single" w:sz="4" w:space="0" w:color="1F4E79" w:themeColor="accent1" w:themeShade="80"/>
            </w:tcBorders>
            <w:shd w:val="clear" w:color="auto" w:fill="auto"/>
            <w:vAlign w:val="center"/>
          </w:tcPr>
          <w:p w14:paraId="4BEC8354"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val="en-US" w:eastAsia="pt-BR"/>
              </w:rPr>
            </w:pPr>
          </w:p>
        </w:tc>
        <w:tc>
          <w:tcPr>
            <w:tcW w:w="1276" w:type="dxa"/>
            <w:tcBorders>
              <w:top w:val="nil"/>
              <w:bottom w:val="single" w:sz="4" w:space="0" w:color="1F4E79" w:themeColor="accent1" w:themeShade="80"/>
            </w:tcBorders>
            <w:shd w:val="clear" w:color="auto" w:fill="auto"/>
            <w:vAlign w:val="center"/>
          </w:tcPr>
          <w:p w14:paraId="4B771C09"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Cs/>
                <w:spacing w:val="-2"/>
                <w:sz w:val="14"/>
                <w:szCs w:val="14"/>
                <w:lang w:eastAsia="pt-BR"/>
              </w:rPr>
              <w:t>--</w:t>
            </w:r>
          </w:p>
        </w:tc>
        <w:tc>
          <w:tcPr>
            <w:tcW w:w="993" w:type="dxa"/>
            <w:tcBorders>
              <w:top w:val="nil"/>
              <w:bottom w:val="single" w:sz="4" w:space="0" w:color="1F4E79" w:themeColor="accent1" w:themeShade="80"/>
            </w:tcBorders>
            <w:shd w:val="clear" w:color="auto" w:fill="auto"/>
            <w:vAlign w:val="center"/>
          </w:tcPr>
          <w:p w14:paraId="337B5C0A"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Cs/>
                <w:spacing w:val="-2"/>
                <w:sz w:val="14"/>
                <w:szCs w:val="14"/>
                <w:lang w:eastAsia="pt-BR"/>
              </w:rPr>
              <w:t>--</w:t>
            </w:r>
          </w:p>
        </w:tc>
        <w:tc>
          <w:tcPr>
            <w:tcW w:w="1277" w:type="dxa"/>
            <w:tcBorders>
              <w:top w:val="nil"/>
              <w:bottom w:val="single" w:sz="4" w:space="0" w:color="1F4E79" w:themeColor="accent1" w:themeShade="80"/>
            </w:tcBorders>
            <w:shd w:val="clear" w:color="auto" w:fill="auto"/>
            <w:vAlign w:val="center"/>
          </w:tcPr>
          <w:p w14:paraId="1E86AC26"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Cs/>
                <w:spacing w:val="-2"/>
                <w:sz w:val="14"/>
                <w:szCs w:val="14"/>
                <w:lang w:eastAsia="pt-BR"/>
              </w:rPr>
              <w:t>--</w:t>
            </w:r>
          </w:p>
        </w:tc>
        <w:tc>
          <w:tcPr>
            <w:tcW w:w="1846" w:type="dxa"/>
            <w:tcBorders>
              <w:top w:val="nil"/>
              <w:bottom w:val="single" w:sz="4" w:space="0" w:color="1F4E79" w:themeColor="accent1" w:themeShade="80"/>
            </w:tcBorders>
            <w:shd w:val="clear" w:color="auto" w:fill="auto"/>
            <w:vAlign w:val="center"/>
          </w:tcPr>
          <w:p w14:paraId="2F86F058"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Cs/>
                <w:spacing w:val="-2"/>
                <w:sz w:val="14"/>
                <w:szCs w:val="14"/>
                <w:lang w:eastAsia="pt-BR"/>
              </w:rPr>
              <w:t>--</w:t>
            </w:r>
          </w:p>
        </w:tc>
        <w:tc>
          <w:tcPr>
            <w:tcW w:w="1122" w:type="dxa"/>
            <w:tcBorders>
              <w:top w:val="nil"/>
              <w:bottom w:val="single" w:sz="4" w:space="0" w:color="1F4E79" w:themeColor="accent1" w:themeShade="80"/>
            </w:tcBorders>
            <w:shd w:val="clear" w:color="auto" w:fill="auto"/>
            <w:vAlign w:val="center"/>
          </w:tcPr>
          <w:p w14:paraId="66BF1ED5"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Cs/>
                <w:spacing w:val="-2"/>
                <w:sz w:val="14"/>
                <w:szCs w:val="14"/>
                <w:lang w:eastAsia="pt-BR"/>
              </w:rPr>
              <w:t>--</w:t>
            </w:r>
          </w:p>
        </w:tc>
        <w:tc>
          <w:tcPr>
            <w:tcW w:w="1289" w:type="dxa"/>
            <w:tcBorders>
              <w:top w:val="nil"/>
              <w:bottom w:val="single" w:sz="4" w:space="0" w:color="1F4E79" w:themeColor="accent1" w:themeShade="80"/>
            </w:tcBorders>
            <w:shd w:val="clear" w:color="auto" w:fill="auto"/>
            <w:vAlign w:val="center"/>
          </w:tcPr>
          <w:p w14:paraId="4D0EBA6E"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bCs/>
                <w:sz w:val="14"/>
                <w:szCs w:val="14"/>
              </w:rPr>
              <w:t>--</w:t>
            </w:r>
          </w:p>
        </w:tc>
        <w:tc>
          <w:tcPr>
            <w:tcW w:w="1560" w:type="dxa"/>
            <w:tcBorders>
              <w:top w:val="nil"/>
              <w:bottom w:val="single" w:sz="4" w:space="0" w:color="1F4E79" w:themeColor="accent1" w:themeShade="80"/>
            </w:tcBorders>
            <w:shd w:val="clear" w:color="auto" w:fill="auto"/>
            <w:vAlign w:val="center"/>
          </w:tcPr>
          <w:p w14:paraId="4912DAC3"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Cs/>
                <w:sz w:val="14"/>
                <w:szCs w:val="14"/>
              </w:rPr>
              <w:t>(1,831,269)</w:t>
            </w:r>
          </w:p>
        </w:tc>
        <w:tc>
          <w:tcPr>
            <w:tcW w:w="1122" w:type="dxa"/>
            <w:tcBorders>
              <w:top w:val="nil"/>
              <w:bottom w:val="single" w:sz="4" w:space="0" w:color="1F4E79" w:themeColor="accent1" w:themeShade="80"/>
            </w:tcBorders>
            <w:shd w:val="clear" w:color="auto" w:fill="auto"/>
            <w:vAlign w:val="center"/>
          </w:tcPr>
          <w:p w14:paraId="735F4BA5"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Cs/>
                <w:sz w:val="14"/>
                <w:szCs w:val="14"/>
              </w:rPr>
              <w:t>(1,831,269)</w:t>
            </w:r>
          </w:p>
        </w:tc>
      </w:tr>
      <w:tr w:rsidR="00AF04B6" w:rsidRPr="004E4235" w14:paraId="5E68FE31" w14:textId="77777777" w:rsidTr="002F6C75">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689" w:type="dxa"/>
            <w:tcBorders>
              <w:top w:val="single" w:sz="4" w:space="0" w:color="1F4E79" w:themeColor="accent1" w:themeShade="80"/>
              <w:bottom w:val="single" w:sz="4" w:space="0" w:color="1F4E79" w:themeColor="accent1" w:themeShade="80"/>
            </w:tcBorders>
            <w:shd w:val="clear" w:color="auto" w:fill="auto"/>
            <w:vAlign w:val="center"/>
          </w:tcPr>
          <w:p w14:paraId="74BC6765" w14:textId="77777777" w:rsidR="00AF04B6" w:rsidRPr="00AF04B6" w:rsidRDefault="00AF04B6" w:rsidP="002F6C75">
            <w:pPr>
              <w:keepNext/>
              <w:keepLines/>
              <w:spacing w:before="40" w:after="40"/>
              <w:rPr>
                <w:rFonts w:eastAsia="Times New Roman" w:cs="Arial"/>
                <w:spacing w:val="-2"/>
                <w:sz w:val="14"/>
                <w:szCs w:val="14"/>
                <w:lang w:eastAsia="pt-BR"/>
              </w:rPr>
            </w:pPr>
            <w:r w:rsidRPr="00AF04B6">
              <w:rPr>
                <w:rFonts w:cs="Arial"/>
                <w:color w:val="000000"/>
                <w:sz w:val="14"/>
                <w:szCs w:val="14"/>
              </w:rPr>
              <w:t>Balances at Dec 31, 2021</w:t>
            </w:r>
          </w:p>
        </w:tc>
        <w:tc>
          <w:tcPr>
            <w:tcW w:w="852" w:type="dxa"/>
            <w:tcBorders>
              <w:top w:val="single" w:sz="4" w:space="0" w:color="1F4E79" w:themeColor="accent1" w:themeShade="80"/>
              <w:bottom w:val="single" w:sz="4" w:space="0" w:color="1F4E79" w:themeColor="accent1" w:themeShade="80"/>
            </w:tcBorders>
            <w:shd w:val="clear" w:color="auto" w:fill="auto"/>
            <w:vAlign w:val="center"/>
          </w:tcPr>
          <w:p w14:paraId="7AD785B9"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276" w:type="dxa"/>
            <w:tcBorders>
              <w:top w:val="single" w:sz="4" w:space="0" w:color="1F4E79" w:themeColor="accent1" w:themeShade="80"/>
              <w:bottom w:val="single" w:sz="4" w:space="0" w:color="1F4E79" w:themeColor="accent1" w:themeShade="80"/>
            </w:tcBorders>
            <w:shd w:val="clear" w:color="auto" w:fill="auto"/>
            <w:vAlign w:val="center"/>
          </w:tcPr>
          <w:p w14:paraId="39320A1C"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z w:val="14"/>
                <w:szCs w:val="14"/>
              </w:rPr>
              <w:t>3,396,767</w:t>
            </w:r>
          </w:p>
        </w:tc>
        <w:tc>
          <w:tcPr>
            <w:tcW w:w="993" w:type="dxa"/>
            <w:tcBorders>
              <w:top w:val="single" w:sz="4" w:space="0" w:color="1F4E79" w:themeColor="accent1" w:themeShade="80"/>
              <w:bottom w:val="single" w:sz="4" w:space="0" w:color="1F4E79" w:themeColor="accent1" w:themeShade="80"/>
            </w:tcBorders>
            <w:shd w:val="clear" w:color="auto" w:fill="auto"/>
            <w:vAlign w:val="center"/>
          </w:tcPr>
          <w:p w14:paraId="4FBAB068"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1,508</w:t>
            </w:r>
          </w:p>
        </w:tc>
        <w:tc>
          <w:tcPr>
            <w:tcW w:w="1277" w:type="dxa"/>
            <w:tcBorders>
              <w:top w:val="single" w:sz="4" w:space="0" w:color="1F4E79" w:themeColor="accent1" w:themeShade="80"/>
              <w:bottom w:val="single" w:sz="4" w:space="0" w:color="1F4E79" w:themeColor="accent1" w:themeShade="80"/>
            </w:tcBorders>
            <w:shd w:val="clear" w:color="auto" w:fill="auto"/>
            <w:vAlign w:val="center"/>
          </w:tcPr>
          <w:p w14:paraId="480E76A0"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z w:val="14"/>
                <w:szCs w:val="14"/>
              </w:rPr>
              <w:t>679,354</w:t>
            </w:r>
          </w:p>
        </w:tc>
        <w:tc>
          <w:tcPr>
            <w:tcW w:w="1846" w:type="dxa"/>
            <w:tcBorders>
              <w:top w:val="single" w:sz="4" w:space="0" w:color="1F4E79" w:themeColor="accent1" w:themeShade="80"/>
              <w:bottom w:val="single" w:sz="4" w:space="0" w:color="1F4E79" w:themeColor="accent1" w:themeShade="80"/>
            </w:tcBorders>
            <w:shd w:val="clear" w:color="auto" w:fill="auto"/>
            <w:vAlign w:val="center"/>
          </w:tcPr>
          <w:p w14:paraId="6DE9A0BA"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z w:val="14"/>
                <w:szCs w:val="14"/>
              </w:rPr>
              <w:t>3,443,571</w:t>
            </w:r>
          </w:p>
        </w:tc>
        <w:tc>
          <w:tcPr>
            <w:tcW w:w="1122" w:type="dxa"/>
            <w:tcBorders>
              <w:top w:val="single" w:sz="4" w:space="0" w:color="1F4E79" w:themeColor="accent1" w:themeShade="80"/>
              <w:bottom w:val="single" w:sz="4" w:space="0" w:color="1F4E79" w:themeColor="accent1" w:themeShade="80"/>
            </w:tcBorders>
            <w:shd w:val="clear" w:color="auto" w:fill="auto"/>
            <w:vAlign w:val="center"/>
          </w:tcPr>
          <w:p w14:paraId="36C80026"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z w:val="14"/>
                <w:szCs w:val="14"/>
              </w:rPr>
              <w:t>(81,320)</w:t>
            </w:r>
          </w:p>
        </w:tc>
        <w:tc>
          <w:tcPr>
            <w:tcW w:w="1289" w:type="dxa"/>
            <w:tcBorders>
              <w:top w:val="single" w:sz="4" w:space="0" w:color="1F4E79" w:themeColor="accent1" w:themeShade="80"/>
              <w:bottom w:val="single" w:sz="4" w:space="0" w:color="1F4E79" w:themeColor="accent1" w:themeShade="80"/>
            </w:tcBorders>
            <w:shd w:val="clear" w:color="auto" w:fill="auto"/>
            <w:vAlign w:val="center"/>
          </w:tcPr>
          <w:p w14:paraId="31BA7FF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(158,464)</w:t>
            </w:r>
          </w:p>
        </w:tc>
        <w:tc>
          <w:tcPr>
            <w:tcW w:w="1560" w:type="dxa"/>
            <w:tcBorders>
              <w:top w:val="single" w:sz="4" w:space="0" w:color="1F4E79" w:themeColor="accent1" w:themeShade="80"/>
              <w:bottom w:val="single" w:sz="4" w:space="0" w:color="1F4E79" w:themeColor="accent1" w:themeShade="80"/>
            </w:tcBorders>
            <w:shd w:val="clear" w:color="auto" w:fill="auto"/>
            <w:vAlign w:val="center"/>
          </w:tcPr>
          <w:p w14:paraId="5ACB9EC9"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z w:val="14"/>
                <w:szCs w:val="14"/>
              </w:rPr>
              <w:t>--</w:t>
            </w:r>
          </w:p>
        </w:tc>
        <w:tc>
          <w:tcPr>
            <w:tcW w:w="1122" w:type="dxa"/>
            <w:tcBorders>
              <w:top w:val="single" w:sz="4" w:space="0" w:color="1F4E79" w:themeColor="accent1" w:themeShade="80"/>
              <w:bottom w:val="single" w:sz="4" w:space="0" w:color="1F4E79" w:themeColor="accent1" w:themeShade="80"/>
            </w:tcBorders>
            <w:shd w:val="clear" w:color="auto" w:fill="auto"/>
            <w:vAlign w:val="center"/>
          </w:tcPr>
          <w:p w14:paraId="50977B7B"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z w:val="14"/>
                <w:szCs w:val="14"/>
              </w:rPr>
              <w:t>7,281,416</w:t>
            </w:r>
          </w:p>
        </w:tc>
      </w:tr>
      <w:tr w:rsidR="00AF04B6" w:rsidRPr="004E4235" w14:paraId="1391C7CC" w14:textId="77777777" w:rsidTr="00A50ADB">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689" w:type="dxa"/>
            <w:tcBorders>
              <w:top w:val="single" w:sz="4" w:space="0" w:color="1F4E79" w:themeColor="accent1" w:themeShade="80"/>
              <w:bottom w:val="single" w:sz="4" w:space="0" w:color="1F4E79" w:themeColor="accent1" w:themeShade="80"/>
            </w:tcBorders>
            <w:shd w:val="clear" w:color="auto" w:fill="auto"/>
            <w:vAlign w:val="center"/>
          </w:tcPr>
          <w:p w14:paraId="7CEC75D7" w14:textId="77777777" w:rsidR="00AF04B6" w:rsidRPr="00AF04B6" w:rsidRDefault="00AF04B6" w:rsidP="002F6C75">
            <w:pPr>
              <w:keepNext/>
              <w:keepLines/>
              <w:spacing w:before="40" w:after="40"/>
              <w:rPr>
                <w:rFonts w:eastAsia="Times New Roman" w:cs="Arial"/>
                <w:spacing w:val="-2"/>
                <w:sz w:val="14"/>
                <w:szCs w:val="14"/>
                <w:lang w:eastAsia="pt-BR"/>
              </w:rPr>
            </w:pPr>
            <w:r w:rsidRPr="00AF04B6">
              <w:rPr>
                <w:rFonts w:cs="Arial"/>
                <w:color w:val="000000"/>
                <w:sz w:val="14"/>
                <w:szCs w:val="14"/>
              </w:rPr>
              <w:t>Changes in the year</w:t>
            </w:r>
          </w:p>
        </w:tc>
        <w:tc>
          <w:tcPr>
            <w:tcW w:w="852" w:type="dxa"/>
            <w:tcBorders>
              <w:top w:val="single" w:sz="4" w:space="0" w:color="1F4E79" w:themeColor="accent1" w:themeShade="80"/>
              <w:bottom w:val="single" w:sz="4" w:space="0" w:color="1F4E79" w:themeColor="accent1" w:themeShade="80"/>
            </w:tcBorders>
            <w:shd w:val="clear" w:color="auto" w:fill="auto"/>
            <w:vAlign w:val="center"/>
          </w:tcPr>
          <w:p w14:paraId="1671A35B"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76" w:type="dxa"/>
            <w:tcBorders>
              <w:top w:val="single" w:sz="4" w:space="0" w:color="1F4E79" w:themeColor="accent1" w:themeShade="80"/>
              <w:bottom w:val="single" w:sz="4" w:space="0" w:color="1F4E79" w:themeColor="accent1" w:themeShade="80"/>
            </w:tcBorders>
            <w:shd w:val="clear" w:color="auto" w:fill="auto"/>
            <w:vAlign w:val="center"/>
          </w:tcPr>
          <w:p w14:paraId="2094A36A"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w:t>
            </w:r>
          </w:p>
        </w:tc>
        <w:tc>
          <w:tcPr>
            <w:tcW w:w="993" w:type="dxa"/>
            <w:tcBorders>
              <w:top w:val="single" w:sz="4" w:space="0" w:color="1F4E79" w:themeColor="accent1" w:themeShade="80"/>
              <w:bottom w:val="single" w:sz="4" w:space="0" w:color="1F4E79" w:themeColor="accent1" w:themeShade="80"/>
            </w:tcBorders>
            <w:shd w:val="clear" w:color="auto" w:fill="auto"/>
            <w:vAlign w:val="center"/>
          </w:tcPr>
          <w:p w14:paraId="014DECAF"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(80)</w:t>
            </w:r>
          </w:p>
        </w:tc>
        <w:tc>
          <w:tcPr>
            <w:tcW w:w="1277" w:type="dxa"/>
            <w:tcBorders>
              <w:top w:val="single" w:sz="4" w:space="0" w:color="1F4E79" w:themeColor="accent1" w:themeShade="80"/>
              <w:bottom w:val="single" w:sz="4" w:space="0" w:color="1F4E79" w:themeColor="accent1" w:themeShade="80"/>
            </w:tcBorders>
            <w:shd w:val="clear" w:color="auto" w:fill="auto"/>
            <w:vAlign w:val="center"/>
          </w:tcPr>
          <w:p w14:paraId="257D9A84"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w:t>
            </w:r>
          </w:p>
        </w:tc>
        <w:tc>
          <w:tcPr>
            <w:tcW w:w="1846" w:type="dxa"/>
            <w:tcBorders>
              <w:top w:val="single" w:sz="4" w:space="0" w:color="1F4E79" w:themeColor="accent1" w:themeShade="80"/>
              <w:bottom w:val="single" w:sz="4" w:space="0" w:color="1F4E79" w:themeColor="accent1" w:themeShade="80"/>
            </w:tcBorders>
            <w:shd w:val="clear" w:color="auto" w:fill="auto"/>
            <w:vAlign w:val="center"/>
          </w:tcPr>
          <w:p w14:paraId="5E9D827C"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
                <w:spacing w:val="-2"/>
                <w:sz w:val="14"/>
                <w:szCs w:val="14"/>
                <w:lang w:eastAsia="pt-BR"/>
              </w:rPr>
              <w:t>1,061,969</w:t>
            </w:r>
          </w:p>
        </w:tc>
        <w:tc>
          <w:tcPr>
            <w:tcW w:w="1122" w:type="dxa"/>
            <w:tcBorders>
              <w:top w:val="single" w:sz="4" w:space="0" w:color="1F4E79" w:themeColor="accent1" w:themeShade="80"/>
              <w:bottom w:val="single" w:sz="4" w:space="0" w:color="1F4E79" w:themeColor="accent1" w:themeShade="80"/>
            </w:tcBorders>
            <w:shd w:val="clear" w:color="auto" w:fill="auto"/>
            <w:vAlign w:val="center"/>
          </w:tcPr>
          <w:p w14:paraId="5BA3ADCB"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color w:val="000000"/>
                <w:sz w:val="14"/>
                <w:szCs w:val="14"/>
              </w:rPr>
              <w:t>1,268</w:t>
            </w:r>
          </w:p>
        </w:tc>
        <w:tc>
          <w:tcPr>
            <w:tcW w:w="1289" w:type="dxa"/>
            <w:tcBorders>
              <w:top w:val="single" w:sz="4" w:space="0" w:color="1F4E79" w:themeColor="accent1" w:themeShade="80"/>
              <w:bottom w:val="single" w:sz="4" w:space="0" w:color="1F4E79" w:themeColor="accent1" w:themeShade="80"/>
            </w:tcBorders>
            <w:shd w:val="clear" w:color="auto" w:fill="auto"/>
            <w:vAlign w:val="center"/>
          </w:tcPr>
          <w:p w14:paraId="314F25B4"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cs="Arial"/>
                <w:b/>
                <w:bCs/>
                <w:color w:val="000000"/>
                <w:sz w:val="14"/>
                <w:szCs w:val="14"/>
              </w:rPr>
              <w:t>(171,346)</w:t>
            </w:r>
          </w:p>
        </w:tc>
        <w:tc>
          <w:tcPr>
            <w:tcW w:w="1560" w:type="dxa"/>
            <w:tcBorders>
              <w:top w:val="single" w:sz="4" w:space="0" w:color="1F4E79" w:themeColor="accent1" w:themeShade="80"/>
              <w:bottom w:val="single" w:sz="4" w:space="0" w:color="1F4E79" w:themeColor="accent1" w:themeShade="80"/>
            </w:tcBorders>
            <w:shd w:val="clear" w:color="auto" w:fill="auto"/>
            <w:vAlign w:val="center"/>
          </w:tcPr>
          <w:p w14:paraId="446645E1"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color w:val="000000"/>
                <w:sz w:val="14"/>
                <w:szCs w:val="14"/>
              </w:rPr>
              <w:t>--</w:t>
            </w:r>
          </w:p>
        </w:tc>
        <w:tc>
          <w:tcPr>
            <w:tcW w:w="1122" w:type="dxa"/>
            <w:tcBorders>
              <w:top w:val="single" w:sz="4" w:space="0" w:color="1F4E79" w:themeColor="accent1" w:themeShade="80"/>
              <w:bottom w:val="single" w:sz="4" w:space="0" w:color="1F4E79" w:themeColor="accent1" w:themeShade="80"/>
            </w:tcBorders>
            <w:shd w:val="clear" w:color="auto" w:fill="auto"/>
            <w:vAlign w:val="center"/>
          </w:tcPr>
          <w:p w14:paraId="22939A43"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color w:val="000000"/>
                <w:sz w:val="14"/>
                <w:szCs w:val="14"/>
              </w:rPr>
              <w:t>891,811</w:t>
            </w:r>
          </w:p>
        </w:tc>
      </w:tr>
      <w:tr w:rsidR="00AF04B6" w:rsidRPr="004E4235" w14:paraId="33ACDAE6" w14:textId="77777777" w:rsidTr="00A50AD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689" w:type="dxa"/>
            <w:tcBorders>
              <w:top w:val="single" w:sz="4" w:space="0" w:color="1F4E79" w:themeColor="accent1" w:themeShade="80"/>
              <w:bottom w:val="nil"/>
            </w:tcBorders>
            <w:shd w:val="clear" w:color="auto" w:fill="auto"/>
            <w:vAlign w:val="center"/>
          </w:tcPr>
          <w:p w14:paraId="5AAA8D36" w14:textId="77777777" w:rsidR="00AF04B6" w:rsidRPr="00AF04B6" w:rsidRDefault="00AF04B6" w:rsidP="002F6C75">
            <w:pPr>
              <w:keepNext/>
              <w:keepLines/>
              <w:spacing w:before="40" w:after="40"/>
              <w:rPr>
                <w:rFonts w:cs="Arial"/>
                <w:color w:val="000000"/>
                <w:sz w:val="14"/>
                <w:szCs w:val="14"/>
              </w:rPr>
            </w:pPr>
          </w:p>
        </w:tc>
        <w:tc>
          <w:tcPr>
            <w:tcW w:w="852" w:type="dxa"/>
            <w:tcBorders>
              <w:top w:val="single" w:sz="4" w:space="0" w:color="1F4E79" w:themeColor="accent1" w:themeShade="80"/>
              <w:bottom w:val="nil"/>
            </w:tcBorders>
            <w:shd w:val="clear" w:color="auto" w:fill="auto"/>
            <w:vAlign w:val="center"/>
          </w:tcPr>
          <w:p w14:paraId="5BF841FB"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276" w:type="dxa"/>
            <w:tcBorders>
              <w:top w:val="single" w:sz="4" w:space="0" w:color="1F4E79" w:themeColor="accent1" w:themeShade="80"/>
              <w:bottom w:val="nil"/>
            </w:tcBorders>
            <w:shd w:val="clear" w:color="auto" w:fill="auto"/>
            <w:vAlign w:val="center"/>
          </w:tcPr>
          <w:p w14:paraId="5E083391"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993" w:type="dxa"/>
            <w:tcBorders>
              <w:top w:val="single" w:sz="4" w:space="0" w:color="1F4E79" w:themeColor="accent1" w:themeShade="80"/>
              <w:bottom w:val="nil"/>
            </w:tcBorders>
            <w:shd w:val="clear" w:color="auto" w:fill="auto"/>
            <w:vAlign w:val="center"/>
          </w:tcPr>
          <w:p w14:paraId="7BAF2567"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277" w:type="dxa"/>
            <w:tcBorders>
              <w:top w:val="single" w:sz="4" w:space="0" w:color="1F4E79" w:themeColor="accent1" w:themeShade="80"/>
              <w:bottom w:val="nil"/>
            </w:tcBorders>
            <w:shd w:val="clear" w:color="auto" w:fill="auto"/>
            <w:vAlign w:val="center"/>
          </w:tcPr>
          <w:p w14:paraId="093AD78F"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846" w:type="dxa"/>
            <w:tcBorders>
              <w:top w:val="single" w:sz="4" w:space="0" w:color="1F4E79" w:themeColor="accent1" w:themeShade="80"/>
              <w:bottom w:val="nil"/>
            </w:tcBorders>
            <w:shd w:val="clear" w:color="auto" w:fill="auto"/>
            <w:vAlign w:val="center"/>
          </w:tcPr>
          <w:p w14:paraId="316C353C"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122" w:type="dxa"/>
            <w:tcBorders>
              <w:top w:val="single" w:sz="4" w:space="0" w:color="1F4E79" w:themeColor="accent1" w:themeShade="80"/>
              <w:bottom w:val="nil"/>
            </w:tcBorders>
            <w:shd w:val="clear" w:color="auto" w:fill="auto"/>
            <w:vAlign w:val="center"/>
          </w:tcPr>
          <w:p w14:paraId="1F42FFB0"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289" w:type="dxa"/>
            <w:tcBorders>
              <w:top w:val="single" w:sz="4" w:space="0" w:color="1F4E79" w:themeColor="accent1" w:themeShade="80"/>
              <w:bottom w:val="nil"/>
            </w:tcBorders>
            <w:shd w:val="clear" w:color="auto" w:fill="auto"/>
            <w:vAlign w:val="center"/>
          </w:tcPr>
          <w:p w14:paraId="6857C1F3"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560" w:type="dxa"/>
            <w:tcBorders>
              <w:top w:val="single" w:sz="4" w:space="0" w:color="1F4E79" w:themeColor="accent1" w:themeShade="80"/>
              <w:bottom w:val="nil"/>
            </w:tcBorders>
            <w:shd w:val="clear" w:color="auto" w:fill="auto"/>
            <w:vAlign w:val="center"/>
          </w:tcPr>
          <w:p w14:paraId="09B87E44"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122" w:type="dxa"/>
            <w:tcBorders>
              <w:top w:val="single" w:sz="4" w:space="0" w:color="1F4E79" w:themeColor="accent1" w:themeShade="80"/>
              <w:bottom w:val="nil"/>
            </w:tcBorders>
            <w:shd w:val="clear" w:color="auto" w:fill="auto"/>
            <w:vAlign w:val="center"/>
          </w:tcPr>
          <w:p w14:paraId="05D0BB44"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r>
      <w:tr w:rsidR="00AF04B6" w:rsidRPr="004E4235" w14:paraId="05105AAF" w14:textId="77777777" w:rsidTr="00A50AD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09567011" w14:textId="77777777" w:rsidR="00AF04B6" w:rsidRPr="00AF04B6" w:rsidRDefault="00AF04B6" w:rsidP="002F6C75">
            <w:pPr>
              <w:keepNext/>
              <w:keepLines/>
              <w:spacing w:before="40" w:after="40"/>
              <w:rPr>
                <w:rFonts w:eastAsia="Times New Roman" w:cs="Arial"/>
                <w:spacing w:val="-2"/>
                <w:sz w:val="14"/>
                <w:szCs w:val="14"/>
                <w:lang w:eastAsia="pt-BR"/>
              </w:rPr>
            </w:pPr>
            <w:r w:rsidRPr="00AF04B6">
              <w:rPr>
                <w:rFonts w:cs="Arial"/>
                <w:color w:val="000000"/>
                <w:sz w:val="14"/>
                <w:szCs w:val="14"/>
              </w:rPr>
              <w:t>Balances at Dec 31, 2021</w:t>
            </w:r>
          </w:p>
        </w:tc>
        <w:tc>
          <w:tcPr>
            <w:tcW w:w="852" w:type="dxa"/>
            <w:tcBorders>
              <w:top w:val="nil"/>
              <w:bottom w:val="nil"/>
            </w:tcBorders>
            <w:shd w:val="clear" w:color="auto" w:fill="auto"/>
            <w:vAlign w:val="center"/>
          </w:tcPr>
          <w:p w14:paraId="5415ECBA"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76" w:type="dxa"/>
            <w:tcBorders>
              <w:top w:val="nil"/>
              <w:bottom w:val="nil"/>
            </w:tcBorders>
            <w:shd w:val="clear" w:color="auto" w:fill="auto"/>
            <w:vAlign w:val="center"/>
          </w:tcPr>
          <w:p w14:paraId="68279062"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3,396,767</w:t>
            </w:r>
          </w:p>
        </w:tc>
        <w:tc>
          <w:tcPr>
            <w:tcW w:w="993" w:type="dxa"/>
            <w:tcBorders>
              <w:top w:val="nil"/>
              <w:bottom w:val="nil"/>
            </w:tcBorders>
            <w:shd w:val="clear" w:color="auto" w:fill="auto"/>
            <w:vAlign w:val="center"/>
          </w:tcPr>
          <w:p w14:paraId="50DAE042"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1,508</w:t>
            </w:r>
          </w:p>
        </w:tc>
        <w:tc>
          <w:tcPr>
            <w:tcW w:w="1277" w:type="dxa"/>
            <w:tcBorders>
              <w:top w:val="nil"/>
              <w:bottom w:val="nil"/>
            </w:tcBorders>
            <w:shd w:val="clear" w:color="auto" w:fill="auto"/>
            <w:vAlign w:val="center"/>
          </w:tcPr>
          <w:p w14:paraId="77DA29F3"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679,354</w:t>
            </w:r>
          </w:p>
        </w:tc>
        <w:tc>
          <w:tcPr>
            <w:tcW w:w="1846" w:type="dxa"/>
            <w:tcBorders>
              <w:top w:val="nil"/>
              <w:bottom w:val="nil"/>
            </w:tcBorders>
            <w:shd w:val="clear" w:color="auto" w:fill="auto"/>
            <w:vAlign w:val="center"/>
          </w:tcPr>
          <w:p w14:paraId="078857A7"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3,443,571</w:t>
            </w:r>
          </w:p>
        </w:tc>
        <w:tc>
          <w:tcPr>
            <w:tcW w:w="1122" w:type="dxa"/>
            <w:tcBorders>
              <w:top w:val="nil"/>
              <w:bottom w:val="nil"/>
            </w:tcBorders>
            <w:shd w:val="clear" w:color="auto" w:fill="auto"/>
            <w:vAlign w:val="center"/>
          </w:tcPr>
          <w:p w14:paraId="14974543"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(81,320)</w:t>
            </w:r>
          </w:p>
        </w:tc>
        <w:tc>
          <w:tcPr>
            <w:tcW w:w="1289" w:type="dxa"/>
            <w:tcBorders>
              <w:top w:val="nil"/>
              <w:bottom w:val="nil"/>
            </w:tcBorders>
            <w:shd w:val="clear" w:color="auto" w:fill="auto"/>
            <w:vAlign w:val="center"/>
          </w:tcPr>
          <w:p w14:paraId="0A48D989"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(158,464)</w:t>
            </w:r>
          </w:p>
        </w:tc>
        <w:tc>
          <w:tcPr>
            <w:tcW w:w="1560" w:type="dxa"/>
            <w:tcBorders>
              <w:top w:val="nil"/>
              <w:bottom w:val="nil"/>
            </w:tcBorders>
            <w:shd w:val="clear" w:color="auto" w:fill="auto"/>
            <w:vAlign w:val="center"/>
          </w:tcPr>
          <w:p w14:paraId="27CE071B"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pacing w:val="-2"/>
                <w:sz w:val="14"/>
                <w:szCs w:val="14"/>
                <w:lang w:eastAsia="pt-BR"/>
              </w:rPr>
              <w:t>--</w:t>
            </w:r>
          </w:p>
        </w:tc>
        <w:tc>
          <w:tcPr>
            <w:tcW w:w="1122" w:type="dxa"/>
            <w:tcBorders>
              <w:top w:val="nil"/>
              <w:bottom w:val="nil"/>
            </w:tcBorders>
            <w:shd w:val="clear" w:color="auto" w:fill="auto"/>
            <w:vAlign w:val="center"/>
          </w:tcPr>
          <w:p w14:paraId="25F36257"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7,281,416</w:t>
            </w:r>
          </w:p>
        </w:tc>
      </w:tr>
      <w:tr w:rsidR="00AF04B6" w:rsidRPr="004E4235" w14:paraId="57670DD5" w14:textId="77777777" w:rsidTr="00A50ADB">
        <w:trPr>
          <w:cnfStyle w:val="000000010000" w:firstRow="0" w:lastRow="0" w:firstColumn="0" w:lastColumn="0" w:oddVBand="0" w:evenVBand="0" w:oddHBand="0" w:evenHBand="1"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5F738C17" w14:textId="77777777" w:rsidR="00AF04B6" w:rsidRPr="00AF04B6" w:rsidRDefault="00AF04B6" w:rsidP="002F6C75">
            <w:pPr>
              <w:keepNext/>
              <w:keepLines/>
              <w:spacing w:before="40" w:after="40"/>
              <w:ind w:left="177"/>
              <w:rPr>
                <w:rFonts w:eastAsia="Times New Roman" w:cs="Arial"/>
                <w:b w:val="0"/>
                <w:spacing w:val="-2"/>
                <w:sz w:val="14"/>
                <w:szCs w:val="14"/>
                <w:lang w:val="en-US" w:eastAsia="pt-BR"/>
              </w:rPr>
            </w:pPr>
            <w:r w:rsidRPr="00AF04B6">
              <w:rPr>
                <w:rFonts w:eastAsia="Times New Roman" w:cs="Arial"/>
                <w:b w:val="0"/>
                <w:spacing w:val="-2"/>
                <w:sz w:val="14"/>
                <w:szCs w:val="14"/>
                <w:lang w:val="en-US" w:eastAsia="pt-BR"/>
              </w:rPr>
              <w:t>Capitalization of the Profit Reserve</w:t>
            </w:r>
          </w:p>
        </w:tc>
        <w:tc>
          <w:tcPr>
            <w:tcW w:w="852" w:type="dxa"/>
            <w:tcBorders>
              <w:top w:val="nil"/>
              <w:bottom w:val="nil"/>
            </w:tcBorders>
            <w:shd w:val="clear" w:color="auto" w:fill="auto"/>
            <w:vAlign w:val="center"/>
          </w:tcPr>
          <w:p w14:paraId="6ED2481D"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val="en-US" w:eastAsia="pt-BR"/>
              </w:rPr>
            </w:pPr>
            <w:r w:rsidRPr="00AF04B6">
              <w:rPr>
                <w:rFonts w:eastAsia="Times New Roman" w:cs="Arial"/>
                <w:spacing w:val="-2"/>
                <w:sz w:val="14"/>
                <w:szCs w:val="14"/>
                <w:lang w:eastAsia="pt-BR"/>
              </w:rPr>
              <w:t>[25.b]</w:t>
            </w:r>
          </w:p>
        </w:tc>
        <w:tc>
          <w:tcPr>
            <w:tcW w:w="1276" w:type="dxa"/>
            <w:tcBorders>
              <w:top w:val="nil"/>
              <w:bottom w:val="nil"/>
            </w:tcBorders>
            <w:shd w:val="clear" w:color="auto" w:fill="auto"/>
            <w:vAlign w:val="center"/>
          </w:tcPr>
          <w:p w14:paraId="142560BF"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2,872,925</w:t>
            </w:r>
          </w:p>
        </w:tc>
        <w:tc>
          <w:tcPr>
            <w:tcW w:w="993" w:type="dxa"/>
            <w:tcBorders>
              <w:top w:val="nil"/>
              <w:bottom w:val="nil"/>
            </w:tcBorders>
            <w:shd w:val="clear" w:color="auto" w:fill="auto"/>
            <w:vAlign w:val="center"/>
          </w:tcPr>
          <w:p w14:paraId="78FD3B8D"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277" w:type="dxa"/>
            <w:tcBorders>
              <w:top w:val="nil"/>
              <w:bottom w:val="nil"/>
            </w:tcBorders>
            <w:shd w:val="clear" w:color="auto" w:fill="auto"/>
            <w:vAlign w:val="center"/>
          </w:tcPr>
          <w:p w14:paraId="25E28AF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(679,354)</w:t>
            </w:r>
          </w:p>
        </w:tc>
        <w:tc>
          <w:tcPr>
            <w:tcW w:w="1846" w:type="dxa"/>
            <w:tcBorders>
              <w:top w:val="nil"/>
              <w:bottom w:val="nil"/>
            </w:tcBorders>
            <w:shd w:val="clear" w:color="auto" w:fill="auto"/>
            <w:vAlign w:val="center"/>
          </w:tcPr>
          <w:p w14:paraId="7EF9A0DB"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(2,193,571)</w:t>
            </w:r>
          </w:p>
        </w:tc>
        <w:tc>
          <w:tcPr>
            <w:tcW w:w="1122" w:type="dxa"/>
            <w:tcBorders>
              <w:top w:val="nil"/>
              <w:bottom w:val="nil"/>
            </w:tcBorders>
            <w:shd w:val="clear" w:color="auto" w:fill="auto"/>
            <w:vAlign w:val="center"/>
          </w:tcPr>
          <w:p w14:paraId="499CF92E"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289" w:type="dxa"/>
            <w:tcBorders>
              <w:top w:val="nil"/>
              <w:bottom w:val="nil"/>
            </w:tcBorders>
            <w:shd w:val="clear" w:color="auto" w:fill="auto"/>
            <w:vAlign w:val="center"/>
          </w:tcPr>
          <w:p w14:paraId="26102ADC"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560" w:type="dxa"/>
            <w:tcBorders>
              <w:top w:val="nil"/>
              <w:bottom w:val="nil"/>
            </w:tcBorders>
            <w:shd w:val="clear" w:color="auto" w:fill="auto"/>
            <w:vAlign w:val="center"/>
          </w:tcPr>
          <w:p w14:paraId="554908E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122" w:type="dxa"/>
            <w:tcBorders>
              <w:top w:val="nil"/>
              <w:bottom w:val="nil"/>
            </w:tcBorders>
            <w:shd w:val="clear" w:color="auto" w:fill="auto"/>
            <w:vAlign w:val="center"/>
          </w:tcPr>
          <w:p w14:paraId="6DE72443"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z w:val="14"/>
                <w:szCs w:val="14"/>
              </w:rPr>
            </w:pPr>
            <w:r w:rsidRPr="00AF04B6">
              <w:rPr>
                <w:rFonts w:eastAsia="Times New Roman" w:cs="Arial"/>
                <w:sz w:val="14"/>
                <w:szCs w:val="14"/>
              </w:rPr>
              <w:t>--</w:t>
            </w:r>
          </w:p>
        </w:tc>
      </w:tr>
      <w:tr w:rsidR="00AF04B6" w:rsidRPr="004E4235" w14:paraId="7A30CB35" w14:textId="77777777" w:rsidTr="00A50ADB">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278A8902" w14:textId="77777777" w:rsidR="00AF04B6" w:rsidRPr="00AF04B6" w:rsidRDefault="00AF04B6" w:rsidP="002F6C75">
            <w:pPr>
              <w:keepNext/>
              <w:keepLines/>
              <w:spacing w:before="40" w:after="40"/>
              <w:ind w:left="177"/>
              <w:rPr>
                <w:rFonts w:cs="Arial"/>
                <w:sz w:val="14"/>
                <w:szCs w:val="14"/>
              </w:rPr>
            </w:pPr>
            <w:r w:rsidRPr="00AF04B6">
              <w:rPr>
                <w:rFonts w:eastAsia="Times New Roman" w:cs="Arial"/>
                <w:b w:val="0"/>
                <w:spacing w:val="-2"/>
                <w:sz w:val="14"/>
                <w:szCs w:val="14"/>
                <w:lang w:eastAsia="pt-BR"/>
              </w:rPr>
              <w:t>Share-based payment transactions</w:t>
            </w:r>
          </w:p>
        </w:tc>
        <w:tc>
          <w:tcPr>
            <w:tcW w:w="852" w:type="dxa"/>
            <w:tcBorders>
              <w:top w:val="nil"/>
              <w:bottom w:val="nil"/>
            </w:tcBorders>
            <w:shd w:val="clear" w:color="auto" w:fill="auto"/>
            <w:vAlign w:val="center"/>
          </w:tcPr>
          <w:p w14:paraId="08B6E965"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76" w:type="dxa"/>
            <w:tcBorders>
              <w:top w:val="nil"/>
              <w:bottom w:val="nil"/>
            </w:tcBorders>
            <w:shd w:val="clear" w:color="auto" w:fill="auto"/>
            <w:vAlign w:val="center"/>
          </w:tcPr>
          <w:p w14:paraId="6C248F18"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993" w:type="dxa"/>
            <w:tcBorders>
              <w:top w:val="nil"/>
              <w:bottom w:val="nil"/>
            </w:tcBorders>
            <w:shd w:val="clear" w:color="auto" w:fill="auto"/>
            <w:vAlign w:val="center"/>
          </w:tcPr>
          <w:p w14:paraId="51928FE4"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sz w:val="14"/>
                <w:szCs w:val="14"/>
              </w:rPr>
              <w:t>63</w:t>
            </w:r>
          </w:p>
        </w:tc>
        <w:tc>
          <w:tcPr>
            <w:tcW w:w="1277" w:type="dxa"/>
            <w:tcBorders>
              <w:top w:val="nil"/>
              <w:bottom w:val="nil"/>
            </w:tcBorders>
            <w:shd w:val="clear" w:color="auto" w:fill="auto"/>
            <w:vAlign w:val="center"/>
          </w:tcPr>
          <w:p w14:paraId="7EA7078C"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846" w:type="dxa"/>
            <w:tcBorders>
              <w:top w:val="nil"/>
              <w:bottom w:val="nil"/>
            </w:tcBorders>
            <w:shd w:val="clear" w:color="auto" w:fill="auto"/>
            <w:vAlign w:val="center"/>
          </w:tcPr>
          <w:p w14:paraId="68D99160"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122" w:type="dxa"/>
            <w:tcBorders>
              <w:top w:val="nil"/>
              <w:bottom w:val="nil"/>
            </w:tcBorders>
            <w:shd w:val="clear" w:color="auto" w:fill="auto"/>
            <w:vAlign w:val="center"/>
          </w:tcPr>
          <w:p w14:paraId="7DAAF21A"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sz w:val="14"/>
                <w:szCs w:val="14"/>
              </w:rPr>
              <w:t>976</w:t>
            </w:r>
          </w:p>
        </w:tc>
        <w:tc>
          <w:tcPr>
            <w:tcW w:w="1289" w:type="dxa"/>
            <w:tcBorders>
              <w:top w:val="nil"/>
              <w:bottom w:val="nil"/>
            </w:tcBorders>
            <w:shd w:val="clear" w:color="auto" w:fill="auto"/>
            <w:vAlign w:val="center"/>
          </w:tcPr>
          <w:p w14:paraId="2216D4AC"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560" w:type="dxa"/>
            <w:tcBorders>
              <w:top w:val="nil"/>
              <w:bottom w:val="nil"/>
            </w:tcBorders>
            <w:shd w:val="clear" w:color="auto" w:fill="auto"/>
            <w:vAlign w:val="center"/>
          </w:tcPr>
          <w:p w14:paraId="60E97C76"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122" w:type="dxa"/>
            <w:tcBorders>
              <w:top w:val="nil"/>
              <w:bottom w:val="nil"/>
            </w:tcBorders>
            <w:shd w:val="clear" w:color="auto" w:fill="auto"/>
            <w:vAlign w:val="center"/>
          </w:tcPr>
          <w:p w14:paraId="78589A9F"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z w:val="14"/>
                <w:szCs w:val="14"/>
              </w:rPr>
            </w:pPr>
            <w:r w:rsidRPr="00AF04B6">
              <w:rPr>
                <w:rFonts w:cs="Arial"/>
                <w:sz w:val="14"/>
                <w:szCs w:val="14"/>
              </w:rPr>
              <w:t>1,039</w:t>
            </w:r>
          </w:p>
        </w:tc>
      </w:tr>
      <w:tr w:rsidR="00AF04B6" w:rsidRPr="004E4235" w14:paraId="7A3C36D0" w14:textId="77777777" w:rsidTr="00A50ADB">
        <w:trPr>
          <w:cnfStyle w:val="000000010000" w:firstRow="0" w:lastRow="0" w:firstColumn="0" w:lastColumn="0" w:oddVBand="0" w:evenVBand="0" w:oddHBand="0" w:evenHBand="1"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3CF09D6D" w14:textId="77777777" w:rsidR="00AF04B6" w:rsidRPr="00AF04B6" w:rsidRDefault="00AF04B6" w:rsidP="002F6C75">
            <w:pPr>
              <w:keepNext/>
              <w:keepLines/>
              <w:spacing w:before="40" w:after="40"/>
              <w:ind w:left="177"/>
              <w:rPr>
                <w:rFonts w:cs="Arial"/>
                <w:sz w:val="14"/>
                <w:szCs w:val="14"/>
              </w:rPr>
            </w:pPr>
            <w:r w:rsidRPr="00AF04B6">
              <w:rPr>
                <w:rFonts w:eastAsia="Times New Roman" w:cs="Arial"/>
                <w:b w:val="0"/>
                <w:spacing w:val="-2"/>
                <w:sz w:val="14"/>
                <w:szCs w:val="14"/>
                <w:lang w:eastAsia="pt-BR"/>
              </w:rPr>
              <w:t>Other accumulated comprehensive income</w:t>
            </w:r>
          </w:p>
        </w:tc>
        <w:tc>
          <w:tcPr>
            <w:tcW w:w="852" w:type="dxa"/>
            <w:tcBorders>
              <w:top w:val="nil"/>
              <w:bottom w:val="nil"/>
            </w:tcBorders>
            <w:shd w:val="clear" w:color="auto" w:fill="auto"/>
            <w:vAlign w:val="center"/>
          </w:tcPr>
          <w:p w14:paraId="75D42B19"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[7.b]</w:t>
            </w:r>
          </w:p>
        </w:tc>
        <w:tc>
          <w:tcPr>
            <w:tcW w:w="1276" w:type="dxa"/>
            <w:tcBorders>
              <w:top w:val="nil"/>
              <w:bottom w:val="nil"/>
            </w:tcBorders>
            <w:shd w:val="clear" w:color="auto" w:fill="auto"/>
            <w:vAlign w:val="center"/>
          </w:tcPr>
          <w:p w14:paraId="67864961"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993" w:type="dxa"/>
            <w:tcBorders>
              <w:top w:val="nil"/>
              <w:bottom w:val="nil"/>
            </w:tcBorders>
            <w:shd w:val="clear" w:color="auto" w:fill="auto"/>
            <w:vAlign w:val="center"/>
          </w:tcPr>
          <w:p w14:paraId="25B9EC46"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277" w:type="dxa"/>
            <w:tcBorders>
              <w:top w:val="nil"/>
              <w:bottom w:val="nil"/>
            </w:tcBorders>
            <w:shd w:val="clear" w:color="auto" w:fill="auto"/>
            <w:vAlign w:val="center"/>
          </w:tcPr>
          <w:p w14:paraId="68AA11B1"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846" w:type="dxa"/>
            <w:tcBorders>
              <w:top w:val="nil"/>
              <w:bottom w:val="nil"/>
            </w:tcBorders>
            <w:shd w:val="clear" w:color="auto" w:fill="auto"/>
            <w:vAlign w:val="center"/>
          </w:tcPr>
          <w:p w14:paraId="5F75B274"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122" w:type="dxa"/>
            <w:tcBorders>
              <w:top w:val="nil"/>
              <w:bottom w:val="nil"/>
            </w:tcBorders>
            <w:shd w:val="clear" w:color="auto" w:fill="auto"/>
            <w:vAlign w:val="center"/>
          </w:tcPr>
          <w:p w14:paraId="414BEF59"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289" w:type="dxa"/>
            <w:tcBorders>
              <w:top w:val="nil"/>
              <w:bottom w:val="nil"/>
            </w:tcBorders>
            <w:shd w:val="clear" w:color="auto" w:fill="auto"/>
            <w:vAlign w:val="center"/>
          </w:tcPr>
          <w:p w14:paraId="1929EFB1"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cs="Arial"/>
                <w:sz w:val="14"/>
                <w:szCs w:val="14"/>
              </w:rPr>
              <w:t>11,417</w:t>
            </w:r>
          </w:p>
        </w:tc>
        <w:tc>
          <w:tcPr>
            <w:tcW w:w="1560" w:type="dxa"/>
            <w:tcBorders>
              <w:top w:val="nil"/>
              <w:bottom w:val="nil"/>
            </w:tcBorders>
            <w:shd w:val="clear" w:color="auto" w:fill="auto"/>
            <w:vAlign w:val="center"/>
          </w:tcPr>
          <w:p w14:paraId="78DD2247"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sidRPr="00AF04B6">
              <w:rPr>
                <w:rFonts w:eastAsia="Times New Roman" w:cs="Arial"/>
                <w:spacing w:val="-2"/>
                <w:sz w:val="14"/>
                <w:szCs w:val="14"/>
                <w:lang w:eastAsia="pt-BR"/>
              </w:rPr>
              <w:t>--</w:t>
            </w:r>
          </w:p>
        </w:tc>
        <w:tc>
          <w:tcPr>
            <w:tcW w:w="1122" w:type="dxa"/>
            <w:tcBorders>
              <w:top w:val="nil"/>
              <w:bottom w:val="nil"/>
            </w:tcBorders>
            <w:shd w:val="clear" w:color="auto" w:fill="auto"/>
            <w:vAlign w:val="center"/>
          </w:tcPr>
          <w:p w14:paraId="5678FAD9"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z w:val="14"/>
                <w:szCs w:val="14"/>
              </w:rPr>
            </w:pPr>
            <w:r w:rsidRPr="00AF04B6">
              <w:rPr>
                <w:rFonts w:cs="Arial"/>
                <w:sz w:val="14"/>
                <w:szCs w:val="14"/>
              </w:rPr>
              <w:t>11,417</w:t>
            </w:r>
          </w:p>
        </w:tc>
      </w:tr>
      <w:tr w:rsidR="00AF04B6" w:rsidRPr="004E4235" w14:paraId="0BD9B235" w14:textId="77777777" w:rsidTr="00A50ADB">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730FBD8C" w14:textId="77777777" w:rsidR="00AF04B6" w:rsidRPr="00AF04B6" w:rsidRDefault="00AF04B6" w:rsidP="002F6C75">
            <w:pPr>
              <w:keepNext/>
              <w:keepLines/>
              <w:spacing w:before="40" w:after="40"/>
              <w:ind w:left="177"/>
              <w:rPr>
                <w:rFonts w:eastAsia="Times New Roman" w:cs="Arial"/>
                <w:b w:val="0"/>
                <w:spacing w:val="-2"/>
                <w:sz w:val="14"/>
                <w:szCs w:val="14"/>
                <w:lang w:eastAsia="pt-BR"/>
              </w:rPr>
            </w:pPr>
            <w:r w:rsidRPr="00AF04B6">
              <w:rPr>
                <w:rFonts w:cs="Arial"/>
                <w:b w:val="0"/>
                <w:bCs w:val="0"/>
                <w:sz w:val="14"/>
                <w:szCs w:val="14"/>
              </w:rPr>
              <w:t>Expired dividends</w:t>
            </w:r>
          </w:p>
        </w:tc>
        <w:tc>
          <w:tcPr>
            <w:tcW w:w="852" w:type="dxa"/>
            <w:tcBorders>
              <w:top w:val="nil"/>
              <w:bottom w:val="nil"/>
            </w:tcBorders>
            <w:shd w:val="clear" w:color="auto" w:fill="auto"/>
            <w:vAlign w:val="center"/>
          </w:tcPr>
          <w:p w14:paraId="3DE7AAF5"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76" w:type="dxa"/>
            <w:tcBorders>
              <w:top w:val="nil"/>
              <w:bottom w:val="nil"/>
            </w:tcBorders>
            <w:shd w:val="clear" w:color="auto" w:fill="auto"/>
            <w:vAlign w:val="center"/>
          </w:tcPr>
          <w:p w14:paraId="7B963FA8"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Cs/>
                <w:spacing w:val="-2"/>
                <w:sz w:val="14"/>
                <w:szCs w:val="14"/>
                <w:lang w:eastAsia="pt-BR"/>
              </w:rPr>
              <w:t>--</w:t>
            </w:r>
          </w:p>
        </w:tc>
        <w:tc>
          <w:tcPr>
            <w:tcW w:w="993" w:type="dxa"/>
            <w:tcBorders>
              <w:top w:val="nil"/>
              <w:bottom w:val="nil"/>
            </w:tcBorders>
            <w:shd w:val="clear" w:color="auto" w:fill="auto"/>
            <w:vAlign w:val="center"/>
          </w:tcPr>
          <w:p w14:paraId="4E151B3F"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Cs/>
                <w:spacing w:val="-2"/>
                <w:sz w:val="14"/>
                <w:szCs w:val="14"/>
                <w:lang w:eastAsia="pt-BR"/>
              </w:rPr>
              <w:t>--</w:t>
            </w:r>
          </w:p>
        </w:tc>
        <w:tc>
          <w:tcPr>
            <w:tcW w:w="1277" w:type="dxa"/>
            <w:tcBorders>
              <w:top w:val="nil"/>
              <w:bottom w:val="nil"/>
            </w:tcBorders>
            <w:shd w:val="clear" w:color="auto" w:fill="auto"/>
            <w:vAlign w:val="center"/>
          </w:tcPr>
          <w:p w14:paraId="1AC32C9C"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Cs/>
                <w:spacing w:val="-2"/>
                <w:sz w:val="14"/>
                <w:szCs w:val="14"/>
                <w:lang w:eastAsia="pt-BR"/>
              </w:rPr>
              <w:t>--</w:t>
            </w:r>
          </w:p>
        </w:tc>
        <w:tc>
          <w:tcPr>
            <w:tcW w:w="1846" w:type="dxa"/>
            <w:tcBorders>
              <w:top w:val="nil"/>
              <w:bottom w:val="nil"/>
            </w:tcBorders>
            <w:shd w:val="clear" w:color="auto" w:fill="auto"/>
            <w:vAlign w:val="center"/>
          </w:tcPr>
          <w:p w14:paraId="4C9325A7"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Cs/>
                <w:spacing w:val="-2"/>
                <w:sz w:val="14"/>
                <w:szCs w:val="14"/>
                <w:lang w:eastAsia="pt-BR"/>
              </w:rPr>
              <w:t>--</w:t>
            </w:r>
          </w:p>
        </w:tc>
        <w:tc>
          <w:tcPr>
            <w:tcW w:w="1122" w:type="dxa"/>
            <w:tcBorders>
              <w:top w:val="nil"/>
              <w:bottom w:val="nil"/>
            </w:tcBorders>
            <w:shd w:val="clear" w:color="auto" w:fill="auto"/>
            <w:vAlign w:val="center"/>
          </w:tcPr>
          <w:p w14:paraId="44184E5C"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Cs/>
                <w:spacing w:val="-2"/>
                <w:sz w:val="14"/>
                <w:szCs w:val="14"/>
                <w:lang w:eastAsia="pt-BR"/>
              </w:rPr>
              <w:t>--</w:t>
            </w:r>
          </w:p>
        </w:tc>
        <w:tc>
          <w:tcPr>
            <w:tcW w:w="1289" w:type="dxa"/>
            <w:tcBorders>
              <w:top w:val="nil"/>
              <w:bottom w:val="nil"/>
            </w:tcBorders>
            <w:shd w:val="clear" w:color="auto" w:fill="auto"/>
            <w:vAlign w:val="center"/>
          </w:tcPr>
          <w:p w14:paraId="7382FF54"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bCs/>
                <w:sz w:val="14"/>
                <w:szCs w:val="14"/>
              </w:rPr>
              <w:t>--</w:t>
            </w:r>
          </w:p>
        </w:tc>
        <w:tc>
          <w:tcPr>
            <w:tcW w:w="1560" w:type="dxa"/>
            <w:tcBorders>
              <w:top w:val="nil"/>
              <w:bottom w:val="nil"/>
            </w:tcBorders>
            <w:shd w:val="clear" w:color="auto" w:fill="auto"/>
            <w:vAlign w:val="center"/>
          </w:tcPr>
          <w:p w14:paraId="038A268A"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sz w:val="14"/>
                <w:szCs w:val="14"/>
              </w:rPr>
              <w:t>79</w:t>
            </w:r>
          </w:p>
        </w:tc>
        <w:tc>
          <w:tcPr>
            <w:tcW w:w="1122" w:type="dxa"/>
            <w:tcBorders>
              <w:top w:val="nil"/>
              <w:bottom w:val="nil"/>
            </w:tcBorders>
            <w:shd w:val="clear" w:color="auto" w:fill="auto"/>
            <w:vAlign w:val="center"/>
          </w:tcPr>
          <w:p w14:paraId="65F53AB2"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sz w:val="14"/>
                <w:szCs w:val="14"/>
              </w:rPr>
              <w:t>79</w:t>
            </w:r>
          </w:p>
        </w:tc>
      </w:tr>
      <w:tr w:rsidR="00AF04B6" w:rsidRPr="004E4235" w14:paraId="7BD3E899" w14:textId="77777777" w:rsidTr="00A50ADB">
        <w:trPr>
          <w:cnfStyle w:val="000000010000" w:firstRow="0" w:lastRow="0" w:firstColumn="0" w:lastColumn="0" w:oddVBand="0" w:evenVBand="0" w:oddHBand="0" w:evenHBand="1"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3996522D" w14:textId="77777777" w:rsidR="00AF04B6" w:rsidRPr="00AF04B6" w:rsidRDefault="00AF04B6" w:rsidP="002F6C75">
            <w:pPr>
              <w:keepNext/>
              <w:keepLines/>
              <w:spacing w:before="40" w:after="40"/>
              <w:rPr>
                <w:rFonts w:eastAsia="Times New Roman" w:cs="Arial"/>
                <w:spacing w:val="-2"/>
                <w:sz w:val="14"/>
                <w:szCs w:val="14"/>
                <w:lang w:val="en-US" w:eastAsia="pt-BR"/>
              </w:rPr>
            </w:pPr>
            <w:r w:rsidRPr="00AF04B6">
              <w:rPr>
                <w:rFonts w:cs="Arial"/>
                <w:sz w:val="14"/>
                <w:szCs w:val="14"/>
                <w:lang w:val="en-US"/>
              </w:rPr>
              <w:t>Net income for the period</w:t>
            </w:r>
          </w:p>
        </w:tc>
        <w:tc>
          <w:tcPr>
            <w:tcW w:w="852" w:type="dxa"/>
            <w:tcBorders>
              <w:top w:val="nil"/>
              <w:bottom w:val="nil"/>
            </w:tcBorders>
            <w:shd w:val="clear" w:color="auto" w:fill="auto"/>
            <w:vAlign w:val="center"/>
          </w:tcPr>
          <w:p w14:paraId="56DB67A8"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val="en-US" w:eastAsia="pt-BR"/>
              </w:rPr>
            </w:pPr>
          </w:p>
        </w:tc>
        <w:tc>
          <w:tcPr>
            <w:tcW w:w="1276" w:type="dxa"/>
            <w:tcBorders>
              <w:top w:val="nil"/>
              <w:bottom w:val="nil"/>
            </w:tcBorders>
            <w:shd w:val="clear" w:color="auto" w:fill="auto"/>
            <w:vAlign w:val="center"/>
          </w:tcPr>
          <w:p w14:paraId="3A2473AB"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pacing w:val="-2"/>
                <w:sz w:val="14"/>
                <w:szCs w:val="14"/>
                <w:lang w:eastAsia="pt-BR"/>
              </w:rPr>
              <w:t>--</w:t>
            </w:r>
          </w:p>
        </w:tc>
        <w:tc>
          <w:tcPr>
            <w:tcW w:w="993" w:type="dxa"/>
            <w:tcBorders>
              <w:top w:val="nil"/>
              <w:bottom w:val="nil"/>
            </w:tcBorders>
            <w:shd w:val="clear" w:color="auto" w:fill="auto"/>
            <w:vAlign w:val="center"/>
          </w:tcPr>
          <w:p w14:paraId="2376469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pacing w:val="-2"/>
                <w:sz w:val="14"/>
                <w:szCs w:val="14"/>
                <w:lang w:eastAsia="pt-BR"/>
              </w:rPr>
              <w:t>--</w:t>
            </w:r>
          </w:p>
        </w:tc>
        <w:tc>
          <w:tcPr>
            <w:tcW w:w="1277" w:type="dxa"/>
            <w:tcBorders>
              <w:top w:val="nil"/>
              <w:bottom w:val="nil"/>
            </w:tcBorders>
            <w:shd w:val="clear" w:color="auto" w:fill="auto"/>
            <w:vAlign w:val="center"/>
          </w:tcPr>
          <w:p w14:paraId="0B7E8558"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pacing w:val="-2"/>
                <w:sz w:val="14"/>
                <w:szCs w:val="14"/>
                <w:lang w:eastAsia="pt-BR"/>
              </w:rPr>
              <w:t>--</w:t>
            </w:r>
          </w:p>
        </w:tc>
        <w:tc>
          <w:tcPr>
            <w:tcW w:w="1846" w:type="dxa"/>
            <w:tcBorders>
              <w:top w:val="nil"/>
              <w:bottom w:val="nil"/>
            </w:tcBorders>
            <w:shd w:val="clear" w:color="auto" w:fill="auto"/>
            <w:vAlign w:val="center"/>
          </w:tcPr>
          <w:p w14:paraId="0FCE31D3"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pacing w:val="-2"/>
                <w:sz w:val="14"/>
                <w:szCs w:val="14"/>
                <w:lang w:eastAsia="pt-BR"/>
              </w:rPr>
              <w:t>--</w:t>
            </w:r>
          </w:p>
        </w:tc>
        <w:tc>
          <w:tcPr>
            <w:tcW w:w="1122" w:type="dxa"/>
            <w:tcBorders>
              <w:top w:val="nil"/>
              <w:bottom w:val="nil"/>
            </w:tcBorders>
            <w:shd w:val="clear" w:color="auto" w:fill="auto"/>
            <w:vAlign w:val="center"/>
          </w:tcPr>
          <w:p w14:paraId="745A2F9C"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pacing w:val="-2"/>
                <w:sz w:val="14"/>
                <w:szCs w:val="14"/>
                <w:lang w:eastAsia="pt-BR"/>
              </w:rPr>
              <w:t>--</w:t>
            </w:r>
          </w:p>
        </w:tc>
        <w:tc>
          <w:tcPr>
            <w:tcW w:w="1289" w:type="dxa"/>
            <w:tcBorders>
              <w:top w:val="nil"/>
              <w:bottom w:val="nil"/>
            </w:tcBorders>
            <w:shd w:val="clear" w:color="auto" w:fill="auto"/>
            <w:vAlign w:val="center"/>
          </w:tcPr>
          <w:p w14:paraId="42E16A3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w:t>
            </w:r>
          </w:p>
        </w:tc>
        <w:tc>
          <w:tcPr>
            <w:tcW w:w="1560" w:type="dxa"/>
            <w:tcBorders>
              <w:top w:val="nil"/>
              <w:bottom w:val="nil"/>
            </w:tcBorders>
            <w:shd w:val="clear" w:color="auto" w:fill="auto"/>
            <w:vAlign w:val="center"/>
          </w:tcPr>
          <w:p w14:paraId="5CB45AE1"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6,044,571</w:t>
            </w:r>
          </w:p>
        </w:tc>
        <w:tc>
          <w:tcPr>
            <w:tcW w:w="1122" w:type="dxa"/>
            <w:tcBorders>
              <w:top w:val="nil"/>
              <w:bottom w:val="nil"/>
            </w:tcBorders>
            <w:shd w:val="clear" w:color="auto" w:fill="auto"/>
            <w:vAlign w:val="center"/>
          </w:tcPr>
          <w:p w14:paraId="0E0F4B99"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6,044,571</w:t>
            </w:r>
          </w:p>
        </w:tc>
      </w:tr>
      <w:tr w:rsidR="00AF04B6" w:rsidRPr="004E4235" w14:paraId="0673F00F" w14:textId="77777777" w:rsidTr="00A50ADB">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0B8F2262" w14:textId="77777777" w:rsidR="00AF04B6" w:rsidRPr="00AF04B6" w:rsidRDefault="00AF04B6" w:rsidP="002F6C75">
            <w:pPr>
              <w:keepNext/>
              <w:keepLines/>
              <w:spacing w:before="40" w:after="40"/>
              <w:rPr>
                <w:rFonts w:cs="Arial"/>
                <w:sz w:val="14"/>
                <w:szCs w:val="14"/>
                <w:lang w:val="en-US"/>
              </w:rPr>
            </w:pPr>
            <w:r w:rsidRPr="00AF04B6">
              <w:rPr>
                <w:bCs w:val="0"/>
                <w:sz w:val="14"/>
                <w:szCs w:val="14"/>
              </w:rPr>
              <w:t>Destinations</w:t>
            </w:r>
            <w:r w:rsidRPr="00AF04B6">
              <w:rPr>
                <w:b w:val="0"/>
                <w:bCs w:val="0"/>
                <w:sz w:val="14"/>
                <w:szCs w:val="14"/>
              </w:rPr>
              <w:t xml:space="preserve"> - Profit Reserves</w:t>
            </w:r>
          </w:p>
        </w:tc>
        <w:tc>
          <w:tcPr>
            <w:tcW w:w="852" w:type="dxa"/>
            <w:tcBorders>
              <w:top w:val="nil"/>
              <w:bottom w:val="nil"/>
            </w:tcBorders>
            <w:shd w:val="clear" w:color="auto" w:fill="auto"/>
            <w:vAlign w:val="center"/>
          </w:tcPr>
          <w:p w14:paraId="0D26B331"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76" w:type="dxa"/>
            <w:tcBorders>
              <w:top w:val="nil"/>
              <w:bottom w:val="nil"/>
            </w:tcBorders>
            <w:shd w:val="clear" w:color="auto" w:fill="auto"/>
            <w:vAlign w:val="center"/>
          </w:tcPr>
          <w:p w14:paraId="20B50B03"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r w:rsidRPr="00AF04B6">
              <w:rPr>
                <w:rFonts w:eastAsia="Times New Roman" w:cs="Arial"/>
                <w:bCs/>
                <w:spacing w:val="-2"/>
                <w:sz w:val="14"/>
                <w:szCs w:val="14"/>
                <w:lang w:eastAsia="pt-BR"/>
              </w:rPr>
              <w:t>--</w:t>
            </w:r>
          </w:p>
        </w:tc>
        <w:tc>
          <w:tcPr>
            <w:tcW w:w="993" w:type="dxa"/>
            <w:tcBorders>
              <w:top w:val="nil"/>
              <w:bottom w:val="nil"/>
            </w:tcBorders>
            <w:shd w:val="clear" w:color="auto" w:fill="auto"/>
            <w:vAlign w:val="center"/>
          </w:tcPr>
          <w:p w14:paraId="5C742C02"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r w:rsidRPr="00AF04B6">
              <w:rPr>
                <w:rFonts w:eastAsia="Times New Roman" w:cs="Arial"/>
                <w:bCs/>
                <w:spacing w:val="-2"/>
                <w:sz w:val="14"/>
                <w:szCs w:val="14"/>
                <w:lang w:eastAsia="pt-BR"/>
              </w:rPr>
              <w:t>--</w:t>
            </w:r>
          </w:p>
        </w:tc>
        <w:tc>
          <w:tcPr>
            <w:tcW w:w="1277" w:type="dxa"/>
            <w:tcBorders>
              <w:top w:val="nil"/>
              <w:bottom w:val="nil"/>
            </w:tcBorders>
            <w:shd w:val="clear" w:color="auto" w:fill="auto"/>
            <w:vAlign w:val="center"/>
          </w:tcPr>
          <w:p w14:paraId="6FC93239"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r w:rsidRPr="00AF04B6">
              <w:rPr>
                <w:rFonts w:cs="Arial"/>
                <w:sz w:val="14"/>
                <w:szCs w:val="14"/>
              </w:rPr>
              <w:t>302,229</w:t>
            </w:r>
          </w:p>
        </w:tc>
        <w:tc>
          <w:tcPr>
            <w:tcW w:w="1846" w:type="dxa"/>
            <w:tcBorders>
              <w:top w:val="nil"/>
              <w:bottom w:val="nil"/>
            </w:tcBorders>
            <w:shd w:val="clear" w:color="auto" w:fill="auto"/>
            <w:vAlign w:val="center"/>
          </w:tcPr>
          <w:p w14:paraId="1498AB52"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r w:rsidRPr="00AF04B6">
              <w:rPr>
                <w:rFonts w:eastAsia="Times New Roman" w:cs="Arial"/>
                <w:bCs/>
                <w:spacing w:val="-2"/>
                <w:sz w:val="14"/>
                <w:szCs w:val="14"/>
                <w:lang w:eastAsia="pt-BR"/>
              </w:rPr>
              <w:t>--</w:t>
            </w:r>
          </w:p>
        </w:tc>
        <w:tc>
          <w:tcPr>
            <w:tcW w:w="1122" w:type="dxa"/>
            <w:tcBorders>
              <w:top w:val="nil"/>
              <w:bottom w:val="nil"/>
            </w:tcBorders>
            <w:shd w:val="clear" w:color="auto" w:fill="auto"/>
            <w:vAlign w:val="center"/>
          </w:tcPr>
          <w:p w14:paraId="3FF130F2"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r w:rsidRPr="00AF04B6">
              <w:rPr>
                <w:rFonts w:eastAsia="Times New Roman" w:cs="Arial"/>
                <w:bCs/>
                <w:spacing w:val="-2"/>
                <w:sz w:val="14"/>
                <w:szCs w:val="14"/>
                <w:lang w:eastAsia="pt-BR"/>
              </w:rPr>
              <w:t>--</w:t>
            </w:r>
          </w:p>
        </w:tc>
        <w:tc>
          <w:tcPr>
            <w:tcW w:w="1289" w:type="dxa"/>
            <w:tcBorders>
              <w:top w:val="nil"/>
              <w:bottom w:val="nil"/>
            </w:tcBorders>
            <w:shd w:val="clear" w:color="auto" w:fill="auto"/>
            <w:vAlign w:val="center"/>
          </w:tcPr>
          <w:p w14:paraId="22EF8AAF"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F04B6">
              <w:rPr>
                <w:rFonts w:cs="Arial"/>
                <w:bCs/>
                <w:sz w:val="14"/>
                <w:szCs w:val="14"/>
              </w:rPr>
              <w:t>--</w:t>
            </w:r>
          </w:p>
        </w:tc>
        <w:tc>
          <w:tcPr>
            <w:tcW w:w="1560" w:type="dxa"/>
            <w:tcBorders>
              <w:top w:val="nil"/>
              <w:bottom w:val="nil"/>
            </w:tcBorders>
            <w:shd w:val="clear" w:color="auto" w:fill="auto"/>
            <w:vAlign w:val="center"/>
          </w:tcPr>
          <w:p w14:paraId="5AA81C16"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sidRPr="00AF04B6">
              <w:rPr>
                <w:rFonts w:cs="Arial"/>
                <w:sz w:val="14"/>
                <w:szCs w:val="14"/>
              </w:rPr>
              <w:t>(302,229)</w:t>
            </w:r>
          </w:p>
        </w:tc>
        <w:tc>
          <w:tcPr>
            <w:tcW w:w="1122" w:type="dxa"/>
            <w:tcBorders>
              <w:top w:val="nil"/>
              <w:bottom w:val="nil"/>
            </w:tcBorders>
            <w:shd w:val="clear" w:color="auto" w:fill="auto"/>
            <w:vAlign w:val="center"/>
          </w:tcPr>
          <w:p w14:paraId="7E4A60E3"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sidRPr="00AF04B6">
              <w:rPr>
                <w:rFonts w:eastAsia="Times New Roman" w:cs="Arial"/>
                <w:bCs/>
                <w:sz w:val="14"/>
                <w:szCs w:val="14"/>
              </w:rPr>
              <w:t>--</w:t>
            </w:r>
          </w:p>
        </w:tc>
      </w:tr>
      <w:tr w:rsidR="00AF04B6" w:rsidRPr="004E4235" w14:paraId="7DF6C546" w14:textId="77777777" w:rsidTr="00A50ADB">
        <w:trPr>
          <w:cnfStyle w:val="000000010000" w:firstRow="0" w:lastRow="0" w:firstColumn="0" w:lastColumn="0" w:oddVBand="0" w:evenVBand="0" w:oddHBand="0" w:evenHBand="1"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3689" w:type="dxa"/>
            <w:tcBorders>
              <w:top w:val="nil"/>
              <w:bottom w:val="nil"/>
            </w:tcBorders>
            <w:shd w:val="clear" w:color="auto" w:fill="auto"/>
            <w:vAlign w:val="center"/>
          </w:tcPr>
          <w:p w14:paraId="28CD3236" w14:textId="77777777" w:rsidR="00AF04B6" w:rsidRPr="00AF04B6" w:rsidRDefault="00AF04B6" w:rsidP="002F6C75">
            <w:pPr>
              <w:keepNext/>
              <w:keepLines/>
              <w:spacing w:before="40" w:after="40"/>
              <w:rPr>
                <w:rFonts w:cs="Arial"/>
                <w:sz w:val="14"/>
                <w:szCs w:val="14"/>
                <w:lang w:val="en-US"/>
              </w:rPr>
            </w:pPr>
            <w:r w:rsidRPr="00AF04B6">
              <w:rPr>
                <w:b w:val="0"/>
                <w:bCs w:val="0"/>
                <w:sz w:val="14"/>
                <w:szCs w:val="14"/>
                <w:lang w:val="en-US"/>
              </w:rPr>
              <w:t xml:space="preserve">                       - Intermediary dividends payable</w:t>
            </w:r>
          </w:p>
        </w:tc>
        <w:tc>
          <w:tcPr>
            <w:tcW w:w="852" w:type="dxa"/>
            <w:tcBorders>
              <w:top w:val="nil"/>
              <w:bottom w:val="nil"/>
            </w:tcBorders>
            <w:shd w:val="clear" w:color="auto" w:fill="auto"/>
            <w:vAlign w:val="center"/>
          </w:tcPr>
          <w:p w14:paraId="630C1563"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[25.d]</w:t>
            </w:r>
          </w:p>
        </w:tc>
        <w:tc>
          <w:tcPr>
            <w:tcW w:w="1276" w:type="dxa"/>
            <w:tcBorders>
              <w:top w:val="nil"/>
              <w:bottom w:val="nil"/>
            </w:tcBorders>
            <w:shd w:val="clear" w:color="auto" w:fill="auto"/>
            <w:vAlign w:val="center"/>
          </w:tcPr>
          <w:p w14:paraId="619D53A6"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lang w:eastAsia="pt-BR"/>
              </w:rPr>
            </w:pPr>
            <w:r w:rsidRPr="00AF04B6">
              <w:rPr>
                <w:rFonts w:eastAsia="Times New Roman" w:cs="Arial"/>
                <w:bCs/>
                <w:spacing w:val="-2"/>
                <w:sz w:val="14"/>
                <w:szCs w:val="14"/>
                <w:lang w:eastAsia="pt-BR"/>
              </w:rPr>
              <w:t>--</w:t>
            </w:r>
          </w:p>
        </w:tc>
        <w:tc>
          <w:tcPr>
            <w:tcW w:w="993" w:type="dxa"/>
            <w:tcBorders>
              <w:top w:val="nil"/>
              <w:bottom w:val="nil"/>
            </w:tcBorders>
            <w:shd w:val="clear" w:color="auto" w:fill="auto"/>
            <w:vAlign w:val="center"/>
          </w:tcPr>
          <w:p w14:paraId="6B9EFB97"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lang w:eastAsia="pt-BR"/>
              </w:rPr>
            </w:pPr>
            <w:r w:rsidRPr="00AF04B6">
              <w:rPr>
                <w:rFonts w:eastAsia="Times New Roman" w:cs="Arial"/>
                <w:bCs/>
                <w:spacing w:val="-2"/>
                <w:sz w:val="14"/>
                <w:szCs w:val="14"/>
                <w:lang w:eastAsia="pt-BR"/>
              </w:rPr>
              <w:t>--</w:t>
            </w:r>
          </w:p>
        </w:tc>
        <w:tc>
          <w:tcPr>
            <w:tcW w:w="1277" w:type="dxa"/>
            <w:tcBorders>
              <w:top w:val="nil"/>
              <w:bottom w:val="nil"/>
            </w:tcBorders>
            <w:shd w:val="clear" w:color="auto" w:fill="auto"/>
            <w:vAlign w:val="center"/>
          </w:tcPr>
          <w:p w14:paraId="4D26CC76"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lang w:eastAsia="pt-BR"/>
              </w:rPr>
            </w:pPr>
            <w:r w:rsidRPr="00AF04B6">
              <w:rPr>
                <w:rFonts w:eastAsia="Times New Roman" w:cs="Arial"/>
                <w:bCs/>
                <w:spacing w:val="-2"/>
                <w:sz w:val="14"/>
                <w:szCs w:val="14"/>
                <w:lang w:eastAsia="pt-BR"/>
              </w:rPr>
              <w:t>--</w:t>
            </w:r>
          </w:p>
        </w:tc>
        <w:tc>
          <w:tcPr>
            <w:tcW w:w="1846" w:type="dxa"/>
            <w:tcBorders>
              <w:top w:val="nil"/>
              <w:bottom w:val="nil"/>
            </w:tcBorders>
            <w:shd w:val="clear" w:color="auto" w:fill="auto"/>
            <w:vAlign w:val="center"/>
          </w:tcPr>
          <w:p w14:paraId="647EA767"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lang w:eastAsia="pt-BR"/>
              </w:rPr>
            </w:pPr>
            <w:r w:rsidRPr="00AF04B6">
              <w:rPr>
                <w:rFonts w:eastAsia="Times New Roman" w:cs="Arial"/>
                <w:bCs/>
                <w:spacing w:val="-2"/>
                <w:sz w:val="14"/>
                <w:szCs w:val="14"/>
                <w:lang w:eastAsia="pt-BR"/>
              </w:rPr>
              <w:t>--</w:t>
            </w:r>
          </w:p>
        </w:tc>
        <w:tc>
          <w:tcPr>
            <w:tcW w:w="1122" w:type="dxa"/>
            <w:tcBorders>
              <w:top w:val="nil"/>
              <w:bottom w:val="nil"/>
            </w:tcBorders>
            <w:shd w:val="clear" w:color="auto" w:fill="auto"/>
            <w:vAlign w:val="center"/>
          </w:tcPr>
          <w:p w14:paraId="69E900C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lang w:eastAsia="pt-BR"/>
              </w:rPr>
            </w:pPr>
            <w:r w:rsidRPr="00AF04B6">
              <w:rPr>
                <w:rFonts w:eastAsia="Times New Roman" w:cs="Arial"/>
                <w:bCs/>
                <w:spacing w:val="-2"/>
                <w:sz w:val="14"/>
                <w:szCs w:val="14"/>
                <w:lang w:eastAsia="pt-BR"/>
              </w:rPr>
              <w:t>--</w:t>
            </w:r>
          </w:p>
        </w:tc>
        <w:tc>
          <w:tcPr>
            <w:tcW w:w="1289" w:type="dxa"/>
            <w:tcBorders>
              <w:top w:val="nil"/>
              <w:bottom w:val="nil"/>
            </w:tcBorders>
            <w:shd w:val="clear" w:color="auto" w:fill="auto"/>
            <w:vAlign w:val="center"/>
          </w:tcPr>
          <w:p w14:paraId="2ACF640D"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AF04B6">
              <w:rPr>
                <w:rFonts w:cs="Arial"/>
                <w:bCs/>
                <w:sz w:val="14"/>
                <w:szCs w:val="14"/>
              </w:rPr>
              <w:t>--</w:t>
            </w:r>
          </w:p>
        </w:tc>
        <w:tc>
          <w:tcPr>
            <w:tcW w:w="1560" w:type="dxa"/>
            <w:tcBorders>
              <w:top w:val="nil"/>
              <w:bottom w:val="nil"/>
            </w:tcBorders>
            <w:shd w:val="clear" w:color="auto" w:fill="auto"/>
            <w:vAlign w:val="center"/>
          </w:tcPr>
          <w:p w14:paraId="713E226F"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z w:val="14"/>
                <w:szCs w:val="14"/>
              </w:rPr>
            </w:pPr>
            <w:r w:rsidRPr="00AF04B6">
              <w:rPr>
                <w:rFonts w:cs="Arial"/>
                <w:sz w:val="14"/>
                <w:szCs w:val="14"/>
              </w:rPr>
              <w:t>(2,068,697)</w:t>
            </w:r>
          </w:p>
        </w:tc>
        <w:tc>
          <w:tcPr>
            <w:tcW w:w="1122" w:type="dxa"/>
            <w:tcBorders>
              <w:top w:val="nil"/>
              <w:bottom w:val="nil"/>
            </w:tcBorders>
            <w:shd w:val="clear" w:color="auto" w:fill="auto"/>
            <w:vAlign w:val="center"/>
          </w:tcPr>
          <w:p w14:paraId="77BBE2C0"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z w:val="14"/>
                <w:szCs w:val="14"/>
              </w:rPr>
            </w:pPr>
            <w:r w:rsidRPr="00AF04B6">
              <w:rPr>
                <w:rFonts w:cs="Arial"/>
                <w:sz w:val="14"/>
                <w:szCs w:val="14"/>
              </w:rPr>
              <w:t>(2,068,697)</w:t>
            </w:r>
          </w:p>
        </w:tc>
      </w:tr>
      <w:tr w:rsidR="00AF04B6" w:rsidRPr="004E4235" w14:paraId="157310D7" w14:textId="77777777" w:rsidTr="002F6C75">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3689" w:type="dxa"/>
            <w:tcBorders>
              <w:top w:val="nil"/>
              <w:bottom w:val="single" w:sz="2" w:space="0" w:color="1F4E79" w:themeColor="accent1" w:themeShade="80"/>
            </w:tcBorders>
            <w:shd w:val="clear" w:color="auto" w:fill="auto"/>
            <w:vAlign w:val="center"/>
          </w:tcPr>
          <w:p w14:paraId="7EFB136D" w14:textId="77777777" w:rsidR="00AF04B6" w:rsidRPr="00AF04B6" w:rsidRDefault="00AF04B6" w:rsidP="002F6C75">
            <w:pPr>
              <w:keepNext/>
              <w:keepLines/>
              <w:spacing w:before="40" w:after="40"/>
              <w:ind w:left="177"/>
              <w:rPr>
                <w:rFonts w:eastAsia="Times New Roman" w:cs="Arial"/>
                <w:b w:val="0"/>
                <w:spacing w:val="-2"/>
                <w:sz w:val="14"/>
                <w:szCs w:val="14"/>
                <w:lang w:val="en-US" w:eastAsia="pt-BR"/>
              </w:rPr>
            </w:pPr>
            <w:r w:rsidRPr="00AF04B6">
              <w:rPr>
                <w:b w:val="0"/>
                <w:bCs w:val="0"/>
                <w:sz w:val="14"/>
                <w:szCs w:val="14"/>
              </w:rPr>
              <w:t xml:space="preserve">                  - Proposed dividends</w:t>
            </w:r>
          </w:p>
        </w:tc>
        <w:tc>
          <w:tcPr>
            <w:tcW w:w="852" w:type="dxa"/>
            <w:tcBorders>
              <w:top w:val="nil"/>
              <w:bottom w:val="single" w:sz="2" w:space="0" w:color="1F4E79" w:themeColor="accent1" w:themeShade="80"/>
            </w:tcBorders>
            <w:shd w:val="clear" w:color="auto" w:fill="auto"/>
            <w:vAlign w:val="center"/>
          </w:tcPr>
          <w:p w14:paraId="01252653"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val="en-US" w:eastAsia="pt-BR"/>
              </w:rPr>
            </w:pPr>
            <w:r w:rsidRPr="00AF04B6">
              <w:rPr>
                <w:rFonts w:eastAsia="Times New Roman" w:cs="Arial"/>
                <w:bCs/>
                <w:spacing w:val="-2"/>
                <w:sz w:val="14"/>
                <w:szCs w:val="14"/>
                <w:lang w:eastAsia="pt-BR"/>
              </w:rPr>
              <w:t>[25.d]</w:t>
            </w:r>
          </w:p>
        </w:tc>
        <w:tc>
          <w:tcPr>
            <w:tcW w:w="1276" w:type="dxa"/>
            <w:tcBorders>
              <w:top w:val="nil"/>
              <w:bottom w:val="single" w:sz="2" w:space="0" w:color="1F4E79" w:themeColor="accent1" w:themeShade="80"/>
            </w:tcBorders>
            <w:shd w:val="clear" w:color="auto" w:fill="auto"/>
            <w:vAlign w:val="center"/>
          </w:tcPr>
          <w:p w14:paraId="093BFD05"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z w:val="14"/>
                <w:szCs w:val="14"/>
              </w:rPr>
            </w:pPr>
            <w:r w:rsidRPr="00AF04B6">
              <w:rPr>
                <w:rFonts w:eastAsia="Times New Roman" w:cs="Arial"/>
                <w:bCs/>
                <w:sz w:val="14"/>
                <w:szCs w:val="14"/>
              </w:rPr>
              <w:t>--</w:t>
            </w:r>
          </w:p>
        </w:tc>
        <w:tc>
          <w:tcPr>
            <w:tcW w:w="993" w:type="dxa"/>
            <w:tcBorders>
              <w:top w:val="nil"/>
              <w:bottom w:val="single" w:sz="2" w:space="0" w:color="1F4E79" w:themeColor="accent1" w:themeShade="80"/>
            </w:tcBorders>
            <w:shd w:val="clear" w:color="auto" w:fill="auto"/>
            <w:vAlign w:val="center"/>
          </w:tcPr>
          <w:p w14:paraId="5D666B81"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AF04B6">
              <w:rPr>
                <w:rFonts w:eastAsia="Times New Roman" w:cs="Arial"/>
                <w:bCs/>
                <w:spacing w:val="-2"/>
                <w:sz w:val="14"/>
                <w:szCs w:val="14"/>
                <w:lang w:eastAsia="pt-BR"/>
              </w:rPr>
              <w:t>--</w:t>
            </w:r>
          </w:p>
        </w:tc>
        <w:tc>
          <w:tcPr>
            <w:tcW w:w="1277" w:type="dxa"/>
            <w:tcBorders>
              <w:top w:val="nil"/>
              <w:bottom w:val="single" w:sz="2" w:space="0" w:color="1F4E79" w:themeColor="accent1" w:themeShade="80"/>
            </w:tcBorders>
            <w:shd w:val="clear" w:color="auto" w:fill="auto"/>
            <w:vAlign w:val="center"/>
          </w:tcPr>
          <w:p w14:paraId="3D370C2B"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sidRPr="00AF04B6">
              <w:rPr>
                <w:rFonts w:eastAsia="Times New Roman" w:cs="Arial"/>
                <w:bCs/>
                <w:sz w:val="14"/>
                <w:szCs w:val="14"/>
              </w:rPr>
              <w:t>--</w:t>
            </w:r>
          </w:p>
        </w:tc>
        <w:tc>
          <w:tcPr>
            <w:tcW w:w="1846" w:type="dxa"/>
            <w:tcBorders>
              <w:top w:val="nil"/>
              <w:bottom w:val="single" w:sz="2" w:space="0" w:color="1F4E79" w:themeColor="accent1" w:themeShade="80"/>
            </w:tcBorders>
            <w:shd w:val="clear" w:color="auto" w:fill="auto"/>
            <w:vAlign w:val="center"/>
          </w:tcPr>
          <w:p w14:paraId="03DA96C1"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sidRPr="00AF04B6">
              <w:rPr>
                <w:rFonts w:eastAsia="Times New Roman" w:cs="Arial"/>
                <w:bCs/>
                <w:sz w:val="14"/>
                <w:szCs w:val="14"/>
              </w:rPr>
              <w:t>--</w:t>
            </w:r>
          </w:p>
        </w:tc>
        <w:tc>
          <w:tcPr>
            <w:tcW w:w="1122" w:type="dxa"/>
            <w:tcBorders>
              <w:top w:val="nil"/>
              <w:bottom w:val="single" w:sz="2" w:space="0" w:color="1F4E79" w:themeColor="accent1" w:themeShade="80"/>
            </w:tcBorders>
            <w:shd w:val="clear" w:color="auto" w:fill="auto"/>
            <w:vAlign w:val="center"/>
          </w:tcPr>
          <w:p w14:paraId="73D62860"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sidRPr="00AF04B6">
              <w:rPr>
                <w:rFonts w:eastAsia="Times New Roman" w:cs="Arial"/>
                <w:bCs/>
                <w:sz w:val="14"/>
                <w:szCs w:val="14"/>
              </w:rPr>
              <w:t>--</w:t>
            </w:r>
          </w:p>
        </w:tc>
        <w:tc>
          <w:tcPr>
            <w:tcW w:w="1289" w:type="dxa"/>
            <w:tcBorders>
              <w:top w:val="nil"/>
              <w:bottom w:val="single" w:sz="2" w:space="0" w:color="1F4E79" w:themeColor="accent1" w:themeShade="80"/>
            </w:tcBorders>
            <w:shd w:val="clear" w:color="auto" w:fill="auto"/>
            <w:vAlign w:val="center"/>
          </w:tcPr>
          <w:p w14:paraId="79D7E8E7"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AF04B6">
              <w:rPr>
                <w:rFonts w:cs="Arial"/>
                <w:bCs/>
                <w:sz w:val="14"/>
                <w:szCs w:val="14"/>
              </w:rPr>
              <w:t>--</w:t>
            </w:r>
          </w:p>
        </w:tc>
        <w:tc>
          <w:tcPr>
            <w:tcW w:w="1560" w:type="dxa"/>
            <w:tcBorders>
              <w:top w:val="nil"/>
              <w:bottom w:val="single" w:sz="2" w:space="0" w:color="1F4E79" w:themeColor="accent1" w:themeShade="80"/>
            </w:tcBorders>
            <w:shd w:val="clear" w:color="auto" w:fill="auto"/>
            <w:vAlign w:val="center"/>
          </w:tcPr>
          <w:p w14:paraId="6B0ED3D6"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sidRPr="00AF04B6">
              <w:rPr>
                <w:rFonts w:cs="Arial"/>
                <w:sz w:val="14"/>
                <w:szCs w:val="14"/>
              </w:rPr>
              <w:t>(3,673,724)</w:t>
            </w:r>
          </w:p>
        </w:tc>
        <w:tc>
          <w:tcPr>
            <w:tcW w:w="1122" w:type="dxa"/>
            <w:tcBorders>
              <w:top w:val="nil"/>
              <w:bottom w:val="single" w:sz="2" w:space="0" w:color="1F4E79" w:themeColor="accent1" w:themeShade="80"/>
            </w:tcBorders>
            <w:shd w:val="clear" w:color="auto" w:fill="auto"/>
            <w:vAlign w:val="center"/>
          </w:tcPr>
          <w:p w14:paraId="32E1A491"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sidRPr="00AF04B6">
              <w:rPr>
                <w:rFonts w:cs="Arial"/>
                <w:sz w:val="14"/>
                <w:szCs w:val="14"/>
              </w:rPr>
              <w:t>(3,673,724)</w:t>
            </w:r>
          </w:p>
        </w:tc>
      </w:tr>
      <w:tr w:rsidR="00AF04B6" w:rsidRPr="004E4235" w14:paraId="63EB6CC4" w14:textId="77777777" w:rsidTr="002F6C75">
        <w:trPr>
          <w:cnfStyle w:val="000000010000" w:firstRow="0" w:lastRow="0" w:firstColumn="0" w:lastColumn="0" w:oddVBand="0" w:evenVBand="0" w:oddHBand="0" w:evenHBand="1"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3689" w:type="dxa"/>
            <w:tcBorders>
              <w:top w:val="single" w:sz="2" w:space="0" w:color="1F4E79" w:themeColor="accent1" w:themeShade="80"/>
              <w:bottom w:val="single" w:sz="2" w:space="0" w:color="1F4E79" w:themeColor="accent1" w:themeShade="80"/>
            </w:tcBorders>
            <w:shd w:val="clear" w:color="auto" w:fill="auto"/>
            <w:vAlign w:val="center"/>
          </w:tcPr>
          <w:p w14:paraId="7A59CA7D" w14:textId="77777777" w:rsidR="00AF04B6" w:rsidRPr="00AF04B6" w:rsidRDefault="00AF04B6" w:rsidP="002F6C75">
            <w:pPr>
              <w:keepNext/>
              <w:keepLines/>
              <w:spacing w:before="40" w:after="40"/>
              <w:rPr>
                <w:rFonts w:eastAsia="Times New Roman" w:cs="Arial"/>
                <w:spacing w:val="-2"/>
                <w:sz w:val="14"/>
                <w:szCs w:val="14"/>
                <w:lang w:eastAsia="pt-BR"/>
              </w:rPr>
            </w:pPr>
            <w:r w:rsidRPr="00AF04B6">
              <w:rPr>
                <w:rFonts w:cs="Arial"/>
                <w:sz w:val="14"/>
                <w:szCs w:val="14"/>
              </w:rPr>
              <w:t>Balances at Dec 31, 2022</w:t>
            </w:r>
          </w:p>
        </w:tc>
        <w:tc>
          <w:tcPr>
            <w:tcW w:w="852" w:type="dxa"/>
            <w:tcBorders>
              <w:top w:val="single" w:sz="2" w:space="0" w:color="1F4E79" w:themeColor="accent1" w:themeShade="80"/>
              <w:bottom w:val="single" w:sz="2" w:space="0" w:color="1F4E79" w:themeColor="accent1" w:themeShade="80"/>
            </w:tcBorders>
            <w:shd w:val="clear" w:color="auto" w:fill="auto"/>
            <w:vAlign w:val="center"/>
          </w:tcPr>
          <w:p w14:paraId="61BA1B10"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3BAD262E"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6,269,692</w:t>
            </w: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7C9E85BA"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1,571</w:t>
            </w:r>
          </w:p>
        </w:tc>
        <w:tc>
          <w:tcPr>
            <w:tcW w:w="1277" w:type="dxa"/>
            <w:tcBorders>
              <w:top w:val="single" w:sz="2" w:space="0" w:color="1F4E79" w:themeColor="accent1" w:themeShade="80"/>
              <w:bottom w:val="single" w:sz="2" w:space="0" w:color="1F4E79" w:themeColor="accent1" w:themeShade="80"/>
            </w:tcBorders>
            <w:shd w:val="clear" w:color="auto" w:fill="auto"/>
            <w:vAlign w:val="center"/>
          </w:tcPr>
          <w:p w14:paraId="687D3AA9"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302,229</w:t>
            </w:r>
          </w:p>
        </w:tc>
        <w:tc>
          <w:tcPr>
            <w:tcW w:w="1846" w:type="dxa"/>
            <w:tcBorders>
              <w:top w:val="single" w:sz="2" w:space="0" w:color="1F4E79" w:themeColor="accent1" w:themeShade="80"/>
              <w:bottom w:val="single" w:sz="2" w:space="0" w:color="1F4E79" w:themeColor="accent1" w:themeShade="80"/>
            </w:tcBorders>
            <w:shd w:val="clear" w:color="auto" w:fill="auto"/>
            <w:vAlign w:val="center"/>
          </w:tcPr>
          <w:p w14:paraId="27405C9B"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1,250,000</w:t>
            </w:r>
          </w:p>
        </w:tc>
        <w:tc>
          <w:tcPr>
            <w:tcW w:w="1122" w:type="dxa"/>
            <w:tcBorders>
              <w:top w:val="single" w:sz="2" w:space="0" w:color="1F4E79" w:themeColor="accent1" w:themeShade="80"/>
              <w:bottom w:val="single" w:sz="2" w:space="0" w:color="1F4E79" w:themeColor="accent1" w:themeShade="80"/>
            </w:tcBorders>
            <w:shd w:val="clear" w:color="auto" w:fill="auto"/>
            <w:vAlign w:val="center"/>
          </w:tcPr>
          <w:p w14:paraId="6B2D7FC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(80,344)</w:t>
            </w:r>
          </w:p>
        </w:tc>
        <w:tc>
          <w:tcPr>
            <w:tcW w:w="1289" w:type="dxa"/>
            <w:tcBorders>
              <w:top w:val="single" w:sz="2" w:space="0" w:color="1F4E79" w:themeColor="accent1" w:themeShade="80"/>
              <w:bottom w:val="single" w:sz="2" w:space="0" w:color="1F4E79" w:themeColor="accent1" w:themeShade="80"/>
            </w:tcBorders>
            <w:shd w:val="clear" w:color="auto" w:fill="auto"/>
            <w:vAlign w:val="center"/>
          </w:tcPr>
          <w:p w14:paraId="4B8BA41F"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(147,047)</w:t>
            </w:r>
          </w:p>
        </w:tc>
        <w:tc>
          <w:tcPr>
            <w:tcW w:w="1560" w:type="dxa"/>
            <w:tcBorders>
              <w:top w:val="single" w:sz="2" w:space="0" w:color="1F4E79" w:themeColor="accent1" w:themeShade="80"/>
              <w:bottom w:val="single" w:sz="2" w:space="0" w:color="1F4E79" w:themeColor="accent1" w:themeShade="80"/>
            </w:tcBorders>
            <w:shd w:val="clear" w:color="auto" w:fill="auto"/>
            <w:vAlign w:val="center"/>
          </w:tcPr>
          <w:p w14:paraId="47242755"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eastAsia="Times New Roman" w:cs="Arial"/>
                <w:b/>
                <w:bCs/>
                <w:sz w:val="14"/>
                <w:szCs w:val="14"/>
              </w:rPr>
              <w:t>--</w:t>
            </w:r>
          </w:p>
        </w:tc>
        <w:tc>
          <w:tcPr>
            <w:tcW w:w="1122" w:type="dxa"/>
            <w:tcBorders>
              <w:top w:val="single" w:sz="2" w:space="0" w:color="1F4E79" w:themeColor="accent1" w:themeShade="80"/>
              <w:bottom w:val="single" w:sz="2" w:space="0" w:color="1F4E79" w:themeColor="accent1" w:themeShade="80"/>
            </w:tcBorders>
            <w:shd w:val="clear" w:color="auto" w:fill="auto"/>
            <w:vAlign w:val="center"/>
          </w:tcPr>
          <w:p w14:paraId="5105BB33" w14:textId="77777777" w:rsidR="00AF04B6" w:rsidRPr="00AF04B6" w:rsidRDefault="00AF04B6" w:rsidP="002F6C7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lang w:eastAsia="pt-BR"/>
              </w:rPr>
            </w:pPr>
            <w:r w:rsidRPr="00AF04B6">
              <w:rPr>
                <w:rFonts w:cs="Arial"/>
                <w:b/>
                <w:bCs/>
                <w:sz w:val="14"/>
                <w:szCs w:val="14"/>
              </w:rPr>
              <w:t>7,596,101</w:t>
            </w:r>
          </w:p>
        </w:tc>
      </w:tr>
      <w:tr w:rsidR="00AF04B6" w:rsidRPr="004E4235" w14:paraId="4B393166" w14:textId="77777777" w:rsidTr="00A50ADB">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689" w:type="dxa"/>
            <w:tcBorders>
              <w:top w:val="single" w:sz="2" w:space="0" w:color="1F4E79" w:themeColor="accent1" w:themeShade="80"/>
              <w:bottom w:val="single" w:sz="2" w:space="0" w:color="1F4E79" w:themeColor="accent1" w:themeShade="80"/>
            </w:tcBorders>
            <w:shd w:val="clear" w:color="auto" w:fill="auto"/>
            <w:vAlign w:val="center"/>
          </w:tcPr>
          <w:p w14:paraId="59B881DB" w14:textId="77777777" w:rsidR="00AF04B6" w:rsidRPr="00AF04B6" w:rsidRDefault="00AF04B6" w:rsidP="002F6C75">
            <w:pPr>
              <w:keepNext/>
              <w:keepLines/>
              <w:spacing w:before="40" w:after="40"/>
              <w:rPr>
                <w:rFonts w:eastAsia="Times New Roman" w:cs="Arial"/>
                <w:spacing w:val="-2"/>
                <w:sz w:val="14"/>
                <w:szCs w:val="14"/>
                <w:lang w:eastAsia="pt-BR"/>
              </w:rPr>
            </w:pPr>
            <w:r w:rsidRPr="00AF04B6">
              <w:rPr>
                <w:rFonts w:cs="Arial"/>
                <w:color w:val="000000"/>
                <w:sz w:val="14"/>
                <w:szCs w:val="14"/>
              </w:rPr>
              <w:t>Changes in the year</w:t>
            </w:r>
          </w:p>
        </w:tc>
        <w:tc>
          <w:tcPr>
            <w:tcW w:w="852" w:type="dxa"/>
            <w:tcBorders>
              <w:top w:val="single" w:sz="2" w:space="0" w:color="1F4E79" w:themeColor="accent1" w:themeShade="80"/>
              <w:bottom w:val="single" w:sz="2" w:space="0" w:color="1F4E79" w:themeColor="accent1" w:themeShade="80"/>
            </w:tcBorders>
            <w:shd w:val="clear" w:color="auto" w:fill="auto"/>
            <w:vAlign w:val="center"/>
          </w:tcPr>
          <w:p w14:paraId="165A828E"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294F4CD1"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b/>
                <w:bCs/>
                <w:color w:val="000000"/>
                <w:sz w:val="14"/>
                <w:szCs w:val="14"/>
              </w:rPr>
              <w:t>2,872,925</w:t>
            </w: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6242AF7C"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b/>
                <w:bCs/>
                <w:color w:val="000000"/>
                <w:sz w:val="14"/>
                <w:szCs w:val="14"/>
              </w:rPr>
              <w:t>63</w:t>
            </w:r>
          </w:p>
        </w:tc>
        <w:tc>
          <w:tcPr>
            <w:tcW w:w="1277" w:type="dxa"/>
            <w:tcBorders>
              <w:top w:val="single" w:sz="2" w:space="0" w:color="1F4E79" w:themeColor="accent1" w:themeShade="80"/>
              <w:bottom w:val="single" w:sz="2" w:space="0" w:color="1F4E79" w:themeColor="accent1" w:themeShade="80"/>
            </w:tcBorders>
            <w:shd w:val="clear" w:color="auto" w:fill="auto"/>
            <w:vAlign w:val="center"/>
          </w:tcPr>
          <w:p w14:paraId="335325C7"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b/>
                <w:bCs/>
                <w:color w:val="000000"/>
                <w:sz w:val="14"/>
                <w:szCs w:val="14"/>
              </w:rPr>
              <w:t>(377,125)</w:t>
            </w:r>
          </w:p>
        </w:tc>
        <w:tc>
          <w:tcPr>
            <w:tcW w:w="1846" w:type="dxa"/>
            <w:tcBorders>
              <w:top w:val="single" w:sz="2" w:space="0" w:color="1F4E79" w:themeColor="accent1" w:themeShade="80"/>
              <w:bottom w:val="single" w:sz="2" w:space="0" w:color="1F4E79" w:themeColor="accent1" w:themeShade="80"/>
            </w:tcBorders>
            <w:shd w:val="clear" w:color="auto" w:fill="auto"/>
            <w:vAlign w:val="center"/>
          </w:tcPr>
          <w:p w14:paraId="17DD1531"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b/>
                <w:bCs/>
                <w:color w:val="000000"/>
                <w:sz w:val="14"/>
                <w:szCs w:val="14"/>
              </w:rPr>
              <w:t>(2,193,571)</w:t>
            </w:r>
          </w:p>
        </w:tc>
        <w:tc>
          <w:tcPr>
            <w:tcW w:w="1122" w:type="dxa"/>
            <w:tcBorders>
              <w:top w:val="single" w:sz="2" w:space="0" w:color="1F4E79" w:themeColor="accent1" w:themeShade="80"/>
              <w:bottom w:val="single" w:sz="2" w:space="0" w:color="1F4E79" w:themeColor="accent1" w:themeShade="80"/>
            </w:tcBorders>
            <w:shd w:val="clear" w:color="auto" w:fill="auto"/>
            <w:vAlign w:val="center"/>
          </w:tcPr>
          <w:p w14:paraId="1782C0BC"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b/>
                <w:bCs/>
                <w:color w:val="000000"/>
                <w:sz w:val="14"/>
                <w:szCs w:val="14"/>
              </w:rPr>
              <w:t>976</w:t>
            </w:r>
          </w:p>
        </w:tc>
        <w:tc>
          <w:tcPr>
            <w:tcW w:w="1289" w:type="dxa"/>
            <w:tcBorders>
              <w:top w:val="single" w:sz="2" w:space="0" w:color="1F4E79" w:themeColor="accent1" w:themeShade="80"/>
              <w:bottom w:val="single" w:sz="2" w:space="0" w:color="1F4E79" w:themeColor="accent1" w:themeShade="80"/>
            </w:tcBorders>
            <w:shd w:val="clear" w:color="auto" w:fill="auto"/>
            <w:vAlign w:val="center"/>
          </w:tcPr>
          <w:p w14:paraId="0E28AE2A"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b/>
                <w:bCs/>
                <w:color w:val="000000"/>
                <w:sz w:val="14"/>
                <w:szCs w:val="14"/>
              </w:rPr>
              <w:t>11,417</w:t>
            </w:r>
          </w:p>
        </w:tc>
        <w:tc>
          <w:tcPr>
            <w:tcW w:w="1560" w:type="dxa"/>
            <w:tcBorders>
              <w:top w:val="single" w:sz="2" w:space="0" w:color="1F4E79" w:themeColor="accent1" w:themeShade="80"/>
              <w:bottom w:val="single" w:sz="2" w:space="0" w:color="1F4E79" w:themeColor="accent1" w:themeShade="80"/>
            </w:tcBorders>
            <w:shd w:val="clear" w:color="auto" w:fill="auto"/>
            <w:vAlign w:val="center"/>
          </w:tcPr>
          <w:p w14:paraId="49AE27C5"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eastAsia="Times New Roman" w:cs="Arial"/>
                <w:b/>
                <w:bCs/>
                <w:color w:val="000000"/>
                <w:sz w:val="14"/>
                <w:szCs w:val="14"/>
              </w:rPr>
              <w:t>--</w:t>
            </w:r>
          </w:p>
        </w:tc>
        <w:tc>
          <w:tcPr>
            <w:tcW w:w="1122" w:type="dxa"/>
            <w:tcBorders>
              <w:top w:val="single" w:sz="2" w:space="0" w:color="1F4E79" w:themeColor="accent1" w:themeShade="80"/>
              <w:bottom w:val="single" w:sz="2" w:space="0" w:color="1F4E79" w:themeColor="accent1" w:themeShade="80"/>
            </w:tcBorders>
            <w:shd w:val="clear" w:color="auto" w:fill="auto"/>
            <w:vAlign w:val="center"/>
          </w:tcPr>
          <w:p w14:paraId="39389858" w14:textId="77777777" w:rsidR="00AF04B6" w:rsidRPr="00AF04B6" w:rsidRDefault="00AF04B6" w:rsidP="002F6C7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AF04B6">
              <w:rPr>
                <w:rFonts w:cs="Arial"/>
                <w:b/>
                <w:bCs/>
                <w:color w:val="000000"/>
                <w:sz w:val="14"/>
                <w:szCs w:val="14"/>
              </w:rPr>
              <w:t>314,685</w:t>
            </w:r>
          </w:p>
        </w:tc>
      </w:tr>
    </w:tbl>
    <w:p w14:paraId="6C28F031" w14:textId="77777777" w:rsidR="00AF04B6" w:rsidRDefault="00AF04B6" w:rsidP="00D366A1">
      <w:pPr>
        <w:rPr>
          <w:spacing w:val="-2"/>
          <w:sz w:val="14"/>
          <w:szCs w:val="18"/>
          <w:lang w:val="en-US"/>
        </w:rPr>
      </w:pPr>
      <w:r w:rsidRPr="007E0F9F">
        <w:rPr>
          <w:spacing w:val="-2"/>
          <w:sz w:val="14"/>
          <w:szCs w:val="18"/>
          <w:lang w:val="en-US"/>
        </w:rPr>
        <w:t>The accompanying notes are an integral part of these financial statements</w:t>
      </w:r>
    </w:p>
    <w:p w14:paraId="79937558" w14:textId="77777777" w:rsidR="00AF04B6" w:rsidRPr="00BD6C7E" w:rsidRDefault="00AF04B6" w:rsidP="00D366A1">
      <w:pPr>
        <w:rPr>
          <w:rFonts w:cs="Arial"/>
          <w:sz w:val="14"/>
          <w:szCs w:val="14"/>
          <w:lang w:val="en-US"/>
        </w:rPr>
        <w:sectPr w:rsidR="00AF04B6" w:rsidRPr="00BD6C7E" w:rsidSect="003E112B">
          <w:headerReference w:type="even" r:id="rId17"/>
          <w:headerReference w:type="default" r:id="rId18"/>
          <w:footerReference w:type="default" r:id="rId19"/>
          <w:headerReference w:type="first" r:id="rId20"/>
          <w:pgSz w:w="16838" w:h="11906" w:orient="landscape" w:code="9"/>
          <w:pgMar w:top="1134" w:right="1134" w:bottom="1134" w:left="851" w:header="851" w:footer="284" w:gutter="0"/>
          <w:cols w:space="708"/>
          <w:docGrid w:linePitch="360"/>
        </w:sectPr>
      </w:pPr>
    </w:p>
    <w:p w14:paraId="2909A064" w14:textId="77777777" w:rsidR="00AF04B6" w:rsidRPr="00BA4C93" w:rsidRDefault="00AF04B6" w:rsidP="00FC4475">
      <w:pPr>
        <w:pStyle w:val="Ttulo1"/>
      </w:pPr>
      <w:bookmarkStart w:id="19" w:name="_Toc126781090"/>
      <w:r w:rsidRPr="00BA4C93">
        <w:lastRenderedPageBreak/>
        <w:t>STATEMENT OF VALUE ADDED</w:t>
      </w:r>
      <w:bookmarkEnd w:id="19"/>
    </w:p>
    <w:p w14:paraId="715AD3B3" w14:textId="77777777" w:rsidR="00AF04B6" w:rsidRPr="00AF04B6" w:rsidRDefault="00AF04B6" w:rsidP="009768B6">
      <w:pPr>
        <w:pStyle w:val="06-Rmil"/>
        <w:rPr>
          <w:lang w:val="en-US"/>
        </w:rPr>
      </w:pPr>
      <w:r w:rsidRPr="00AF04B6">
        <w:rPr>
          <w:lang w:val="en-US"/>
        </w:rPr>
        <w:t>R$ thousand</w:t>
      </w:r>
    </w:p>
    <w:tbl>
      <w:tblPr>
        <w:tblStyle w:val="TabeladeLista6Colorida-nfase5"/>
        <w:tblW w:w="9639" w:type="dxa"/>
        <w:jc w:val="center"/>
        <w:tblLayout w:type="fixed"/>
        <w:tblLook w:val="04A0" w:firstRow="1" w:lastRow="0" w:firstColumn="1" w:lastColumn="0" w:noHBand="0" w:noVBand="1"/>
      </w:tblPr>
      <w:tblGrid>
        <w:gridCol w:w="3119"/>
        <w:gridCol w:w="678"/>
        <w:gridCol w:w="1306"/>
        <w:gridCol w:w="1418"/>
        <w:gridCol w:w="280"/>
        <w:gridCol w:w="1421"/>
        <w:gridCol w:w="1417"/>
      </w:tblGrid>
      <w:tr w:rsidR="00AF04B6" w14:paraId="32076A22" w14:textId="77777777" w:rsidTr="009D76C5">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2" w:space="0" w:color="1F4E79" w:themeColor="accent1" w:themeShade="80"/>
              <w:bottom w:val="nil"/>
            </w:tcBorders>
            <w:shd w:val="clear" w:color="auto" w:fill="auto"/>
            <w:vAlign w:val="center"/>
          </w:tcPr>
          <w:p w14:paraId="44785CC8" w14:textId="77777777" w:rsidR="00AF04B6" w:rsidRPr="0038283D" w:rsidRDefault="00AF04B6" w:rsidP="006436B3">
            <w:pPr>
              <w:jc w:val="center"/>
              <w:rPr>
                <w:rFonts w:cs="Arial"/>
                <w:b w:val="0"/>
                <w:szCs w:val="18"/>
                <w:lang w:val="en-US"/>
              </w:rPr>
            </w:pPr>
          </w:p>
        </w:tc>
        <w:tc>
          <w:tcPr>
            <w:tcW w:w="678" w:type="dxa"/>
            <w:tcBorders>
              <w:top w:val="single" w:sz="2" w:space="0" w:color="1F4E79" w:themeColor="accent1" w:themeShade="80"/>
              <w:bottom w:val="nil"/>
            </w:tcBorders>
            <w:shd w:val="clear" w:color="auto" w:fill="auto"/>
          </w:tcPr>
          <w:p w14:paraId="588C4E14" w14:textId="77777777" w:rsidR="00AF04B6" w:rsidRPr="0038283D" w:rsidRDefault="00AF04B6" w:rsidP="006436B3">
            <w:pPr>
              <w:jc w:val="cente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724" w:type="dxa"/>
            <w:gridSpan w:val="2"/>
            <w:tcBorders>
              <w:top w:val="single" w:sz="2" w:space="0" w:color="1F4E79" w:themeColor="accent1" w:themeShade="80"/>
              <w:bottom w:val="single" w:sz="2" w:space="0" w:color="1F4E79" w:themeColor="accent1" w:themeShade="80"/>
            </w:tcBorders>
            <w:shd w:val="clear" w:color="auto" w:fill="auto"/>
            <w:vAlign w:val="center"/>
          </w:tcPr>
          <w:p w14:paraId="199C44E9" w14:textId="77777777" w:rsidR="00AF04B6" w:rsidRPr="0038031F" w:rsidRDefault="00AF04B6" w:rsidP="006436B3">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9768B6">
              <w:rPr>
                <w:rFonts w:cs="Arial"/>
                <w:sz w:val="14"/>
                <w:szCs w:val="18"/>
              </w:rPr>
              <w:t>Parent</w:t>
            </w:r>
          </w:p>
        </w:tc>
        <w:tc>
          <w:tcPr>
            <w:tcW w:w="280" w:type="dxa"/>
            <w:tcBorders>
              <w:top w:val="single" w:sz="2" w:space="0" w:color="1F4E79" w:themeColor="accent1" w:themeShade="80"/>
              <w:bottom w:val="nil"/>
            </w:tcBorders>
            <w:shd w:val="clear" w:color="auto" w:fill="auto"/>
          </w:tcPr>
          <w:p w14:paraId="1B0C6AD9" w14:textId="77777777" w:rsidR="00AF04B6" w:rsidRPr="001D6BE8" w:rsidRDefault="00AF04B6" w:rsidP="006436B3">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38" w:type="dxa"/>
            <w:gridSpan w:val="2"/>
            <w:tcBorders>
              <w:top w:val="single" w:sz="2" w:space="0" w:color="1F4E79" w:themeColor="accent1" w:themeShade="80"/>
              <w:bottom w:val="single" w:sz="2" w:space="0" w:color="1F4E79" w:themeColor="accent1" w:themeShade="80"/>
            </w:tcBorders>
            <w:shd w:val="clear" w:color="auto" w:fill="auto"/>
            <w:vAlign w:val="center"/>
          </w:tcPr>
          <w:p w14:paraId="466BD642" w14:textId="77777777" w:rsidR="00AF04B6" w:rsidRPr="0038031F" w:rsidRDefault="00AF04B6" w:rsidP="006436B3">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9768B6">
              <w:rPr>
                <w:rFonts w:cs="Arial"/>
                <w:sz w:val="14"/>
                <w:szCs w:val="18"/>
              </w:rPr>
              <w:t>Consolidated</w:t>
            </w:r>
          </w:p>
        </w:tc>
      </w:tr>
      <w:tr w:rsidR="00AF04B6" w:rsidRPr="001D6BE8" w14:paraId="50E89859" w14:textId="77777777" w:rsidTr="00BB0772">
        <w:trPr>
          <w:cnfStyle w:val="000000100000" w:firstRow="0" w:lastRow="0" w:firstColumn="0" w:lastColumn="0" w:oddVBand="0" w:evenVBand="0" w:oddHBand="1" w:evenHBand="0" w:firstRowFirstColumn="0" w:firstRowLastColumn="0" w:lastRowFirstColumn="0" w:lastRowLastColumn="0"/>
          <w:trHeight w:hRule="exact" w:val="46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2" w:space="0" w:color="1F4E79" w:themeColor="accent1" w:themeShade="80"/>
            </w:tcBorders>
            <w:shd w:val="clear" w:color="auto" w:fill="auto"/>
          </w:tcPr>
          <w:p w14:paraId="617F711E" w14:textId="77777777" w:rsidR="00AF04B6" w:rsidRPr="001D6BE8" w:rsidRDefault="00AF04B6" w:rsidP="00DE24BE">
            <w:pPr>
              <w:pStyle w:val="08-Tabelageral"/>
              <w:jc w:val="left"/>
              <w:rPr>
                <w:rFonts w:cs="Arial"/>
                <w:b w:val="0"/>
              </w:rPr>
            </w:pPr>
          </w:p>
        </w:tc>
        <w:tc>
          <w:tcPr>
            <w:tcW w:w="678" w:type="dxa"/>
            <w:tcBorders>
              <w:top w:val="nil"/>
              <w:bottom w:val="single" w:sz="2" w:space="0" w:color="1F4E79" w:themeColor="accent1" w:themeShade="80"/>
            </w:tcBorders>
            <w:shd w:val="clear" w:color="auto" w:fill="auto"/>
          </w:tcPr>
          <w:p w14:paraId="712372C6" w14:textId="77777777" w:rsidR="00AF04B6" w:rsidRPr="001D6BE8" w:rsidRDefault="00AF04B6" w:rsidP="00DE24BE">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A01CCC">
              <w:rPr>
                <w:b/>
              </w:rPr>
              <w:t>Note</w:t>
            </w:r>
          </w:p>
        </w:tc>
        <w:tc>
          <w:tcPr>
            <w:tcW w:w="1306" w:type="dxa"/>
            <w:tcBorders>
              <w:top w:val="single" w:sz="2" w:space="0" w:color="1F4E79" w:themeColor="accent1" w:themeShade="80"/>
              <w:bottom w:val="single" w:sz="2" w:space="0" w:color="1F4E79" w:themeColor="accent1" w:themeShade="80"/>
            </w:tcBorders>
            <w:shd w:val="clear" w:color="auto" w:fill="auto"/>
          </w:tcPr>
          <w:p w14:paraId="77F6FED4" w14:textId="77777777" w:rsidR="00AF04B6" w:rsidRPr="00BB0772" w:rsidRDefault="00AF04B6" w:rsidP="00BB0772">
            <w:pPr>
              <w:pStyle w:val="Default"/>
              <w:jc w:val="right"/>
              <w:cnfStyle w:val="000000100000" w:firstRow="0" w:lastRow="0" w:firstColumn="0" w:lastColumn="0" w:oddVBand="0" w:evenVBand="0" w:oddHBand="1" w:evenHBand="0" w:firstRowFirstColumn="0" w:firstRowLastColumn="0" w:lastRowFirstColumn="0" w:lastRowLastColumn="0"/>
              <w:rPr>
                <w:b/>
                <w:sz w:val="14"/>
                <w:szCs w:val="14"/>
              </w:rPr>
            </w:pPr>
            <w:r w:rsidRPr="00BB0772">
              <w:rPr>
                <w:b/>
                <w:sz w:val="14"/>
                <w:szCs w:val="14"/>
              </w:rPr>
              <w:t>2022</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599AF03E" w14:textId="77777777" w:rsidR="00AF04B6" w:rsidRDefault="00AF04B6" w:rsidP="00BB0772">
            <w:pPr>
              <w:pStyle w:val="Default"/>
              <w:jc w:val="right"/>
              <w:cnfStyle w:val="000000100000" w:firstRow="0" w:lastRow="0" w:firstColumn="0" w:lastColumn="0" w:oddVBand="0" w:evenVBand="0" w:oddHBand="1" w:evenHBand="0" w:firstRowFirstColumn="0" w:firstRowLastColumn="0" w:lastRowFirstColumn="0" w:lastRowLastColumn="0"/>
              <w:rPr>
                <w:b/>
                <w:sz w:val="14"/>
                <w:szCs w:val="14"/>
              </w:rPr>
            </w:pPr>
            <w:r>
              <w:rPr>
                <w:b/>
                <w:sz w:val="14"/>
                <w:szCs w:val="14"/>
              </w:rPr>
              <w:t>2021</w:t>
            </w:r>
          </w:p>
          <w:p w14:paraId="27FF63A6" w14:textId="77777777" w:rsidR="00AF04B6" w:rsidRDefault="00AF04B6" w:rsidP="00BB0772">
            <w:pPr>
              <w:pStyle w:val="Default"/>
              <w:jc w:val="right"/>
              <w:cnfStyle w:val="000000100000" w:firstRow="0" w:lastRow="0" w:firstColumn="0" w:lastColumn="0" w:oddVBand="0" w:evenVBand="0" w:oddHBand="1" w:evenHBand="0" w:firstRowFirstColumn="0" w:firstRowLastColumn="0" w:lastRowFirstColumn="0" w:lastRowLastColumn="0"/>
              <w:rPr>
                <w:b/>
                <w:sz w:val="14"/>
                <w:szCs w:val="14"/>
              </w:rPr>
            </w:pPr>
            <w:r w:rsidRPr="00DE24BE">
              <w:rPr>
                <w:b/>
                <w:sz w:val="14"/>
                <w:szCs w:val="14"/>
              </w:rPr>
              <w:t>re-introduced</w:t>
            </w:r>
          </w:p>
          <w:p w14:paraId="0B9EAB14" w14:textId="77777777" w:rsidR="00AF04B6" w:rsidRPr="00DE24BE" w:rsidRDefault="00AF04B6" w:rsidP="00DE24BE">
            <w:pPr>
              <w:pStyle w:val="Default"/>
              <w:jc w:val="right"/>
              <w:cnfStyle w:val="000000100000" w:firstRow="0" w:lastRow="0" w:firstColumn="0" w:lastColumn="0" w:oddVBand="0" w:evenVBand="0" w:oddHBand="1" w:evenHBand="0" w:firstRowFirstColumn="0" w:firstRowLastColumn="0" w:lastRowFirstColumn="0" w:lastRowLastColumn="0"/>
              <w:rPr>
                <w:b/>
                <w:bCs/>
                <w:sz w:val="14"/>
                <w:szCs w:val="14"/>
                <w:highlight w:val="yellow"/>
              </w:rPr>
            </w:pPr>
          </w:p>
        </w:tc>
        <w:tc>
          <w:tcPr>
            <w:tcW w:w="280" w:type="dxa"/>
            <w:tcBorders>
              <w:top w:val="nil"/>
              <w:bottom w:val="single" w:sz="2" w:space="0" w:color="1F4E79" w:themeColor="accent1" w:themeShade="80"/>
            </w:tcBorders>
            <w:shd w:val="clear" w:color="auto" w:fill="auto"/>
            <w:vAlign w:val="center"/>
          </w:tcPr>
          <w:p w14:paraId="6115D496" w14:textId="77777777" w:rsidR="00AF04B6" w:rsidRPr="00DE24BE" w:rsidRDefault="00AF04B6" w:rsidP="00DE24B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p>
        </w:tc>
        <w:tc>
          <w:tcPr>
            <w:tcW w:w="1421" w:type="dxa"/>
            <w:tcBorders>
              <w:top w:val="single" w:sz="2" w:space="0" w:color="1F4E79" w:themeColor="accent1" w:themeShade="80"/>
              <w:bottom w:val="single" w:sz="2" w:space="0" w:color="1F4E79" w:themeColor="accent1" w:themeShade="80"/>
            </w:tcBorders>
            <w:shd w:val="clear" w:color="auto" w:fill="auto"/>
          </w:tcPr>
          <w:p w14:paraId="1D8972C9" w14:textId="77777777" w:rsidR="00AF04B6" w:rsidRPr="00DE24BE" w:rsidRDefault="00AF04B6" w:rsidP="00DE24BE">
            <w:pPr>
              <w:pStyle w:val="Default"/>
              <w:jc w:val="right"/>
              <w:cnfStyle w:val="000000100000" w:firstRow="0" w:lastRow="0" w:firstColumn="0" w:lastColumn="0" w:oddVBand="0" w:evenVBand="0" w:oddHBand="1" w:evenHBand="0" w:firstRowFirstColumn="0" w:firstRowLastColumn="0" w:lastRowFirstColumn="0" w:lastRowLastColumn="0"/>
              <w:rPr>
                <w:b/>
                <w:bCs/>
                <w:sz w:val="14"/>
                <w:szCs w:val="14"/>
                <w:highlight w:val="yellow"/>
              </w:rPr>
            </w:pPr>
            <w:r>
              <w:rPr>
                <w:b/>
                <w:sz w:val="14"/>
                <w:szCs w:val="14"/>
              </w:rPr>
              <w:t>2022</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3D0538E6" w14:textId="77777777" w:rsidR="00AF04B6" w:rsidRDefault="00AF04B6" w:rsidP="00DE24BE">
            <w:pPr>
              <w:pStyle w:val="Default"/>
              <w:jc w:val="right"/>
              <w:cnfStyle w:val="000000100000" w:firstRow="0" w:lastRow="0" w:firstColumn="0" w:lastColumn="0" w:oddVBand="0" w:evenVBand="0" w:oddHBand="1" w:evenHBand="0" w:firstRowFirstColumn="0" w:firstRowLastColumn="0" w:lastRowFirstColumn="0" w:lastRowLastColumn="0"/>
              <w:rPr>
                <w:b/>
                <w:sz w:val="14"/>
                <w:szCs w:val="14"/>
              </w:rPr>
            </w:pPr>
            <w:r>
              <w:rPr>
                <w:b/>
                <w:sz w:val="14"/>
                <w:szCs w:val="14"/>
              </w:rPr>
              <w:t>2021</w:t>
            </w:r>
          </w:p>
          <w:p w14:paraId="0C64AC05" w14:textId="77777777" w:rsidR="00AF04B6" w:rsidRDefault="00AF04B6" w:rsidP="00DE24BE">
            <w:pPr>
              <w:pStyle w:val="Default"/>
              <w:jc w:val="right"/>
              <w:cnfStyle w:val="000000100000" w:firstRow="0" w:lastRow="0" w:firstColumn="0" w:lastColumn="0" w:oddVBand="0" w:evenVBand="0" w:oddHBand="1" w:evenHBand="0" w:firstRowFirstColumn="0" w:firstRowLastColumn="0" w:lastRowFirstColumn="0" w:lastRowLastColumn="0"/>
              <w:rPr>
                <w:b/>
                <w:sz w:val="14"/>
                <w:szCs w:val="14"/>
              </w:rPr>
            </w:pPr>
            <w:r w:rsidRPr="00DE24BE">
              <w:rPr>
                <w:b/>
                <w:sz w:val="14"/>
                <w:szCs w:val="14"/>
              </w:rPr>
              <w:t>re-introduced</w:t>
            </w:r>
          </w:p>
          <w:p w14:paraId="0D27F4D7" w14:textId="77777777" w:rsidR="00AF04B6" w:rsidRPr="00DE24BE" w:rsidRDefault="00AF04B6" w:rsidP="00DE24BE">
            <w:pPr>
              <w:pStyle w:val="Default"/>
              <w:jc w:val="right"/>
              <w:cnfStyle w:val="000000100000" w:firstRow="0" w:lastRow="0" w:firstColumn="0" w:lastColumn="0" w:oddVBand="0" w:evenVBand="0" w:oddHBand="1" w:evenHBand="0" w:firstRowFirstColumn="0" w:firstRowLastColumn="0" w:lastRowFirstColumn="0" w:lastRowLastColumn="0"/>
              <w:rPr>
                <w:b/>
                <w:bCs/>
                <w:sz w:val="14"/>
                <w:szCs w:val="14"/>
                <w:highlight w:val="yellow"/>
              </w:rPr>
            </w:pPr>
          </w:p>
        </w:tc>
      </w:tr>
      <w:tr w:rsidR="00AF04B6" w:rsidRPr="00DB02F0" w14:paraId="19E860F1"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2" w:space="0" w:color="1F4E79" w:themeColor="accent1" w:themeShade="80"/>
              <w:bottom w:val="nil"/>
            </w:tcBorders>
            <w:shd w:val="clear" w:color="auto" w:fill="auto"/>
            <w:vAlign w:val="center"/>
          </w:tcPr>
          <w:p w14:paraId="062969AC" w14:textId="77777777" w:rsidR="00AF04B6" w:rsidRPr="00BA3C79" w:rsidRDefault="00AF04B6" w:rsidP="00BB0772">
            <w:pPr>
              <w:pStyle w:val="08-Tabelageral"/>
              <w:jc w:val="left"/>
            </w:pPr>
            <w:r w:rsidRPr="00CC04B5">
              <w:t>Income</w:t>
            </w:r>
          </w:p>
        </w:tc>
        <w:tc>
          <w:tcPr>
            <w:tcW w:w="678" w:type="dxa"/>
            <w:tcBorders>
              <w:top w:val="single" w:sz="2" w:space="0" w:color="1F4E79" w:themeColor="accent1" w:themeShade="80"/>
              <w:bottom w:val="nil"/>
            </w:tcBorders>
            <w:shd w:val="clear" w:color="auto" w:fill="auto"/>
          </w:tcPr>
          <w:p w14:paraId="7DC7AF11" w14:textId="77777777" w:rsidR="00AF04B6" w:rsidRPr="00BA3C79" w:rsidRDefault="00AF04B6" w:rsidP="00BB0772">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306" w:type="dxa"/>
            <w:tcBorders>
              <w:top w:val="single" w:sz="2" w:space="0" w:color="1F4E79" w:themeColor="accent1" w:themeShade="80"/>
              <w:bottom w:val="nil"/>
            </w:tcBorders>
            <w:shd w:val="clear" w:color="auto" w:fill="auto"/>
            <w:vAlign w:val="bottom"/>
          </w:tcPr>
          <w:p w14:paraId="7094193B" w14:textId="77777777" w:rsidR="00AF04B6" w:rsidRPr="00CF21E0"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8,530</w:t>
            </w:r>
          </w:p>
        </w:tc>
        <w:tc>
          <w:tcPr>
            <w:tcW w:w="1418" w:type="dxa"/>
            <w:tcBorders>
              <w:top w:val="single" w:sz="2" w:space="0" w:color="1F4E79" w:themeColor="accent1" w:themeShade="80"/>
              <w:bottom w:val="nil"/>
            </w:tcBorders>
            <w:shd w:val="clear" w:color="auto" w:fill="auto"/>
            <w:vAlign w:val="bottom"/>
          </w:tcPr>
          <w:p w14:paraId="7C98E896" w14:textId="77777777" w:rsidR="00AF04B6" w:rsidRPr="00CF21E0"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9,024</w:t>
            </w:r>
          </w:p>
        </w:tc>
        <w:tc>
          <w:tcPr>
            <w:tcW w:w="280" w:type="dxa"/>
            <w:tcBorders>
              <w:top w:val="single" w:sz="2" w:space="0" w:color="1F4E79" w:themeColor="accent1" w:themeShade="80"/>
              <w:bottom w:val="nil"/>
            </w:tcBorders>
            <w:shd w:val="clear" w:color="auto" w:fill="auto"/>
            <w:vAlign w:val="center"/>
          </w:tcPr>
          <w:p w14:paraId="111FC1F3" w14:textId="77777777" w:rsidR="00AF04B6" w:rsidRPr="00CF21E0"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421" w:type="dxa"/>
            <w:tcBorders>
              <w:top w:val="single" w:sz="2" w:space="0" w:color="1F4E79" w:themeColor="accent1" w:themeShade="80"/>
              <w:bottom w:val="nil"/>
            </w:tcBorders>
            <w:shd w:val="clear" w:color="auto" w:fill="auto"/>
            <w:vAlign w:val="bottom"/>
          </w:tcPr>
          <w:p w14:paraId="0A6039B5" w14:textId="77777777" w:rsidR="00AF04B6" w:rsidRPr="00CF21E0"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4,795,163</w:t>
            </w:r>
          </w:p>
        </w:tc>
        <w:tc>
          <w:tcPr>
            <w:tcW w:w="1417" w:type="dxa"/>
            <w:tcBorders>
              <w:top w:val="single" w:sz="2" w:space="0" w:color="1F4E79" w:themeColor="accent1" w:themeShade="80"/>
              <w:bottom w:val="nil"/>
            </w:tcBorders>
            <w:shd w:val="clear" w:color="auto" w:fill="auto"/>
            <w:vAlign w:val="bottom"/>
          </w:tcPr>
          <w:p w14:paraId="28929199" w14:textId="77777777" w:rsidR="00AF04B6" w:rsidRPr="00CF21E0"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3,985,096</w:t>
            </w:r>
          </w:p>
        </w:tc>
      </w:tr>
      <w:tr w:rsidR="00AF04B6" w:rsidRPr="00DB02F0" w14:paraId="0BD26916"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02DBC689" w14:textId="77777777" w:rsidR="00AF04B6" w:rsidRPr="009768B6" w:rsidRDefault="00AF04B6" w:rsidP="00BB0772">
            <w:pPr>
              <w:pStyle w:val="08-Tabelageral"/>
              <w:ind w:left="113"/>
              <w:jc w:val="left"/>
              <w:rPr>
                <w:b w:val="0"/>
              </w:rPr>
            </w:pPr>
            <w:r w:rsidRPr="009768B6">
              <w:rPr>
                <w:b w:val="0"/>
              </w:rPr>
              <w:t>Commissions income</w:t>
            </w:r>
          </w:p>
        </w:tc>
        <w:tc>
          <w:tcPr>
            <w:tcW w:w="678" w:type="dxa"/>
            <w:tcBorders>
              <w:top w:val="nil"/>
              <w:bottom w:val="nil"/>
            </w:tcBorders>
            <w:shd w:val="clear" w:color="auto" w:fill="auto"/>
          </w:tcPr>
          <w:p w14:paraId="445C2619" w14:textId="77777777" w:rsidR="00AF04B6" w:rsidRPr="00165BD7" w:rsidRDefault="00AF04B6" w:rsidP="00BB0772">
            <w:pPr>
              <w:pStyle w:val="08-Tabelageral"/>
              <w:ind w:left="113"/>
              <w:jc w:val="left"/>
              <w:cnfStyle w:val="000000100000" w:firstRow="0" w:lastRow="0" w:firstColumn="0" w:lastColumn="0" w:oddVBand="0" w:evenVBand="0" w:oddHBand="1" w:evenHBand="0" w:firstRowFirstColumn="0" w:firstRowLastColumn="0" w:lastRowFirstColumn="0" w:lastRowLastColumn="0"/>
            </w:pPr>
            <w:r w:rsidRPr="00B10394">
              <w:t>[8]</w:t>
            </w:r>
          </w:p>
        </w:tc>
        <w:tc>
          <w:tcPr>
            <w:tcW w:w="1306" w:type="dxa"/>
            <w:tcBorders>
              <w:top w:val="nil"/>
              <w:bottom w:val="nil"/>
            </w:tcBorders>
            <w:shd w:val="clear" w:color="auto" w:fill="auto"/>
            <w:vAlign w:val="bottom"/>
          </w:tcPr>
          <w:p w14:paraId="1E2E6CFF"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1418" w:type="dxa"/>
            <w:tcBorders>
              <w:top w:val="nil"/>
              <w:bottom w:val="nil"/>
            </w:tcBorders>
            <w:shd w:val="clear" w:color="auto" w:fill="auto"/>
            <w:vAlign w:val="bottom"/>
          </w:tcPr>
          <w:p w14:paraId="761829EE"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280" w:type="dxa"/>
            <w:tcBorders>
              <w:top w:val="nil"/>
              <w:bottom w:val="nil"/>
            </w:tcBorders>
            <w:shd w:val="clear" w:color="auto" w:fill="auto"/>
            <w:vAlign w:val="center"/>
          </w:tcPr>
          <w:p w14:paraId="180D919D"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1" w:type="dxa"/>
            <w:tcBorders>
              <w:top w:val="nil"/>
              <w:bottom w:val="nil"/>
            </w:tcBorders>
            <w:shd w:val="clear" w:color="auto" w:fill="auto"/>
            <w:vAlign w:val="bottom"/>
          </w:tcPr>
          <w:p w14:paraId="5B97FB24"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4,671,222</w:t>
            </w:r>
          </w:p>
        </w:tc>
        <w:tc>
          <w:tcPr>
            <w:tcW w:w="1417" w:type="dxa"/>
            <w:tcBorders>
              <w:top w:val="nil"/>
              <w:bottom w:val="nil"/>
            </w:tcBorders>
            <w:shd w:val="clear" w:color="auto" w:fill="auto"/>
            <w:vAlign w:val="bottom"/>
          </w:tcPr>
          <w:p w14:paraId="708A7C60"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3,953,457</w:t>
            </w:r>
          </w:p>
        </w:tc>
      </w:tr>
      <w:tr w:rsidR="00AF04B6" w:rsidRPr="001C7112" w14:paraId="23175D1A"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bottom"/>
          </w:tcPr>
          <w:p w14:paraId="22162E5C" w14:textId="77777777" w:rsidR="00AF04B6" w:rsidRPr="001C7112" w:rsidRDefault="00AF04B6" w:rsidP="00BB0772">
            <w:pPr>
              <w:pStyle w:val="08-Tabelageral"/>
              <w:ind w:left="113"/>
              <w:jc w:val="left"/>
              <w:rPr>
                <w:b w:val="0"/>
              </w:rPr>
            </w:pPr>
            <w:r>
              <w:rPr>
                <w:b w:val="0"/>
              </w:rPr>
              <w:t>Other income</w:t>
            </w:r>
          </w:p>
        </w:tc>
        <w:tc>
          <w:tcPr>
            <w:tcW w:w="678" w:type="dxa"/>
            <w:tcBorders>
              <w:top w:val="nil"/>
              <w:bottom w:val="nil"/>
            </w:tcBorders>
            <w:shd w:val="clear" w:color="auto" w:fill="auto"/>
            <w:vAlign w:val="center"/>
          </w:tcPr>
          <w:p w14:paraId="47FD5032" w14:textId="77777777" w:rsidR="00AF04B6" w:rsidRPr="00165BD7" w:rsidRDefault="00AF04B6" w:rsidP="00BB0772">
            <w:pPr>
              <w:pStyle w:val="08-Tabelageral"/>
              <w:jc w:val="center"/>
              <w:cnfStyle w:val="000000000000" w:firstRow="0" w:lastRow="0" w:firstColumn="0" w:lastColumn="0" w:oddVBand="0" w:evenVBand="0" w:oddHBand="0" w:evenHBand="0" w:firstRowFirstColumn="0" w:firstRowLastColumn="0" w:lastRowFirstColumn="0" w:lastRowLastColumn="0"/>
            </w:pPr>
          </w:p>
        </w:tc>
        <w:tc>
          <w:tcPr>
            <w:tcW w:w="1306" w:type="dxa"/>
            <w:tcBorders>
              <w:top w:val="nil"/>
              <w:bottom w:val="nil"/>
            </w:tcBorders>
            <w:shd w:val="clear" w:color="auto" w:fill="auto"/>
            <w:vAlign w:val="bottom"/>
          </w:tcPr>
          <w:p w14:paraId="5BFA60A9" w14:textId="77777777" w:rsidR="00AF04B6" w:rsidRPr="001C7112"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8,530</w:t>
            </w:r>
          </w:p>
        </w:tc>
        <w:tc>
          <w:tcPr>
            <w:tcW w:w="1418" w:type="dxa"/>
            <w:tcBorders>
              <w:top w:val="nil"/>
              <w:bottom w:val="nil"/>
            </w:tcBorders>
            <w:shd w:val="clear" w:color="auto" w:fill="auto"/>
            <w:vAlign w:val="bottom"/>
          </w:tcPr>
          <w:p w14:paraId="2F5B0CB6" w14:textId="77777777" w:rsidR="00AF04B6" w:rsidRPr="001C7112" w:rsidRDefault="00AF04B6" w:rsidP="00BB0772">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9,024</w:t>
            </w:r>
          </w:p>
        </w:tc>
        <w:tc>
          <w:tcPr>
            <w:tcW w:w="280" w:type="dxa"/>
            <w:tcBorders>
              <w:top w:val="nil"/>
              <w:bottom w:val="nil"/>
            </w:tcBorders>
            <w:shd w:val="clear" w:color="auto" w:fill="auto"/>
            <w:vAlign w:val="center"/>
          </w:tcPr>
          <w:p w14:paraId="53036960" w14:textId="77777777" w:rsidR="00AF04B6" w:rsidRPr="001C7112"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21" w:type="dxa"/>
            <w:tcBorders>
              <w:top w:val="nil"/>
              <w:bottom w:val="nil"/>
            </w:tcBorders>
            <w:shd w:val="clear" w:color="auto" w:fill="auto"/>
            <w:vAlign w:val="bottom"/>
          </w:tcPr>
          <w:p w14:paraId="44EE57C0" w14:textId="77777777" w:rsidR="00AF04B6" w:rsidRPr="001C7112"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123,941</w:t>
            </w:r>
          </w:p>
        </w:tc>
        <w:tc>
          <w:tcPr>
            <w:tcW w:w="1417" w:type="dxa"/>
            <w:tcBorders>
              <w:top w:val="nil"/>
              <w:bottom w:val="nil"/>
            </w:tcBorders>
            <w:shd w:val="clear" w:color="auto" w:fill="auto"/>
            <w:vAlign w:val="bottom"/>
          </w:tcPr>
          <w:p w14:paraId="06A92C5B" w14:textId="77777777" w:rsidR="00AF04B6" w:rsidRPr="001C7112" w:rsidRDefault="00AF04B6" w:rsidP="00BB0772">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31,639</w:t>
            </w:r>
          </w:p>
        </w:tc>
      </w:tr>
      <w:tr w:rsidR="00AF04B6" w:rsidRPr="001C7112" w14:paraId="1F95D284"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bottom"/>
          </w:tcPr>
          <w:p w14:paraId="525B7135" w14:textId="77777777" w:rsidR="00AF04B6" w:rsidRPr="001C7112" w:rsidRDefault="00AF04B6" w:rsidP="00BB0772">
            <w:pPr>
              <w:pStyle w:val="08-Tabelageral"/>
              <w:ind w:left="113"/>
              <w:jc w:val="left"/>
              <w:rPr>
                <w:b w:val="0"/>
              </w:rPr>
            </w:pPr>
          </w:p>
        </w:tc>
        <w:tc>
          <w:tcPr>
            <w:tcW w:w="678" w:type="dxa"/>
            <w:tcBorders>
              <w:top w:val="nil"/>
              <w:bottom w:val="nil"/>
            </w:tcBorders>
            <w:shd w:val="clear" w:color="auto" w:fill="auto"/>
            <w:vAlign w:val="center"/>
          </w:tcPr>
          <w:p w14:paraId="1912D207" w14:textId="77777777" w:rsidR="00AF04B6" w:rsidRPr="00165BD7" w:rsidRDefault="00AF04B6" w:rsidP="00BB0772">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306" w:type="dxa"/>
            <w:tcBorders>
              <w:top w:val="nil"/>
              <w:bottom w:val="nil"/>
            </w:tcBorders>
            <w:shd w:val="clear" w:color="auto" w:fill="auto"/>
            <w:vAlign w:val="bottom"/>
          </w:tcPr>
          <w:p w14:paraId="02100CDF" w14:textId="77777777" w:rsidR="00AF04B6" w:rsidRPr="001C7112"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 </w:t>
            </w:r>
          </w:p>
        </w:tc>
        <w:tc>
          <w:tcPr>
            <w:tcW w:w="1418" w:type="dxa"/>
            <w:tcBorders>
              <w:top w:val="nil"/>
              <w:bottom w:val="nil"/>
            </w:tcBorders>
            <w:shd w:val="clear" w:color="auto" w:fill="auto"/>
            <w:vAlign w:val="bottom"/>
          </w:tcPr>
          <w:p w14:paraId="3CCA6E93" w14:textId="77777777" w:rsidR="00AF04B6" w:rsidRPr="001C7112" w:rsidRDefault="00AF04B6" w:rsidP="00BB0772">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 </w:t>
            </w:r>
          </w:p>
        </w:tc>
        <w:tc>
          <w:tcPr>
            <w:tcW w:w="280" w:type="dxa"/>
            <w:tcBorders>
              <w:top w:val="nil"/>
              <w:bottom w:val="nil"/>
            </w:tcBorders>
            <w:shd w:val="clear" w:color="auto" w:fill="auto"/>
            <w:vAlign w:val="center"/>
          </w:tcPr>
          <w:p w14:paraId="3D00D3A6" w14:textId="77777777" w:rsidR="00AF04B6" w:rsidRPr="001C7112"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21" w:type="dxa"/>
            <w:tcBorders>
              <w:top w:val="nil"/>
              <w:bottom w:val="nil"/>
            </w:tcBorders>
            <w:shd w:val="clear" w:color="auto" w:fill="auto"/>
            <w:vAlign w:val="bottom"/>
          </w:tcPr>
          <w:p w14:paraId="63C45467" w14:textId="77777777" w:rsidR="00AF04B6" w:rsidRPr="001C7112"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 </w:t>
            </w:r>
          </w:p>
        </w:tc>
        <w:tc>
          <w:tcPr>
            <w:tcW w:w="1417" w:type="dxa"/>
            <w:tcBorders>
              <w:top w:val="nil"/>
              <w:bottom w:val="nil"/>
            </w:tcBorders>
            <w:shd w:val="clear" w:color="auto" w:fill="auto"/>
            <w:vAlign w:val="bottom"/>
          </w:tcPr>
          <w:p w14:paraId="7DE6F018" w14:textId="77777777" w:rsidR="00AF04B6" w:rsidRPr="001C7112" w:rsidRDefault="00AF04B6" w:rsidP="00BB0772">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 </w:t>
            </w:r>
          </w:p>
        </w:tc>
      </w:tr>
      <w:tr w:rsidR="00AF04B6" w:rsidRPr="00DB02F0" w14:paraId="1453D3E5"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51B9C6ED" w14:textId="77777777" w:rsidR="00AF04B6" w:rsidRPr="00BD6C7E" w:rsidRDefault="00AF04B6" w:rsidP="00BB0772">
            <w:pPr>
              <w:pStyle w:val="08-Tabelageral"/>
              <w:jc w:val="left"/>
              <w:rPr>
                <w:b w:val="0"/>
                <w:lang w:val="en-US"/>
              </w:rPr>
            </w:pPr>
            <w:r w:rsidRPr="00BD6C7E">
              <w:rPr>
                <w:lang w:val="en-US"/>
              </w:rPr>
              <w:t>Input Acquired from Third Parties</w:t>
            </w:r>
          </w:p>
        </w:tc>
        <w:tc>
          <w:tcPr>
            <w:tcW w:w="678" w:type="dxa"/>
            <w:tcBorders>
              <w:top w:val="nil"/>
              <w:bottom w:val="nil"/>
            </w:tcBorders>
            <w:shd w:val="clear" w:color="auto" w:fill="auto"/>
          </w:tcPr>
          <w:p w14:paraId="5F115C0B" w14:textId="77777777" w:rsidR="00AF04B6" w:rsidRPr="00BD6C7E" w:rsidRDefault="00AF04B6" w:rsidP="00BB0772">
            <w:pPr>
              <w:pStyle w:val="08-Tabelageral"/>
              <w:jc w:val="center"/>
              <w:cnfStyle w:val="000000000000" w:firstRow="0" w:lastRow="0" w:firstColumn="0" w:lastColumn="0" w:oddVBand="0" w:evenVBand="0" w:oddHBand="0" w:evenHBand="0" w:firstRowFirstColumn="0" w:firstRowLastColumn="0" w:lastRowFirstColumn="0" w:lastRowLastColumn="0"/>
              <w:rPr>
                <w:b/>
                <w:lang w:val="en-US"/>
              </w:rPr>
            </w:pPr>
          </w:p>
        </w:tc>
        <w:tc>
          <w:tcPr>
            <w:tcW w:w="1306" w:type="dxa"/>
            <w:tcBorders>
              <w:top w:val="nil"/>
              <w:bottom w:val="nil"/>
            </w:tcBorders>
            <w:shd w:val="clear" w:color="auto" w:fill="auto"/>
            <w:vAlign w:val="bottom"/>
          </w:tcPr>
          <w:p w14:paraId="38050C0E" w14:textId="77777777" w:rsidR="00AF04B6" w:rsidRPr="00C47A43"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szCs w:val="14"/>
              </w:rPr>
              <w:t>(3,260)</w:t>
            </w:r>
          </w:p>
        </w:tc>
        <w:tc>
          <w:tcPr>
            <w:tcW w:w="1418" w:type="dxa"/>
            <w:tcBorders>
              <w:top w:val="nil"/>
              <w:bottom w:val="nil"/>
            </w:tcBorders>
            <w:shd w:val="clear" w:color="auto" w:fill="auto"/>
            <w:vAlign w:val="bottom"/>
          </w:tcPr>
          <w:p w14:paraId="34AC4ACE" w14:textId="77777777" w:rsidR="00AF04B6" w:rsidRPr="00C47A43"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szCs w:val="14"/>
              </w:rPr>
              <w:t>(2,553)</w:t>
            </w:r>
          </w:p>
        </w:tc>
        <w:tc>
          <w:tcPr>
            <w:tcW w:w="280" w:type="dxa"/>
            <w:tcBorders>
              <w:top w:val="nil"/>
              <w:bottom w:val="nil"/>
            </w:tcBorders>
            <w:shd w:val="clear" w:color="auto" w:fill="auto"/>
            <w:vAlign w:val="center"/>
          </w:tcPr>
          <w:p w14:paraId="50BE92E2" w14:textId="77777777" w:rsidR="00AF04B6" w:rsidRPr="00C47A43"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421" w:type="dxa"/>
            <w:tcBorders>
              <w:top w:val="nil"/>
              <w:bottom w:val="nil"/>
            </w:tcBorders>
            <w:shd w:val="clear" w:color="auto" w:fill="auto"/>
            <w:vAlign w:val="bottom"/>
          </w:tcPr>
          <w:p w14:paraId="3A15BDF8" w14:textId="77777777" w:rsidR="00AF04B6" w:rsidRPr="00C47A43"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szCs w:val="14"/>
              </w:rPr>
              <w:t>(454,582)</w:t>
            </w:r>
          </w:p>
        </w:tc>
        <w:tc>
          <w:tcPr>
            <w:tcW w:w="1417" w:type="dxa"/>
            <w:tcBorders>
              <w:top w:val="nil"/>
              <w:bottom w:val="nil"/>
            </w:tcBorders>
            <w:shd w:val="clear" w:color="auto" w:fill="auto"/>
            <w:vAlign w:val="bottom"/>
          </w:tcPr>
          <w:p w14:paraId="6F25B313" w14:textId="77777777" w:rsidR="00AF04B6" w:rsidRPr="00C47A43"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szCs w:val="14"/>
              </w:rPr>
              <w:t>(335,581)</w:t>
            </w:r>
          </w:p>
        </w:tc>
      </w:tr>
      <w:tr w:rsidR="00AF04B6" w:rsidRPr="00DB02F0" w14:paraId="37EAB22C"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EF4B28F" w14:textId="77777777" w:rsidR="00AF04B6" w:rsidRPr="009768B6" w:rsidRDefault="00AF04B6" w:rsidP="00BB0772">
            <w:pPr>
              <w:pStyle w:val="08-Tabelageral"/>
              <w:ind w:left="113"/>
              <w:jc w:val="left"/>
              <w:rPr>
                <w:b w:val="0"/>
              </w:rPr>
            </w:pPr>
            <w:r w:rsidRPr="009768B6">
              <w:rPr>
                <w:b w:val="0"/>
              </w:rPr>
              <w:t>Administrative expenses diverse</w:t>
            </w:r>
          </w:p>
        </w:tc>
        <w:tc>
          <w:tcPr>
            <w:tcW w:w="678" w:type="dxa"/>
            <w:tcBorders>
              <w:top w:val="nil"/>
              <w:bottom w:val="nil"/>
            </w:tcBorders>
            <w:shd w:val="clear" w:color="auto" w:fill="auto"/>
          </w:tcPr>
          <w:p w14:paraId="3C7304E5" w14:textId="77777777" w:rsidR="00AF04B6" w:rsidRPr="00165BD7" w:rsidRDefault="00AF04B6" w:rsidP="00BB0772">
            <w:pPr>
              <w:pStyle w:val="08-Tabelageral"/>
              <w:ind w:left="113"/>
              <w:jc w:val="center"/>
              <w:cnfStyle w:val="000000100000" w:firstRow="0" w:lastRow="0" w:firstColumn="0" w:lastColumn="0" w:oddVBand="0" w:evenVBand="0" w:oddHBand="1" w:evenHBand="0" w:firstRowFirstColumn="0" w:firstRowLastColumn="0" w:lastRowFirstColumn="0" w:lastRowLastColumn="0"/>
            </w:pPr>
          </w:p>
        </w:tc>
        <w:tc>
          <w:tcPr>
            <w:tcW w:w="1306" w:type="dxa"/>
            <w:tcBorders>
              <w:top w:val="nil"/>
              <w:bottom w:val="nil"/>
            </w:tcBorders>
            <w:shd w:val="clear" w:color="auto" w:fill="auto"/>
            <w:vAlign w:val="bottom"/>
          </w:tcPr>
          <w:p w14:paraId="238FA33A"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(3,083)</w:t>
            </w:r>
          </w:p>
        </w:tc>
        <w:tc>
          <w:tcPr>
            <w:tcW w:w="1418" w:type="dxa"/>
            <w:tcBorders>
              <w:top w:val="nil"/>
              <w:bottom w:val="nil"/>
            </w:tcBorders>
            <w:shd w:val="clear" w:color="auto" w:fill="auto"/>
            <w:vAlign w:val="bottom"/>
          </w:tcPr>
          <w:p w14:paraId="5875C056"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(2,509)</w:t>
            </w:r>
          </w:p>
        </w:tc>
        <w:tc>
          <w:tcPr>
            <w:tcW w:w="280" w:type="dxa"/>
            <w:tcBorders>
              <w:top w:val="nil"/>
              <w:bottom w:val="nil"/>
            </w:tcBorders>
            <w:shd w:val="clear" w:color="auto" w:fill="auto"/>
            <w:vAlign w:val="center"/>
          </w:tcPr>
          <w:p w14:paraId="38607C08"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1" w:type="dxa"/>
            <w:tcBorders>
              <w:top w:val="nil"/>
              <w:bottom w:val="nil"/>
            </w:tcBorders>
            <w:shd w:val="clear" w:color="auto" w:fill="auto"/>
            <w:vAlign w:val="bottom"/>
          </w:tcPr>
          <w:p w14:paraId="6883221C"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(46,675)</w:t>
            </w:r>
          </w:p>
        </w:tc>
        <w:tc>
          <w:tcPr>
            <w:tcW w:w="1417" w:type="dxa"/>
            <w:tcBorders>
              <w:top w:val="nil"/>
              <w:bottom w:val="nil"/>
            </w:tcBorders>
            <w:shd w:val="clear" w:color="auto" w:fill="auto"/>
            <w:vAlign w:val="bottom"/>
          </w:tcPr>
          <w:p w14:paraId="09C078E5"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(35,299)</w:t>
            </w:r>
          </w:p>
        </w:tc>
      </w:tr>
      <w:tr w:rsidR="00AF04B6" w:rsidRPr="00DB02F0" w14:paraId="096033F3"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41C218AD" w14:textId="77777777" w:rsidR="00AF04B6" w:rsidRPr="009768B6" w:rsidRDefault="00AF04B6" w:rsidP="00BB0772">
            <w:pPr>
              <w:pStyle w:val="08-Tabelageral"/>
              <w:ind w:left="113"/>
              <w:jc w:val="left"/>
              <w:rPr>
                <w:b w:val="0"/>
              </w:rPr>
            </w:pPr>
            <w:r w:rsidRPr="009768B6">
              <w:rPr>
                <w:b w:val="0"/>
              </w:rPr>
              <w:t>Cost of services provided</w:t>
            </w:r>
          </w:p>
        </w:tc>
        <w:tc>
          <w:tcPr>
            <w:tcW w:w="678" w:type="dxa"/>
            <w:tcBorders>
              <w:top w:val="nil"/>
              <w:bottom w:val="nil"/>
            </w:tcBorders>
            <w:shd w:val="clear" w:color="auto" w:fill="auto"/>
          </w:tcPr>
          <w:p w14:paraId="4E3984C1" w14:textId="77777777" w:rsidR="00AF04B6" w:rsidRPr="00165BD7" w:rsidRDefault="00AF04B6" w:rsidP="00BB0772">
            <w:pPr>
              <w:pStyle w:val="08-Tabelageral"/>
              <w:ind w:left="113"/>
              <w:jc w:val="center"/>
              <w:cnfStyle w:val="000000000000" w:firstRow="0" w:lastRow="0" w:firstColumn="0" w:lastColumn="0" w:oddVBand="0" w:evenVBand="0" w:oddHBand="0" w:evenHBand="0" w:firstRowFirstColumn="0" w:firstRowLastColumn="0" w:lastRowFirstColumn="0" w:lastRowLastColumn="0"/>
            </w:pPr>
            <w:r w:rsidRPr="00B10394">
              <w:t>[9]</w:t>
            </w:r>
          </w:p>
        </w:tc>
        <w:tc>
          <w:tcPr>
            <w:tcW w:w="1306" w:type="dxa"/>
            <w:tcBorders>
              <w:top w:val="nil"/>
              <w:bottom w:val="nil"/>
            </w:tcBorders>
            <w:shd w:val="clear" w:color="auto" w:fill="auto"/>
            <w:vAlign w:val="bottom"/>
          </w:tcPr>
          <w:p w14:paraId="0FA6CD23" w14:textId="77777777" w:rsidR="00AF04B6" w:rsidRPr="00DB02F0"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szCs w:val="14"/>
              </w:rPr>
              <w:t>--</w:t>
            </w:r>
          </w:p>
        </w:tc>
        <w:tc>
          <w:tcPr>
            <w:tcW w:w="1418" w:type="dxa"/>
            <w:tcBorders>
              <w:top w:val="nil"/>
              <w:bottom w:val="nil"/>
            </w:tcBorders>
            <w:shd w:val="clear" w:color="auto" w:fill="auto"/>
            <w:vAlign w:val="bottom"/>
          </w:tcPr>
          <w:p w14:paraId="0D187635" w14:textId="77777777" w:rsidR="00AF04B6" w:rsidRPr="00DB02F0"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szCs w:val="14"/>
              </w:rPr>
              <w:t>--</w:t>
            </w:r>
          </w:p>
        </w:tc>
        <w:tc>
          <w:tcPr>
            <w:tcW w:w="280" w:type="dxa"/>
            <w:tcBorders>
              <w:top w:val="nil"/>
              <w:bottom w:val="nil"/>
            </w:tcBorders>
            <w:shd w:val="clear" w:color="auto" w:fill="auto"/>
            <w:vAlign w:val="center"/>
          </w:tcPr>
          <w:p w14:paraId="7E7B9575" w14:textId="77777777" w:rsidR="00AF04B6" w:rsidRPr="00DB02F0"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21" w:type="dxa"/>
            <w:tcBorders>
              <w:top w:val="nil"/>
              <w:bottom w:val="nil"/>
            </w:tcBorders>
            <w:shd w:val="clear" w:color="auto" w:fill="auto"/>
            <w:vAlign w:val="bottom"/>
          </w:tcPr>
          <w:p w14:paraId="6621B146" w14:textId="77777777" w:rsidR="00AF04B6" w:rsidRPr="00DB02F0"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szCs w:val="14"/>
              </w:rPr>
              <w:t>(205,870)</w:t>
            </w:r>
          </w:p>
        </w:tc>
        <w:tc>
          <w:tcPr>
            <w:tcW w:w="1417" w:type="dxa"/>
            <w:tcBorders>
              <w:top w:val="nil"/>
              <w:bottom w:val="nil"/>
            </w:tcBorders>
            <w:shd w:val="clear" w:color="auto" w:fill="auto"/>
            <w:vAlign w:val="bottom"/>
          </w:tcPr>
          <w:p w14:paraId="359AA95D" w14:textId="77777777" w:rsidR="00AF04B6" w:rsidRPr="00DB02F0"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szCs w:val="14"/>
              </w:rPr>
              <w:t>(193,830)</w:t>
            </w:r>
          </w:p>
        </w:tc>
      </w:tr>
      <w:tr w:rsidR="00AF04B6" w:rsidRPr="00DB02F0" w14:paraId="16E4EFC0"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4AB5989D" w14:textId="77777777" w:rsidR="00AF04B6" w:rsidRPr="009768B6" w:rsidRDefault="00AF04B6" w:rsidP="00BB0772">
            <w:pPr>
              <w:pStyle w:val="08-Tabelageral"/>
              <w:ind w:left="113"/>
              <w:jc w:val="left"/>
              <w:rPr>
                <w:b w:val="0"/>
              </w:rPr>
            </w:pPr>
            <w:r w:rsidRPr="009768B6">
              <w:rPr>
                <w:b w:val="0"/>
              </w:rPr>
              <w:t xml:space="preserve">Other </w:t>
            </w:r>
            <w:r>
              <w:rPr>
                <w:b w:val="0"/>
              </w:rPr>
              <w:t>expenses</w:t>
            </w:r>
          </w:p>
        </w:tc>
        <w:tc>
          <w:tcPr>
            <w:tcW w:w="678" w:type="dxa"/>
            <w:tcBorders>
              <w:top w:val="nil"/>
              <w:bottom w:val="nil"/>
            </w:tcBorders>
            <w:shd w:val="clear" w:color="auto" w:fill="auto"/>
          </w:tcPr>
          <w:p w14:paraId="33ACA6BD" w14:textId="77777777" w:rsidR="00AF04B6" w:rsidRPr="00165BD7" w:rsidRDefault="00AF04B6" w:rsidP="00BB0772">
            <w:pPr>
              <w:pStyle w:val="08-Tabelageral"/>
              <w:ind w:left="113"/>
              <w:jc w:val="center"/>
              <w:cnfStyle w:val="000000100000" w:firstRow="0" w:lastRow="0" w:firstColumn="0" w:lastColumn="0" w:oddVBand="0" w:evenVBand="0" w:oddHBand="1" w:evenHBand="0" w:firstRowFirstColumn="0" w:firstRowLastColumn="0" w:lastRowFirstColumn="0" w:lastRowLastColumn="0"/>
            </w:pPr>
          </w:p>
        </w:tc>
        <w:tc>
          <w:tcPr>
            <w:tcW w:w="1306" w:type="dxa"/>
            <w:tcBorders>
              <w:top w:val="nil"/>
              <w:bottom w:val="nil"/>
            </w:tcBorders>
            <w:shd w:val="clear" w:color="auto" w:fill="auto"/>
            <w:vAlign w:val="bottom"/>
          </w:tcPr>
          <w:p w14:paraId="01856320"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(177)</w:t>
            </w:r>
          </w:p>
        </w:tc>
        <w:tc>
          <w:tcPr>
            <w:tcW w:w="1418" w:type="dxa"/>
            <w:tcBorders>
              <w:top w:val="nil"/>
              <w:bottom w:val="nil"/>
            </w:tcBorders>
            <w:shd w:val="clear" w:color="auto" w:fill="auto"/>
            <w:vAlign w:val="bottom"/>
          </w:tcPr>
          <w:p w14:paraId="75387A85"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(44)</w:t>
            </w:r>
          </w:p>
        </w:tc>
        <w:tc>
          <w:tcPr>
            <w:tcW w:w="280" w:type="dxa"/>
            <w:tcBorders>
              <w:top w:val="nil"/>
              <w:bottom w:val="nil"/>
            </w:tcBorders>
            <w:shd w:val="clear" w:color="auto" w:fill="auto"/>
            <w:vAlign w:val="center"/>
          </w:tcPr>
          <w:p w14:paraId="12C12D7E"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1" w:type="dxa"/>
            <w:tcBorders>
              <w:top w:val="nil"/>
              <w:bottom w:val="nil"/>
            </w:tcBorders>
            <w:shd w:val="clear" w:color="auto" w:fill="auto"/>
            <w:vAlign w:val="bottom"/>
          </w:tcPr>
          <w:p w14:paraId="17FAEC74"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(202,037)</w:t>
            </w:r>
          </w:p>
        </w:tc>
        <w:tc>
          <w:tcPr>
            <w:tcW w:w="1417" w:type="dxa"/>
            <w:tcBorders>
              <w:top w:val="nil"/>
              <w:bottom w:val="nil"/>
            </w:tcBorders>
            <w:shd w:val="clear" w:color="auto" w:fill="auto"/>
            <w:vAlign w:val="bottom"/>
          </w:tcPr>
          <w:p w14:paraId="104DE207" w14:textId="77777777" w:rsidR="00AF04B6" w:rsidRPr="00DB02F0"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(106,452)</w:t>
            </w:r>
          </w:p>
        </w:tc>
      </w:tr>
      <w:tr w:rsidR="00AF04B6" w:rsidRPr="001D6BE8" w14:paraId="792719AD"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7CE5DFB" w14:textId="77777777" w:rsidR="00AF04B6" w:rsidRPr="00924161" w:rsidRDefault="00AF04B6" w:rsidP="00BB0772">
            <w:pPr>
              <w:pStyle w:val="08-Tabelageral"/>
              <w:jc w:val="left"/>
            </w:pPr>
            <w:r w:rsidRPr="00924161">
              <w:t> </w:t>
            </w:r>
          </w:p>
        </w:tc>
        <w:tc>
          <w:tcPr>
            <w:tcW w:w="678" w:type="dxa"/>
            <w:tcBorders>
              <w:top w:val="nil"/>
              <w:bottom w:val="nil"/>
            </w:tcBorders>
            <w:shd w:val="clear" w:color="auto" w:fill="auto"/>
          </w:tcPr>
          <w:p w14:paraId="72F86017" w14:textId="77777777" w:rsidR="00AF04B6" w:rsidRPr="00165BD7" w:rsidRDefault="00AF04B6" w:rsidP="00BB0772">
            <w:pPr>
              <w:pStyle w:val="08-Tabelageral"/>
              <w:jc w:val="center"/>
              <w:cnfStyle w:val="000000000000" w:firstRow="0" w:lastRow="0" w:firstColumn="0" w:lastColumn="0" w:oddVBand="0" w:evenVBand="0" w:oddHBand="0" w:evenHBand="0" w:firstRowFirstColumn="0" w:firstRowLastColumn="0" w:lastRowFirstColumn="0" w:lastRowLastColumn="0"/>
            </w:pPr>
          </w:p>
        </w:tc>
        <w:tc>
          <w:tcPr>
            <w:tcW w:w="1306" w:type="dxa"/>
            <w:tcBorders>
              <w:top w:val="nil"/>
              <w:bottom w:val="nil"/>
            </w:tcBorders>
            <w:shd w:val="clear" w:color="auto" w:fill="auto"/>
            <w:vAlign w:val="bottom"/>
          </w:tcPr>
          <w:p w14:paraId="3D8B4080" w14:textId="77777777" w:rsidR="00AF04B6" w:rsidRPr="00350BA7"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 </w:t>
            </w:r>
          </w:p>
        </w:tc>
        <w:tc>
          <w:tcPr>
            <w:tcW w:w="1418" w:type="dxa"/>
            <w:tcBorders>
              <w:top w:val="nil"/>
              <w:bottom w:val="nil"/>
            </w:tcBorders>
            <w:shd w:val="clear" w:color="auto" w:fill="auto"/>
            <w:vAlign w:val="bottom"/>
          </w:tcPr>
          <w:p w14:paraId="223648F1" w14:textId="77777777" w:rsidR="00AF04B6" w:rsidRPr="00CF4B29" w:rsidRDefault="00AF04B6" w:rsidP="00BB0772">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 </w:t>
            </w:r>
          </w:p>
        </w:tc>
        <w:tc>
          <w:tcPr>
            <w:tcW w:w="280" w:type="dxa"/>
            <w:tcBorders>
              <w:top w:val="nil"/>
              <w:bottom w:val="nil"/>
            </w:tcBorders>
            <w:shd w:val="clear" w:color="auto" w:fill="auto"/>
            <w:vAlign w:val="center"/>
          </w:tcPr>
          <w:p w14:paraId="1799023F" w14:textId="77777777" w:rsidR="00AF04B6" w:rsidRPr="00350BA7"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21" w:type="dxa"/>
            <w:tcBorders>
              <w:top w:val="nil"/>
              <w:bottom w:val="nil"/>
            </w:tcBorders>
            <w:shd w:val="clear" w:color="auto" w:fill="auto"/>
            <w:vAlign w:val="bottom"/>
          </w:tcPr>
          <w:p w14:paraId="63F7E34E" w14:textId="77777777" w:rsidR="00AF04B6" w:rsidRPr="00350BA7"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 </w:t>
            </w:r>
          </w:p>
        </w:tc>
        <w:tc>
          <w:tcPr>
            <w:tcW w:w="1417" w:type="dxa"/>
            <w:tcBorders>
              <w:top w:val="nil"/>
              <w:bottom w:val="nil"/>
            </w:tcBorders>
            <w:shd w:val="clear" w:color="auto" w:fill="auto"/>
            <w:vAlign w:val="bottom"/>
          </w:tcPr>
          <w:p w14:paraId="37D81EEC" w14:textId="77777777" w:rsidR="00AF04B6" w:rsidRPr="00CF4B29" w:rsidRDefault="00AF04B6" w:rsidP="00BB0772">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 </w:t>
            </w:r>
          </w:p>
        </w:tc>
      </w:tr>
      <w:tr w:rsidR="00AF04B6" w:rsidRPr="005F0714" w14:paraId="01647B9B"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C10E8CC" w14:textId="77777777" w:rsidR="00AF04B6" w:rsidRPr="005F0714" w:rsidRDefault="00AF04B6" w:rsidP="00BB0772">
            <w:pPr>
              <w:pStyle w:val="08-Tabelageral"/>
              <w:jc w:val="left"/>
            </w:pPr>
            <w:r w:rsidRPr="006131C3">
              <w:t>Gross Added Value</w:t>
            </w:r>
          </w:p>
        </w:tc>
        <w:tc>
          <w:tcPr>
            <w:tcW w:w="678" w:type="dxa"/>
            <w:tcBorders>
              <w:top w:val="nil"/>
              <w:bottom w:val="nil"/>
            </w:tcBorders>
            <w:shd w:val="clear" w:color="auto" w:fill="auto"/>
          </w:tcPr>
          <w:p w14:paraId="5FBFCA20" w14:textId="77777777" w:rsidR="00AF04B6" w:rsidRPr="00165BD7" w:rsidRDefault="00AF04B6" w:rsidP="00BB0772">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306" w:type="dxa"/>
            <w:tcBorders>
              <w:top w:val="nil"/>
              <w:bottom w:val="nil"/>
            </w:tcBorders>
            <w:shd w:val="clear" w:color="auto" w:fill="auto"/>
            <w:vAlign w:val="bottom"/>
          </w:tcPr>
          <w:p w14:paraId="5BBA1CBE"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5,270</w:t>
            </w:r>
          </w:p>
        </w:tc>
        <w:tc>
          <w:tcPr>
            <w:tcW w:w="1418" w:type="dxa"/>
            <w:tcBorders>
              <w:top w:val="nil"/>
              <w:bottom w:val="nil"/>
            </w:tcBorders>
            <w:shd w:val="clear" w:color="auto" w:fill="auto"/>
            <w:vAlign w:val="bottom"/>
          </w:tcPr>
          <w:p w14:paraId="0DED8D2D"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6,471</w:t>
            </w:r>
          </w:p>
        </w:tc>
        <w:tc>
          <w:tcPr>
            <w:tcW w:w="280" w:type="dxa"/>
            <w:tcBorders>
              <w:top w:val="nil"/>
              <w:bottom w:val="nil"/>
            </w:tcBorders>
            <w:shd w:val="clear" w:color="auto" w:fill="auto"/>
            <w:vAlign w:val="center"/>
          </w:tcPr>
          <w:p w14:paraId="6D4DBD41" w14:textId="77777777" w:rsidR="00AF04B6" w:rsidRPr="00BA3C79"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21" w:type="dxa"/>
            <w:tcBorders>
              <w:top w:val="nil"/>
              <w:bottom w:val="nil"/>
            </w:tcBorders>
            <w:shd w:val="clear" w:color="auto" w:fill="auto"/>
            <w:vAlign w:val="bottom"/>
          </w:tcPr>
          <w:p w14:paraId="5A625282" w14:textId="77777777" w:rsidR="00AF04B6" w:rsidRPr="00BA3C79"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b/>
                <w:bCs/>
                <w:szCs w:val="14"/>
              </w:rPr>
              <w:t>4,340,581</w:t>
            </w:r>
          </w:p>
        </w:tc>
        <w:tc>
          <w:tcPr>
            <w:tcW w:w="1417" w:type="dxa"/>
            <w:tcBorders>
              <w:top w:val="nil"/>
              <w:bottom w:val="nil"/>
            </w:tcBorders>
            <w:shd w:val="clear" w:color="auto" w:fill="auto"/>
            <w:vAlign w:val="bottom"/>
          </w:tcPr>
          <w:p w14:paraId="090434A6" w14:textId="77777777" w:rsidR="00AF04B6" w:rsidRPr="00BA3C79"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b/>
                <w:bCs/>
                <w:szCs w:val="14"/>
              </w:rPr>
              <w:t>3,649,515</w:t>
            </w:r>
          </w:p>
        </w:tc>
      </w:tr>
      <w:tr w:rsidR="00AF04B6" w:rsidRPr="000E70DE" w14:paraId="36F62AB8" w14:textId="77777777" w:rsidTr="005D1B80">
        <w:trPr>
          <w:trHeight w:val="24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06E69EBC" w14:textId="77777777" w:rsidR="00AF04B6" w:rsidRPr="00924161" w:rsidRDefault="00AF04B6" w:rsidP="00BB0772">
            <w:pPr>
              <w:pStyle w:val="08-Tabelageral"/>
              <w:jc w:val="left"/>
              <w:rPr>
                <w:b w:val="0"/>
                <w:bCs w:val="0"/>
              </w:rPr>
            </w:pPr>
            <w:r w:rsidRPr="00924161">
              <w:rPr>
                <w:b w:val="0"/>
                <w:bCs w:val="0"/>
              </w:rPr>
              <w:t> </w:t>
            </w:r>
          </w:p>
        </w:tc>
        <w:tc>
          <w:tcPr>
            <w:tcW w:w="678" w:type="dxa"/>
            <w:tcBorders>
              <w:top w:val="nil"/>
              <w:bottom w:val="nil"/>
            </w:tcBorders>
            <w:shd w:val="clear" w:color="auto" w:fill="auto"/>
          </w:tcPr>
          <w:p w14:paraId="58645954" w14:textId="77777777" w:rsidR="00AF04B6" w:rsidRPr="00165BD7" w:rsidRDefault="00AF04B6" w:rsidP="00BB0772">
            <w:pPr>
              <w:pStyle w:val="08-Tabelageral"/>
              <w:jc w:val="center"/>
              <w:cnfStyle w:val="000000000000" w:firstRow="0" w:lastRow="0" w:firstColumn="0" w:lastColumn="0" w:oddVBand="0" w:evenVBand="0" w:oddHBand="0" w:evenHBand="0" w:firstRowFirstColumn="0" w:firstRowLastColumn="0" w:lastRowFirstColumn="0" w:lastRowLastColumn="0"/>
              <w:rPr>
                <w:b/>
                <w:bCs/>
              </w:rPr>
            </w:pPr>
          </w:p>
        </w:tc>
        <w:tc>
          <w:tcPr>
            <w:tcW w:w="1306" w:type="dxa"/>
            <w:tcBorders>
              <w:top w:val="nil"/>
              <w:bottom w:val="nil"/>
            </w:tcBorders>
            <w:shd w:val="clear" w:color="auto" w:fill="auto"/>
            <w:vAlign w:val="bottom"/>
          </w:tcPr>
          <w:p w14:paraId="1CC3D85A" w14:textId="77777777" w:rsidR="00AF04B6" w:rsidRPr="00BA3C79"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c>
          <w:tcPr>
            <w:tcW w:w="1418" w:type="dxa"/>
            <w:tcBorders>
              <w:top w:val="nil"/>
              <w:bottom w:val="nil"/>
            </w:tcBorders>
            <w:shd w:val="clear" w:color="auto" w:fill="auto"/>
            <w:vAlign w:val="bottom"/>
          </w:tcPr>
          <w:p w14:paraId="204FB4FC" w14:textId="77777777" w:rsidR="00AF04B6" w:rsidRPr="00BA3C79"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c>
          <w:tcPr>
            <w:tcW w:w="280" w:type="dxa"/>
            <w:tcBorders>
              <w:top w:val="nil"/>
              <w:bottom w:val="nil"/>
            </w:tcBorders>
            <w:shd w:val="clear" w:color="auto" w:fill="auto"/>
            <w:vAlign w:val="center"/>
          </w:tcPr>
          <w:p w14:paraId="2CDEFB8B" w14:textId="77777777" w:rsidR="00AF04B6" w:rsidRPr="00BA3C79"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421" w:type="dxa"/>
            <w:tcBorders>
              <w:top w:val="nil"/>
              <w:bottom w:val="nil"/>
            </w:tcBorders>
            <w:shd w:val="clear" w:color="auto" w:fill="auto"/>
            <w:vAlign w:val="bottom"/>
          </w:tcPr>
          <w:p w14:paraId="0164CEBA" w14:textId="77777777" w:rsidR="00AF04B6" w:rsidRPr="00BA3C79"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c>
          <w:tcPr>
            <w:tcW w:w="1417" w:type="dxa"/>
            <w:tcBorders>
              <w:top w:val="nil"/>
              <w:bottom w:val="nil"/>
            </w:tcBorders>
            <w:shd w:val="clear" w:color="auto" w:fill="auto"/>
            <w:vAlign w:val="bottom"/>
          </w:tcPr>
          <w:p w14:paraId="135B7723" w14:textId="77777777" w:rsidR="00AF04B6" w:rsidRPr="00BA3C79"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r>
      <w:tr w:rsidR="00AF04B6" w:rsidRPr="001E6A77" w14:paraId="2A5D82FC"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1CD1B23F" w14:textId="77777777" w:rsidR="00AF04B6" w:rsidRPr="001E6A77" w:rsidRDefault="00AF04B6" w:rsidP="00BB0772">
            <w:pPr>
              <w:pStyle w:val="08-Tabelageral"/>
              <w:jc w:val="left"/>
            </w:pPr>
            <w:r w:rsidRPr="001E6A77">
              <w:t>Depreciation and amortization</w:t>
            </w:r>
          </w:p>
        </w:tc>
        <w:tc>
          <w:tcPr>
            <w:tcW w:w="678" w:type="dxa"/>
            <w:tcBorders>
              <w:top w:val="nil"/>
              <w:bottom w:val="nil"/>
            </w:tcBorders>
            <w:shd w:val="clear" w:color="auto" w:fill="auto"/>
          </w:tcPr>
          <w:p w14:paraId="33AFCB24" w14:textId="77777777" w:rsidR="00AF04B6" w:rsidRPr="001E6A77" w:rsidRDefault="00AF04B6" w:rsidP="00BB0772">
            <w:pPr>
              <w:pStyle w:val="08-Tabelageral"/>
              <w:jc w:val="center"/>
              <w:cnfStyle w:val="000000100000" w:firstRow="0" w:lastRow="0" w:firstColumn="0" w:lastColumn="0" w:oddVBand="0" w:evenVBand="0" w:oddHBand="1" w:evenHBand="0" w:firstRowFirstColumn="0" w:firstRowLastColumn="0" w:lastRowFirstColumn="0" w:lastRowLastColumn="0"/>
              <w:rPr>
                <w:b/>
              </w:rPr>
            </w:pPr>
            <w:r w:rsidRPr="001E6A77">
              <w:rPr>
                <w:b/>
              </w:rPr>
              <w:t>[13]</w:t>
            </w:r>
          </w:p>
        </w:tc>
        <w:tc>
          <w:tcPr>
            <w:tcW w:w="1306" w:type="dxa"/>
            <w:tcBorders>
              <w:top w:val="nil"/>
              <w:bottom w:val="nil"/>
            </w:tcBorders>
            <w:shd w:val="clear" w:color="auto" w:fill="auto"/>
            <w:vAlign w:val="bottom"/>
          </w:tcPr>
          <w:p w14:paraId="7A10FD04" w14:textId="77777777" w:rsidR="00AF04B6" w:rsidRPr="001E6A77"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szCs w:val="14"/>
              </w:rPr>
              <w:t>(155)</w:t>
            </w:r>
          </w:p>
        </w:tc>
        <w:tc>
          <w:tcPr>
            <w:tcW w:w="1418" w:type="dxa"/>
            <w:tcBorders>
              <w:top w:val="nil"/>
              <w:bottom w:val="nil"/>
            </w:tcBorders>
            <w:shd w:val="clear" w:color="auto" w:fill="auto"/>
            <w:vAlign w:val="bottom"/>
          </w:tcPr>
          <w:p w14:paraId="78C77397" w14:textId="77777777" w:rsidR="00AF04B6" w:rsidRPr="001E6A77"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szCs w:val="14"/>
              </w:rPr>
              <w:t>(150)</w:t>
            </w:r>
          </w:p>
        </w:tc>
        <w:tc>
          <w:tcPr>
            <w:tcW w:w="280" w:type="dxa"/>
            <w:tcBorders>
              <w:top w:val="nil"/>
              <w:bottom w:val="nil"/>
            </w:tcBorders>
            <w:shd w:val="clear" w:color="auto" w:fill="auto"/>
            <w:vAlign w:val="center"/>
          </w:tcPr>
          <w:p w14:paraId="16AA72DA" w14:textId="77777777" w:rsidR="00AF04B6" w:rsidRPr="001E6A77"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21" w:type="dxa"/>
            <w:tcBorders>
              <w:top w:val="nil"/>
              <w:bottom w:val="nil"/>
            </w:tcBorders>
            <w:shd w:val="clear" w:color="auto" w:fill="auto"/>
            <w:vAlign w:val="bottom"/>
          </w:tcPr>
          <w:p w14:paraId="2404C693" w14:textId="77777777" w:rsidR="00AF04B6" w:rsidRPr="001E6A77"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szCs w:val="14"/>
              </w:rPr>
              <w:t>(1,285)</w:t>
            </w:r>
          </w:p>
        </w:tc>
        <w:tc>
          <w:tcPr>
            <w:tcW w:w="1417" w:type="dxa"/>
            <w:tcBorders>
              <w:top w:val="nil"/>
              <w:bottom w:val="nil"/>
            </w:tcBorders>
            <w:shd w:val="clear" w:color="auto" w:fill="auto"/>
            <w:vAlign w:val="bottom"/>
          </w:tcPr>
          <w:p w14:paraId="6642C3C6" w14:textId="77777777" w:rsidR="00AF04B6" w:rsidRPr="001E6A77"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szCs w:val="14"/>
              </w:rPr>
              <w:t>(1,067)</w:t>
            </w:r>
          </w:p>
        </w:tc>
      </w:tr>
      <w:tr w:rsidR="00AF04B6" w:rsidRPr="005F0714" w14:paraId="7D9A0114"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076C148" w14:textId="77777777" w:rsidR="00AF04B6" w:rsidRPr="006131C3" w:rsidRDefault="00AF04B6" w:rsidP="00BB0772">
            <w:pPr>
              <w:pStyle w:val="08-Tabelageral"/>
              <w:jc w:val="left"/>
            </w:pPr>
          </w:p>
        </w:tc>
        <w:tc>
          <w:tcPr>
            <w:tcW w:w="678" w:type="dxa"/>
            <w:tcBorders>
              <w:top w:val="nil"/>
              <w:bottom w:val="nil"/>
            </w:tcBorders>
            <w:shd w:val="clear" w:color="auto" w:fill="auto"/>
          </w:tcPr>
          <w:p w14:paraId="46E1C8CA" w14:textId="77777777" w:rsidR="00AF04B6" w:rsidRPr="00165BD7" w:rsidRDefault="00AF04B6" w:rsidP="00BB0772">
            <w:pPr>
              <w:pStyle w:val="08-Tabelageral"/>
              <w:jc w:val="center"/>
              <w:cnfStyle w:val="000000000000" w:firstRow="0" w:lastRow="0" w:firstColumn="0" w:lastColumn="0" w:oddVBand="0" w:evenVBand="0" w:oddHBand="0" w:evenHBand="0" w:firstRowFirstColumn="0" w:firstRowLastColumn="0" w:lastRowFirstColumn="0" w:lastRowLastColumn="0"/>
            </w:pPr>
          </w:p>
        </w:tc>
        <w:tc>
          <w:tcPr>
            <w:tcW w:w="1306" w:type="dxa"/>
            <w:tcBorders>
              <w:top w:val="nil"/>
              <w:bottom w:val="nil"/>
            </w:tcBorders>
            <w:shd w:val="clear" w:color="auto" w:fill="auto"/>
            <w:vAlign w:val="bottom"/>
          </w:tcPr>
          <w:p w14:paraId="5EE0BADB" w14:textId="77777777" w:rsidR="00AF04B6"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c>
          <w:tcPr>
            <w:tcW w:w="1418" w:type="dxa"/>
            <w:tcBorders>
              <w:top w:val="nil"/>
              <w:bottom w:val="nil"/>
            </w:tcBorders>
            <w:shd w:val="clear" w:color="auto" w:fill="auto"/>
            <w:vAlign w:val="bottom"/>
          </w:tcPr>
          <w:p w14:paraId="6E6D5CB7" w14:textId="77777777" w:rsidR="00AF04B6" w:rsidRPr="00BA3C79"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c>
          <w:tcPr>
            <w:tcW w:w="280" w:type="dxa"/>
            <w:tcBorders>
              <w:top w:val="nil"/>
              <w:bottom w:val="nil"/>
            </w:tcBorders>
            <w:shd w:val="clear" w:color="auto" w:fill="auto"/>
            <w:vAlign w:val="center"/>
          </w:tcPr>
          <w:p w14:paraId="748ACDAA" w14:textId="77777777" w:rsidR="00AF04B6" w:rsidRPr="00BA3C79"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rPr>
            </w:pPr>
          </w:p>
        </w:tc>
        <w:tc>
          <w:tcPr>
            <w:tcW w:w="1421" w:type="dxa"/>
            <w:tcBorders>
              <w:top w:val="nil"/>
              <w:bottom w:val="nil"/>
            </w:tcBorders>
            <w:shd w:val="clear" w:color="auto" w:fill="auto"/>
            <w:vAlign w:val="bottom"/>
          </w:tcPr>
          <w:p w14:paraId="0C00F643" w14:textId="77777777" w:rsidR="00AF04B6"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c>
          <w:tcPr>
            <w:tcW w:w="1417" w:type="dxa"/>
            <w:tcBorders>
              <w:top w:val="nil"/>
              <w:bottom w:val="nil"/>
            </w:tcBorders>
            <w:shd w:val="clear" w:color="auto" w:fill="auto"/>
            <w:vAlign w:val="bottom"/>
          </w:tcPr>
          <w:p w14:paraId="1BF4136D" w14:textId="77777777" w:rsidR="00AF04B6" w:rsidRPr="00BA3C79"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r>
      <w:tr w:rsidR="00AF04B6" w:rsidRPr="005F0714" w14:paraId="277A4CA3"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18285D38" w14:textId="77777777" w:rsidR="00AF04B6" w:rsidRPr="00BD6C7E" w:rsidRDefault="00AF04B6" w:rsidP="00BB0772">
            <w:pPr>
              <w:pStyle w:val="08-Tabelageral"/>
              <w:jc w:val="left"/>
              <w:rPr>
                <w:lang w:val="en-US"/>
              </w:rPr>
            </w:pPr>
            <w:r w:rsidRPr="00BD6C7E">
              <w:rPr>
                <w:lang w:val="en-US"/>
              </w:rPr>
              <w:t>Net Added Value Generated by the Entity</w:t>
            </w:r>
          </w:p>
        </w:tc>
        <w:tc>
          <w:tcPr>
            <w:tcW w:w="678" w:type="dxa"/>
            <w:tcBorders>
              <w:top w:val="nil"/>
              <w:bottom w:val="nil"/>
            </w:tcBorders>
            <w:shd w:val="clear" w:color="auto" w:fill="auto"/>
          </w:tcPr>
          <w:p w14:paraId="5F8CF80C" w14:textId="77777777" w:rsidR="00AF04B6" w:rsidRPr="00BD6C7E" w:rsidRDefault="00AF04B6" w:rsidP="00BB0772">
            <w:pPr>
              <w:pStyle w:val="08-Tabelageral"/>
              <w:jc w:val="center"/>
              <w:cnfStyle w:val="000000100000" w:firstRow="0" w:lastRow="0" w:firstColumn="0" w:lastColumn="0" w:oddVBand="0" w:evenVBand="0" w:oddHBand="1" w:evenHBand="0" w:firstRowFirstColumn="0" w:firstRowLastColumn="0" w:lastRowFirstColumn="0" w:lastRowLastColumn="0"/>
              <w:rPr>
                <w:lang w:val="en-US"/>
              </w:rPr>
            </w:pPr>
          </w:p>
        </w:tc>
        <w:tc>
          <w:tcPr>
            <w:tcW w:w="1306" w:type="dxa"/>
            <w:tcBorders>
              <w:top w:val="nil"/>
              <w:bottom w:val="nil"/>
            </w:tcBorders>
            <w:shd w:val="clear" w:color="auto" w:fill="auto"/>
            <w:vAlign w:val="bottom"/>
          </w:tcPr>
          <w:p w14:paraId="3E14C1DF"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5,115</w:t>
            </w:r>
          </w:p>
        </w:tc>
        <w:tc>
          <w:tcPr>
            <w:tcW w:w="1418" w:type="dxa"/>
            <w:tcBorders>
              <w:top w:val="nil"/>
              <w:bottom w:val="nil"/>
            </w:tcBorders>
            <w:shd w:val="clear" w:color="auto" w:fill="auto"/>
            <w:vAlign w:val="bottom"/>
          </w:tcPr>
          <w:p w14:paraId="3D5E55DD"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6,321</w:t>
            </w:r>
          </w:p>
        </w:tc>
        <w:tc>
          <w:tcPr>
            <w:tcW w:w="280" w:type="dxa"/>
            <w:tcBorders>
              <w:top w:val="nil"/>
              <w:bottom w:val="nil"/>
            </w:tcBorders>
            <w:shd w:val="clear" w:color="auto" w:fill="auto"/>
            <w:vAlign w:val="center"/>
          </w:tcPr>
          <w:p w14:paraId="6710CE8F"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21" w:type="dxa"/>
            <w:tcBorders>
              <w:top w:val="nil"/>
              <w:bottom w:val="nil"/>
            </w:tcBorders>
            <w:shd w:val="clear" w:color="auto" w:fill="auto"/>
            <w:vAlign w:val="bottom"/>
          </w:tcPr>
          <w:p w14:paraId="0AD12489"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4,339,296</w:t>
            </w:r>
          </w:p>
        </w:tc>
        <w:tc>
          <w:tcPr>
            <w:tcW w:w="1417" w:type="dxa"/>
            <w:tcBorders>
              <w:top w:val="nil"/>
              <w:bottom w:val="nil"/>
            </w:tcBorders>
            <w:shd w:val="clear" w:color="auto" w:fill="auto"/>
            <w:vAlign w:val="bottom"/>
          </w:tcPr>
          <w:p w14:paraId="1473546B"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3,648,448</w:t>
            </w:r>
          </w:p>
        </w:tc>
      </w:tr>
      <w:tr w:rsidR="00AF04B6" w:rsidRPr="000E70DE" w14:paraId="2CF8DB72"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19DAD2CC" w14:textId="77777777" w:rsidR="00AF04B6" w:rsidRPr="00924161" w:rsidRDefault="00AF04B6" w:rsidP="00BB0772">
            <w:pPr>
              <w:pStyle w:val="08-Tabelageral"/>
              <w:jc w:val="left"/>
              <w:rPr>
                <w:b w:val="0"/>
                <w:bCs w:val="0"/>
              </w:rPr>
            </w:pPr>
            <w:r w:rsidRPr="00924161">
              <w:rPr>
                <w:b w:val="0"/>
                <w:bCs w:val="0"/>
              </w:rPr>
              <w:t> </w:t>
            </w:r>
          </w:p>
        </w:tc>
        <w:tc>
          <w:tcPr>
            <w:tcW w:w="678" w:type="dxa"/>
            <w:tcBorders>
              <w:top w:val="nil"/>
              <w:bottom w:val="nil"/>
            </w:tcBorders>
            <w:shd w:val="clear" w:color="auto" w:fill="auto"/>
          </w:tcPr>
          <w:p w14:paraId="7AD59DD1" w14:textId="77777777" w:rsidR="00AF04B6" w:rsidRPr="00165BD7" w:rsidRDefault="00AF04B6" w:rsidP="00BB0772">
            <w:pPr>
              <w:pStyle w:val="08-Tabelageral"/>
              <w:jc w:val="center"/>
              <w:cnfStyle w:val="000000000000" w:firstRow="0" w:lastRow="0" w:firstColumn="0" w:lastColumn="0" w:oddVBand="0" w:evenVBand="0" w:oddHBand="0" w:evenHBand="0" w:firstRowFirstColumn="0" w:firstRowLastColumn="0" w:lastRowFirstColumn="0" w:lastRowLastColumn="0"/>
            </w:pPr>
          </w:p>
        </w:tc>
        <w:tc>
          <w:tcPr>
            <w:tcW w:w="1306" w:type="dxa"/>
            <w:tcBorders>
              <w:top w:val="nil"/>
              <w:bottom w:val="nil"/>
            </w:tcBorders>
            <w:shd w:val="clear" w:color="auto" w:fill="auto"/>
            <w:vAlign w:val="bottom"/>
          </w:tcPr>
          <w:p w14:paraId="70146697" w14:textId="77777777" w:rsidR="00AF04B6" w:rsidRPr="00BA3C79"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c>
          <w:tcPr>
            <w:tcW w:w="1418" w:type="dxa"/>
            <w:tcBorders>
              <w:top w:val="nil"/>
              <w:bottom w:val="nil"/>
            </w:tcBorders>
            <w:shd w:val="clear" w:color="auto" w:fill="auto"/>
            <w:vAlign w:val="bottom"/>
          </w:tcPr>
          <w:p w14:paraId="59B09EDF" w14:textId="77777777" w:rsidR="00AF04B6" w:rsidRPr="00BA3C79"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c>
          <w:tcPr>
            <w:tcW w:w="280" w:type="dxa"/>
            <w:tcBorders>
              <w:top w:val="nil"/>
              <w:bottom w:val="nil"/>
            </w:tcBorders>
            <w:shd w:val="clear" w:color="auto" w:fill="auto"/>
            <w:vAlign w:val="center"/>
          </w:tcPr>
          <w:p w14:paraId="67CBC021" w14:textId="77777777" w:rsidR="00AF04B6" w:rsidRPr="00BA3C79"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421" w:type="dxa"/>
            <w:tcBorders>
              <w:top w:val="nil"/>
              <w:bottom w:val="nil"/>
            </w:tcBorders>
            <w:shd w:val="clear" w:color="auto" w:fill="auto"/>
            <w:vAlign w:val="bottom"/>
          </w:tcPr>
          <w:p w14:paraId="0E969A24" w14:textId="77777777" w:rsidR="00AF04B6" w:rsidRPr="00BA3C79"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c>
          <w:tcPr>
            <w:tcW w:w="1417" w:type="dxa"/>
            <w:tcBorders>
              <w:top w:val="nil"/>
              <w:bottom w:val="nil"/>
            </w:tcBorders>
            <w:shd w:val="clear" w:color="auto" w:fill="auto"/>
            <w:vAlign w:val="bottom"/>
          </w:tcPr>
          <w:p w14:paraId="42A41CFD" w14:textId="77777777" w:rsidR="00AF04B6" w:rsidRPr="00BA3C79"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r>
      <w:tr w:rsidR="00AF04B6" w:rsidRPr="005F0714" w14:paraId="104C48F7"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2076D78" w14:textId="77777777" w:rsidR="00AF04B6" w:rsidRPr="00BD6C7E" w:rsidRDefault="00AF04B6" w:rsidP="00BB0772">
            <w:pPr>
              <w:pStyle w:val="08-Tabelageral"/>
              <w:jc w:val="left"/>
              <w:rPr>
                <w:lang w:val="en-US"/>
              </w:rPr>
            </w:pPr>
            <w:r w:rsidRPr="00BD6C7E">
              <w:rPr>
                <w:lang w:val="en-US"/>
              </w:rPr>
              <w:t>Added Value Received Through Transfer</w:t>
            </w:r>
          </w:p>
        </w:tc>
        <w:tc>
          <w:tcPr>
            <w:tcW w:w="678" w:type="dxa"/>
            <w:tcBorders>
              <w:top w:val="nil"/>
              <w:bottom w:val="nil"/>
            </w:tcBorders>
            <w:shd w:val="clear" w:color="auto" w:fill="auto"/>
          </w:tcPr>
          <w:p w14:paraId="51FF7241" w14:textId="77777777" w:rsidR="00AF04B6" w:rsidRPr="00BD6C7E" w:rsidRDefault="00AF04B6" w:rsidP="00BB0772">
            <w:pPr>
              <w:pStyle w:val="08-Tabelageral"/>
              <w:jc w:val="center"/>
              <w:cnfStyle w:val="000000100000" w:firstRow="0" w:lastRow="0" w:firstColumn="0" w:lastColumn="0" w:oddVBand="0" w:evenVBand="0" w:oddHBand="1" w:evenHBand="0" w:firstRowFirstColumn="0" w:firstRowLastColumn="0" w:lastRowFirstColumn="0" w:lastRowLastColumn="0"/>
              <w:rPr>
                <w:lang w:val="en-US"/>
              </w:rPr>
            </w:pPr>
          </w:p>
        </w:tc>
        <w:tc>
          <w:tcPr>
            <w:tcW w:w="1306" w:type="dxa"/>
            <w:tcBorders>
              <w:top w:val="nil"/>
              <w:bottom w:val="nil"/>
            </w:tcBorders>
            <w:shd w:val="clear" w:color="auto" w:fill="auto"/>
            <w:vAlign w:val="bottom"/>
          </w:tcPr>
          <w:p w14:paraId="4FCF0366"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6,087,253</w:t>
            </w:r>
          </w:p>
        </w:tc>
        <w:tc>
          <w:tcPr>
            <w:tcW w:w="1418" w:type="dxa"/>
            <w:tcBorders>
              <w:top w:val="nil"/>
              <w:bottom w:val="nil"/>
            </w:tcBorders>
            <w:shd w:val="clear" w:color="auto" w:fill="auto"/>
            <w:vAlign w:val="bottom"/>
          </w:tcPr>
          <w:p w14:paraId="53C24D73"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3,950,585</w:t>
            </w:r>
          </w:p>
        </w:tc>
        <w:tc>
          <w:tcPr>
            <w:tcW w:w="280" w:type="dxa"/>
            <w:tcBorders>
              <w:top w:val="nil"/>
              <w:bottom w:val="nil"/>
            </w:tcBorders>
            <w:shd w:val="clear" w:color="auto" w:fill="auto"/>
            <w:vAlign w:val="center"/>
          </w:tcPr>
          <w:p w14:paraId="6022161C"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21" w:type="dxa"/>
            <w:tcBorders>
              <w:top w:val="nil"/>
              <w:bottom w:val="nil"/>
            </w:tcBorders>
            <w:shd w:val="clear" w:color="auto" w:fill="auto"/>
            <w:vAlign w:val="bottom"/>
          </w:tcPr>
          <w:p w14:paraId="16B70824"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3,895,828</w:t>
            </w:r>
          </w:p>
        </w:tc>
        <w:tc>
          <w:tcPr>
            <w:tcW w:w="1417" w:type="dxa"/>
            <w:tcBorders>
              <w:top w:val="nil"/>
              <w:bottom w:val="nil"/>
            </w:tcBorders>
            <w:shd w:val="clear" w:color="auto" w:fill="auto"/>
            <w:vAlign w:val="bottom"/>
          </w:tcPr>
          <w:p w14:paraId="06C00A00"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1,982,094</w:t>
            </w:r>
          </w:p>
        </w:tc>
      </w:tr>
      <w:tr w:rsidR="00AF04B6" w:rsidRPr="005F0714" w14:paraId="2EFB8DEA"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5997F097" w14:textId="77777777" w:rsidR="00AF04B6" w:rsidRPr="00BD6C7E" w:rsidRDefault="00AF04B6" w:rsidP="00BB0772">
            <w:pPr>
              <w:pStyle w:val="08-Tabelageral"/>
              <w:ind w:left="113"/>
              <w:jc w:val="left"/>
              <w:rPr>
                <w:b w:val="0"/>
                <w:lang w:val="en-US"/>
              </w:rPr>
            </w:pPr>
            <w:r w:rsidRPr="00BD6C7E">
              <w:rPr>
                <w:b w:val="0"/>
                <w:lang w:val="en-US"/>
              </w:rPr>
              <w:t>Equity in the earnings of associates</w:t>
            </w:r>
          </w:p>
        </w:tc>
        <w:tc>
          <w:tcPr>
            <w:tcW w:w="678" w:type="dxa"/>
            <w:tcBorders>
              <w:top w:val="nil"/>
              <w:bottom w:val="nil"/>
            </w:tcBorders>
            <w:shd w:val="clear" w:color="auto" w:fill="auto"/>
            <w:vAlign w:val="center"/>
          </w:tcPr>
          <w:p w14:paraId="34F5A7EC" w14:textId="77777777" w:rsidR="00AF04B6" w:rsidRPr="00165BD7" w:rsidRDefault="00AF04B6" w:rsidP="00BB0772">
            <w:pPr>
              <w:pStyle w:val="08-Tabelageral"/>
              <w:ind w:left="113"/>
              <w:jc w:val="center"/>
              <w:cnfStyle w:val="000000000000" w:firstRow="0" w:lastRow="0" w:firstColumn="0" w:lastColumn="0" w:oddVBand="0" w:evenVBand="0" w:oddHBand="0" w:evenHBand="0" w:firstRowFirstColumn="0" w:firstRowLastColumn="0" w:lastRowFirstColumn="0" w:lastRowLastColumn="0"/>
            </w:pPr>
            <w:r w:rsidRPr="00B10394">
              <w:t>[7</w:t>
            </w:r>
            <w:r>
              <w:t>.b</w:t>
            </w:r>
            <w:r w:rsidRPr="00B10394">
              <w:t>]</w:t>
            </w:r>
          </w:p>
        </w:tc>
        <w:tc>
          <w:tcPr>
            <w:tcW w:w="1306" w:type="dxa"/>
            <w:tcBorders>
              <w:top w:val="nil"/>
              <w:bottom w:val="nil"/>
            </w:tcBorders>
            <w:shd w:val="clear" w:color="auto" w:fill="auto"/>
            <w:vAlign w:val="bottom"/>
          </w:tcPr>
          <w:p w14:paraId="4F37E51F" w14:textId="77777777" w:rsidR="00AF04B6" w:rsidRPr="005F071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szCs w:val="14"/>
              </w:rPr>
              <w:t>6,042,788</w:t>
            </w:r>
          </w:p>
        </w:tc>
        <w:tc>
          <w:tcPr>
            <w:tcW w:w="1418" w:type="dxa"/>
            <w:tcBorders>
              <w:top w:val="nil"/>
              <w:bottom w:val="nil"/>
            </w:tcBorders>
            <w:shd w:val="clear" w:color="auto" w:fill="auto"/>
            <w:vAlign w:val="bottom"/>
          </w:tcPr>
          <w:p w14:paraId="2E5DAEAE" w14:textId="77777777" w:rsidR="00AF04B6" w:rsidRPr="005F071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szCs w:val="14"/>
              </w:rPr>
              <w:t>3,923,593</w:t>
            </w:r>
          </w:p>
        </w:tc>
        <w:tc>
          <w:tcPr>
            <w:tcW w:w="280" w:type="dxa"/>
            <w:tcBorders>
              <w:top w:val="nil"/>
              <w:bottom w:val="nil"/>
            </w:tcBorders>
            <w:shd w:val="clear" w:color="auto" w:fill="auto"/>
            <w:vAlign w:val="center"/>
          </w:tcPr>
          <w:p w14:paraId="5B030993" w14:textId="77777777" w:rsidR="00AF04B6" w:rsidRPr="005F071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21" w:type="dxa"/>
            <w:tcBorders>
              <w:top w:val="nil"/>
              <w:bottom w:val="nil"/>
            </w:tcBorders>
            <w:shd w:val="clear" w:color="auto" w:fill="auto"/>
            <w:vAlign w:val="bottom"/>
          </w:tcPr>
          <w:p w14:paraId="1E93275E" w14:textId="77777777" w:rsidR="00AF04B6" w:rsidRPr="005F071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szCs w:val="14"/>
              </w:rPr>
              <w:t>3,363,765</w:t>
            </w:r>
          </w:p>
        </w:tc>
        <w:tc>
          <w:tcPr>
            <w:tcW w:w="1417" w:type="dxa"/>
            <w:tcBorders>
              <w:top w:val="nil"/>
              <w:bottom w:val="nil"/>
            </w:tcBorders>
            <w:shd w:val="clear" w:color="auto" w:fill="auto"/>
            <w:vAlign w:val="bottom"/>
          </w:tcPr>
          <w:p w14:paraId="0E5A0842" w14:textId="77777777" w:rsidR="00AF04B6" w:rsidRPr="005F071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szCs w:val="14"/>
              </w:rPr>
              <w:t>1,830,355</w:t>
            </w:r>
          </w:p>
        </w:tc>
      </w:tr>
      <w:tr w:rsidR="00AF04B6" w:rsidRPr="005F0714" w14:paraId="671D0B5B"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03801DDB" w14:textId="77777777" w:rsidR="00AF04B6" w:rsidRPr="009768B6" w:rsidRDefault="00AF04B6" w:rsidP="00BB0772">
            <w:pPr>
              <w:pStyle w:val="08-Tabelageral"/>
              <w:ind w:left="113"/>
              <w:jc w:val="left"/>
              <w:rPr>
                <w:b w:val="0"/>
              </w:rPr>
            </w:pPr>
            <w:r w:rsidRPr="009768B6">
              <w:rPr>
                <w:b w:val="0"/>
              </w:rPr>
              <w:t>Financial income</w:t>
            </w:r>
          </w:p>
        </w:tc>
        <w:tc>
          <w:tcPr>
            <w:tcW w:w="678" w:type="dxa"/>
            <w:tcBorders>
              <w:top w:val="nil"/>
              <w:bottom w:val="nil"/>
            </w:tcBorders>
            <w:shd w:val="clear" w:color="auto" w:fill="auto"/>
          </w:tcPr>
          <w:p w14:paraId="650617D9" w14:textId="77777777" w:rsidR="00AF04B6" w:rsidRPr="00165BD7" w:rsidRDefault="00AF04B6" w:rsidP="00BB0772">
            <w:pPr>
              <w:pStyle w:val="08-Tabelageral"/>
              <w:ind w:left="113"/>
              <w:jc w:val="center"/>
              <w:cnfStyle w:val="000000100000" w:firstRow="0" w:lastRow="0" w:firstColumn="0" w:lastColumn="0" w:oddVBand="0" w:evenVBand="0" w:oddHBand="1" w:evenHBand="0" w:firstRowFirstColumn="0" w:firstRowLastColumn="0" w:lastRowFirstColumn="0" w:lastRowLastColumn="0"/>
            </w:pPr>
            <w:r>
              <w:t>[14]</w:t>
            </w:r>
          </w:p>
        </w:tc>
        <w:tc>
          <w:tcPr>
            <w:tcW w:w="1306" w:type="dxa"/>
            <w:tcBorders>
              <w:top w:val="nil"/>
              <w:bottom w:val="nil"/>
            </w:tcBorders>
            <w:shd w:val="clear" w:color="auto" w:fill="auto"/>
            <w:vAlign w:val="bottom"/>
          </w:tcPr>
          <w:p w14:paraId="35CDD000" w14:textId="77777777" w:rsidR="00AF04B6" w:rsidRPr="005F071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44,465</w:t>
            </w:r>
          </w:p>
        </w:tc>
        <w:tc>
          <w:tcPr>
            <w:tcW w:w="1418" w:type="dxa"/>
            <w:tcBorders>
              <w:top w:val="nil"/>
              <w:bottom w:val="nil"/>
            </w:tcBorders>
            <w:shd w:val="clear" w:color="auto" w:fill="auto"/>
            <w:vAlign w:val="bottom"/>
          </w:tcPr>
          <w:p w14:paraId="33B1669E" w14:textId="77777777" w:rsidR="00AF04B6" w:rsidRPr="005F071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26,992</w:t>
            </w:r>
          </w:p>
        </w:tc>
        <w:tc>
          <w:tcPr>
            <w:tcW w:w="280" w:type="dxa"/>
            <w:tcBorders>
              <w:top w:val="nil"/>
              <w:bottom w:val="nil"/>
            </w:tcBorders>
            <w:shd w:val="clear" w:color="auto" w:fill="auto"/>
            <w:vAlign w:val="center"/>
          </w:tcPr>
          <w:p w14:paraId="37BA9457" w14:textId="77777777" w:rsidR="00AF04B6" w:rsidRPr="005F071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1" w:type="dxa"/>
            <w:tcBorders>
              <w:top w:val="nil"/>
              <w:bottom w:val="nil"/>
            </w:tcBorders>
            <w:shd w:val="clear" w:color="auto" w:fill="auto"/>
            <w:vAlign w:val="bottom"/>
          </w:tcPr>
          <w:p w14:paraId="0BD99863" w14:textId="77777777" w:rsidR="00AF04B6" w:rsidRPr="005F071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532,063</w:t>
            </w:r>
          </w:p>
        </w:tc>
        <w:tc>
          <w:tcPr>
            <w:tcW w:w="1417" w:type="dxa"/>
            <w:tcBorders>
              <w:top w:val="nil"/>
              <w:bottom w:val="nil"/>
            </w:tcBorders>
            <w:shd w:val="clear" w:color="auto" w:fill="auto"/>
            <w:vAlign w:val="bottom"/>
          </w:tcPr>
          <w:p w14:paraId="35B7CC15" w14:textId="77777777" w:rsidR="00AF04B6" w:rsidRPr="005F071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151,739</w:t>
            </w:r>
          </w:p>
        </w:tc>
      </w:tr>
      <w:tr w:rsidR="00AF04B6" w:rsidRPr="001D6BE8" w14:paraId="69BD7A9B"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0499812" w14:textId="77777777" w:rsidR="00AF04B6" w:rsidRPr="00924161" w:rsidRDefault="00AF04B6" w:rsidP="00BB0772">
            <w:pPr>
              <w:pStyle w:val="08-Tabelageral"/>
              <w:jc w:val="left"/>
              <w:rPr>
                <w:b w:val="0"/>
                <w:bCs w:val="0"/>
              </w:rPr>
            </w:pPr>
            <w:r w:rsidRPr="00924161">
              <w:rPr>
                <w:b w:val="0"/>
                <w:bCs w:val="0"/>
              </w:rPr>
              <w:t> </w:t>
            </w:r>
          </w:p>
        </w:tc>
        <w:tc>
          <w:tcPr>
            <w:tcW w:w="678" w:type="dxa"/>
            <w:tcBorders>
              <w:top w:val="nil"/>
              <w:bottom w:val="nil"/>
            </w:tcBorders>
            <w:shd w:val="clear" w:color="auto" w:fill="auto"/>
          </w:tcPr>
          <w:p w14:paraId="025BC79B" w14:textId="77777777" w:rsidR="00AF04B6" w:rsidRPr="00165BD7" w:rsidRDefault="00AF04B6" w:rsidP="00BB0772">
            <w:pPr>
              <w:pStyle w:val="08-Tabelageral"/>
              <w:jc w:val="center"/>
              <w:cnfStyle w:val="000000000000" w:firstRow="0" w:lastRow="0" w:firstColumn="0" w:lastColumn="0" w:oddVBand="0" w:evenVBand="0" w:oddHBand="0" w:evenHBand="0" w:firstRowFirstColumn="0" w:firstRowLastColumn="0" w:lastRowFirstColumn="0" w:lastRowLastColumn="0"/>
            </w:pPr>
          </w:p>
        </w:tc>
        <w:tc>
          <w:tcPr>
            <w:tcW w:w="1306" w:type="dxa"/>
            <w:tcBorders>
              <w:top w:val="nil"/>
              <w:bottom w:val="nil"/>
            </w:tcBorders>
            <w:shd w:val="clear" w:color="auto" w:fill="auto"/>
            <w:vAlign w:val="bottom"/>
          </w:tcPr>
          <w:p w14:paraId="1605295A" w14:textId="77777777" w:rsidR="00AF04B6" w:rsidRPr="008A41F6"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szCs w:val="14"/>
              </w:rPr>
              <w:t> </w:t>
            </w:r>
          </w:p>
        </w:tc>
        <w:tc>
          <w:tcPr>
            <w:tcW w:w="1418" w:type="dxa"/>
            <w:tcBorders>
              <w:top w:val="nil"/>
              <w:bottom w:val="nil"/>
            </w:tcBorders>
            <w:shd w:val="clear" w:color="auto" w:fill="auto"/>
            <w:vAlign w:val="bottom"/>
          </w:tcPr>
          <w:p w14:paraId="5F102355" w14:textId="77777777" w:rsidR="00AF04B6" w:rsidRPr="008A41F6"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c>
          <w:tcPr>
            <w:tcW w:w="280" w:type="dxa"/>
            <w:tcBorders>
              <w:top w:val="nil"/>
              <w:bottom w:val="nil"/>
            </w:tcBorders>
            <w:shd w:val="clear" w:color="auto" w:fill="auto"/>
            <w:vAlign w:val="center"/>
          </w:tcPr>
          <w:p w14:paraId="09286938" w14:textId="77777777" w:rsidR="00AF04B6" w:rsidRPr="008A41F6"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21" w:type="dxa"/>
            <w:tcBorders>
              <w:top w:val="nil"/>
              <w:bottom w:val="nil"/>
            </w:tcBorders>
            <w:shd w:val="clear" w:color="auto" w:fill="auto"/>
            <w:vAlign w:val="bottom"/>
          </w:tcPr>
          <w:p w14:paraId="6E594E0D" w14:textId="77777777" w:rsidR="00AF04B6" w:rsidRPr="008A41F6"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szCs w:val="14"/>
              </w:rPr>
              <w:t> </w:t>
            </w:r>
          </w:p>
        </w:tc>
        <w:tc>
          <w:tcPr>
            <w:tcW w:w="1417" w:type="dxa"/>
            <w:tcBorders>
              <w:top w:val="nil"/>
              <w:bottom w:val="nil"/>
            </w:tcBorders>
            <w:shd w:val="clear" w:color="auto" w:fill="auto"/>
            <w:vAlign w:val="bottom"/>
          </w:tcPr>
          <w:p w14:paraId="73143837" w14:textId="77777777" w:rsidR="00AF04B6" w:rsidRPr="008A41F6"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b/>
              </w:rPr>
            </w:pPr>
            <w:r>
              <w:rPr>
                <w:rFonts w:cs="Arial"/>
                <w:szCs w:val="14"/>
              </w:rPr>
              <w:t> </w:t>
            </w:r>
          </w:p>
        </w:tc>
      </w:tr>
      <w:tr w:rsidR="00AF04B6" w:rsidRPr="00BA3C79" w14:paraId="00238112"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25158A6A" w14:textId="77777777" w:rsidR="00AF04B6" w:rsidRPr="00BD6C7E" w:rsidRDefault="00AF04B6" w:rsidP="00BB0772">
            <w:pPr>
              <w:pStyle w:val="08-Tabelageral"/>
              <w:jc w:val="left"/>
              <w:rPr>
                <w:lang w:val="en-US"/>
              </w:rPr>
            </w:pPr>
            <w:r w:rsidRPr="00BD6C7E">
              <w:rPr>
                <w:lang w:val="en-US"/>
              </w:rPr>
              <w:t>Total Added Value to Distribute</w:t>
            </w:r>
          </w:p>
        </w:tc>
        <w:tc>
          <w:tcPr>
            <w:tcW w:w="678" w:type="dxa"/>
            <w:tcBorders>
              <w:top w:val="nil"/>
              <w:bottom w:val="nil"/>
            </w:tcBorders>
            <w:shd w:val="clear" w:color="auto" w:fill="auto"/>
          </w:tcPr>
          <w:p w14:paraId="466BD2E2" w14:textId="77777777" w:rsidR="00AF04B6" w:rsidRPr="00BD6C7E" w:rsidRDefault="00AF04B6" w:rsidP="00BB0772">
            <w:pPr>
              <w:pStyle w:val="08-Tabelageral"/>
              <w:jc w:val="center"/>
              <w:cnfStyle w:val="000000100000" w:firstRow="0" w:lastRow="0" w:firstColumn="0" w:lastColumn="0" w:oddVBand="0" w:evenVBand="0" w:oddHBand="1" w:evenHBand="0" w:firstRowFirstColumn="0" w:firstRowLastColumn="0" w:lastRowFirstColumn="0" w:lastRowLastColumn="0"/>
              <w:rPr>
                <w:lang w:val="en-US"/>
              </w:rPr>
            </w:pPr>
          </w:p>
        </w:tc>
        <w:tc>
          <w:tcPr>
            <w:tcW w:w="1306" w:type="dxa"/>
            <w:tcBorders>
              <w:top w:val="nil"/>
              <w:bottom w:val="nil"/>
            </w:tcBorders>
            <w:shd w:val="clear" w:color="auto" w:fill="auto"/>
            <w:vAlign w:val="bottom"/>
          </w:tcPr>
          <w:p w14:paraId="318601CB"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6,092,368</w:t>
            </w:r>
          </w:p>
        </w:tc>
        <w:tc>
          <w:tcPr>
            <w:tcW w:w="1418" w:type="dxa"/>
            <w:tcBorders>
              <w:top w:val="nil"/>
              <w:bottom w:val="nil"/>
            </w:tcBorders>
            <w:shd w:val="clear" w:color="auto" w:fill="auto"/>
            <w:vAlign w:val="bottom"/>
          </w:tcPr>
          <w:p w14:paraId="7CFF8C7A"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3,956,906</w:t>
            </w:r>
          </w:p>
        </w:tc>
        <w:tc>
          <w:tcPr>
            <w:tcW w:w="280" w:type="dxa"/>
            <w:tcBorders>
              <w:top w:val="nil"/>
              <w:bottom w:val="nil"/>
            </w:tcBorders>
            <w:shd w:val="clear" w:color="auto" w:fill="auto"/>
            <w:vAlign w:val="center"/>
          </w:tcPr>
          <w:p w14:paraId="72BD2C50"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21" w:type="dxa"/>
            <w:tcBorders>
              <w:top w:val="nil"/>
              <w:bottom w:val="nil"/>
            </w:tcBorders>
            <w:shd w:val="clear" w:color="auto" w:fill="auto"/>
            <w:vAlign w:val="bottom"/>
          </w:tcPr>
          <w:p w14:paraId="5E59ECFA"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8,235,124</w:t>
            </w:r>
          </w:p>
        </w:tc>
        <w:tc>
          <w:tcPr>
            <w:tcW w:w="1417" w:type="dxa"/>
            <w:tcBorders>
              <w:top w:val="nil"/>
              <w:bottom w:val="nil"/>
            </w:tcBorders>
            <w:shd w:val="clear" w:color="auto" w:fill="auto"/>
            <w:vAlign w:val="bottom"/>
          </w:tcPr>
          <w:p w14:paraId="3AE50CA9"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5,630,542</w:t>
            </w:r>
          </w:p>
        </w:tc>
      </w:tr>
      <w:tr w:rsidR="00AF04B6" w:rsidRPr="001D6BE8" w14:paraId="672F093B"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D1B4290" w14:textId="77777777" w:rsidR="00AF04B6" w:rsidRPr="00924161" w:rsidRDefault="00AF04B6" w:rsidP="00BB0772">
            <w:pPr>
              <w:pStyle w:val="08-Tabelageral"/>
              <w:jc w:val="left"/>
              <w:rPr>
                <w:b w:val="0"/>
                <w:bCs w:val="0"/>
              </w:rPr>
            </w:pPr>
            <w:r w:rsidRPr="00924161">
              <w:rPr>
                <w:b w:val="0"/>
                <w:bCs w:val="0"/>
              </w:rPr>
              <w:t> </w:t>
            </w:r>
          </w:p>
        </w:tc>
        <w:tc>
          <w:tcPr>
            <w:tcW w:w="678" w:type="dxa"/>
            <w:tcBorders>
              <w:top w:val="nil"/>
              <w:bottom w:val="nil"/>
            </w:tcBorders>
            <w:shd w:val="clear" w:color="auto" w:fill="auto"/>
          </w:tcPr>
          <w:p w14:paraId="49D582E7" w14:textId="77777777" w:rsidR="00AF04B6" w:rsidRPr="00165BD7" w:rsidRDefault="00AF04B6" w:rsidP="00BB0772">
            <w:pPr>
              <w:pStyle w:val="08-Tabelageral"/>
              <w:jc w:val="center"/>
              <w:cnfStyle w:val="000000000000" w:firstRow="0" w:lastRow="0" w:firstColumn="0" w:lastColumn="0" w:oddVBand="0" w:evenVBand="0" w:oddHBand="0" w:evenHBand="0" w:firstRowFirstColumn="0" w:firstRowLastColumn="0" w:lastRowFirstColumn="0" w:lastRowLastColumn="0"/>
            </w:pPr>
          </w:p>
        </w:tc>
        <w:tc>
          <w:tcPr>
            <w:tcW w:w="1306" w:type="dxa"/>
            <w:tcBorders>
              <w:top w:val="nil"/>
              <w:bottom w:val="nil"/>
            </w:tcBorders>
            <w:shd w:val="clear" w:color="auto" w:fill="auto"/>
            <w:vAlign w:val="bottom"/>
          </w:tcPr>
          <w:p w14:paraId="1F0BB20F" w14:textId="77777777" w:rsidR="00AF04B6" w:rsidRPr="00350BA7"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 </w:t>
            </w:r>
          </w:p>
        </w:tc>
        <w:tc>
          <w:tcPr>
            <w:tcW w:w="1418" w:type="dxa"/>
            <w:tcBorders>
              <w:top w:val="nil"/>
              <w:bottom w:val="nil"/>
            </w:tcBorders>
            <w:shd w:val="clear" w:color="auto" w:fill="auto"/>
            <w:vAlign w:val="bottom"/>
          </w:tcPr>
          <w:p w14:paraId="1EBAB0A2" w14:textId="77777777" w:rsidR="00AF04B6" w:rsidRPr="00010EFA" w:rsidRDefault="00AF04B6" w:rsidP="00BB0772">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 </w:t>
            </w:r>
          </w:p>
        </w:tc>
        <w:tc>
          <w:tcPr>
            <w:tcW w:w="280" w:type="dxa"/>
            <w:tcBorders>
              <w:top w:val="nil"/>
              <w:bottom w:val="nil"/>
            </w:tcBorders>
            <w:shd w:val="clear" w:color="auto" w:fill="auto"/>
            <w:vAlign w:val="center"/>
          </w:tcPr>
          <w:p w14:paraId="7B16FFC1" w14:textId="77777777" w:rsidR="00AF04B6" w:rsidRPr="00010EFA"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21" w:type="dxa"/>
            <w:tcBorders>
              <w:top w:val="nil"/>
              <w:bottom w:val="nil"/>
            </w:tcBorders>
            <w:shd w:val="clear" w:color="auto" w:fill="auto"/>
            <w:vAlign w:val="bottom"/>
          </w:tcPr>
          <w:p w14:paraId="3C5E8533" w14:textId="77777777" w:rsidR="00AF04B6" w:rsidRPr="00010EFA" w:rsidRDefault="00AF04B6" w:rsidP="00BB0772">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 </w:t>
            </w:r>
          </w:p>
        </w:tc>
        <w:tc>
          <w:tcPr>
            <w:tcW w:w="1417" w:type="dxa"/>
            <w:tcBorders>
              <w:top w:val="nil"/>
              <w:bottom w:val="nil"/>
            </w:tcBorders>
            <w:shd w:val="clear" w:color="auto" w:fill="auto"/>
            <w:vAlign w:val="bottom"/>
          </w:tcPr>
          <w:p w14:paraId="1128D98F" w14:textId="77777777" w:rsidR="00AF04B6" w:rsidRPr="00010EFA" w:rsidRDefault="00AF04B6" w:rsidP="00BB0772">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 </w:t>
            </w:r>
          </w:p>
        </w:tc>
      </w:tr>
      <w:tr w:rsidR="00AF04B6" w:rsidRPr="00BA3C79" w14:paraId="295910AE"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128204D0" w14:textId="77777777" w:rsidR="00AF04B6" w:rsidRPr="005F0714" w:rsidRDefault="00AF04B6" w:rsidP="00BB0772">
            <w:pPr>
              <w:pStyle w:val="08-Tabelageral"/>
              <w:jc w:val="left"/>
            </w:pPr>
            <w:r w:rsidRPr="006131C3">
              <w:t>Distribution of Added Value</w:t>
            </w:r>
          </w:p>
        </w:tc>
        <w:tc>
          <w:tcPr>
            <w:tcW w:w="678" w:type="dxa"/>
            <w:tcBorders>
              <w:top w:val="nil"/>
              <w:bottom w:val="nil"/>
            </w:tcBorders>
            <w:shd w:val="clear" w:color="auto" w:fill="auto"/>
          </w:tcPr>
          <w:p w14:paraId="20FF5404" w14:textId="77777777" w:rsidR="00AF04B6" w:rsidRPr="00165BD7" w:rsidRDefault="00AF04B6" w:rsidP="00BB0772">
            <w:pPr>
              <w:pStyle w:val="08-Tabelageral"/>
              <w:jc w:val="center"/>
              <w:cnfStyle w:val="000000100000" w:firstRow="0" w:lastRow="0" w:firstColumn="0" w:lastColumn="0" w:oddVBand="0" w:evenVBand="0" w:oddHBand="1" w:evenHBand="0" w:firstRowFirstColumn="0" w:firstRowLastColumn="0" w:lastRowFirstColumn="0" w:lastRowLastColumn="0"/>
            </w:pPr>
          </w:p>
        </w:tc>
        <w:tc>
          <w:tcPr>
            <w:tcW w:w="1306" w:type="dxa"/>
            <w:tcBorders>
              <w:top w:val="nil"/>
              <w:bottom w:val="nil"/>
            </w:tcBorders>
            <w:shd w:val="clear" w:color="auto" w:fill="auto"/>
            <w:vAlign w:val="bottom"/>
          </w:tcPr>
          <w:p w14:paraId="7E46D69F"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6,092,368</w:t>
            </w:r>
          </w:p>
        </w:tc>
        <w:tc>
          <w:tcPr>
            <w:tcW w:w="1418" w:type="dxa"/>
            <w:tcBorders>
              <w:top w:val="nil"/>
              <w:bottom w:val="nil"/>
            </w:tcBorders>
            <w:shd w:val="clear" w:color="auto" w:fill="auto"/>
            <w:vAlign w:val="bottom"/>
          </w:tcPr>
          <w:p w14:paraId="7EA4824D"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3,956,906</w:t>
            </w:r>
          </w:p>
        </w:tc>
        <w:tc>
          <w:tcPr>
            <w:tcW w:w="280" w:type="dxa"/>
            <w:tcBorders>
              <w:top w:val="nil"/>
              <w:bottom w:val="nil"/>
            </w:tcBorders>
            <w:shd w:val="clear" w:color="auto" w:fill="auto"/>
            <w:vAlign w:val="center"/>
          </w:tcPr>
          <w:p w14:paraId="0827BD96"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21" w:type="dxa"/>
            <w:tcBorders>
              <w:top w:val="nil"/>
              <w:bottom w:val="nil"/>
            </w:tcBorders>
            <w:shd w:val="clear" w:color="auto" w:fill="auto"/>
            <w:vAlign w:val="bottom"/>
          </w:tcPr>
          <w:p w14:paraId="77A0CF79"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8,235,124</w:t>
            </w:r>
          </w:p>
        </w:tc>
        <w:tc>
          <w:tcPr>
            <w:tcW w:w="1417" w:type="dxa"/>
            <w:tcBorders>
              <w:top w:val="nil"/>
              <w:bottom w:val="nil"/>
            </w:tcBorders>
            <w:shd w:val="clear" w:color="auto" w:fill="auto"/>
            <w:vAlign w:val="bottom"/>
          </w:tcPr>
          <w:p w14:paraId="6F4446B2" w14:textId="77777777" w:rsidR="00AF04B6" w:rsidRPr="00C47A43" w:rsidRDefault="00AF04B6" w:rsidP="00BB0772">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5,630,542</w:t>
            </w:r>
          </w:p>
        </w:tc>
      </w:tr>
      <w:tr w:rsidR="00AF04B6" w:rsidRPr="009C6064" w14:paraId="30A39276"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58E199FB" w14:textId="77777777" w:rsidR="00AF04B6" w:rsidRPr="009C6064" w:rsidRDefault="00AF04B6" w:rsidP="00BB0772">
            <w:pPr>
              <w:pStyle w:val="08-Tabelageral"/>
              <w:ind w:left="113"/>
              <w:jc w:val="left"/>
              <w:rPr>
                <w:b w:val="0"/>
              </w:rPr>
            </w:pPr>
            <w:r w:rsidRPr="009C6064">
              <w:t>Personnel</w:t>
            </w:r>
          </w:p>
        </w:tc>
        <w:tc>
          <w:tcPr>
            <w:tcW w:w="678" w:type="dxa"/>
            <w:tcBorders>
              <w:top w:val="nil"/>
              <w:bottom w:val="nil"/>
            </w:tcBorders>
            <w:shd w:val="clear" w:color="auto" w:fill="auto"/>
          </w:tcPr>
          <w:p w14:paraId="61DD29EB" w14:textId="77777777" w:rsidR="00AF04B6" w:rsidRPr="009C6064" w:rsidRDefault="00AF04B6" w:rsidP="00BB0772">
            <w:pPr>
              <w:pStyle w:val="08-Tabelageral"/>
              <w:ind w:left="113"/>
              <w:jc w:val="center"/>
              <w:cnfStyle w:val="000000000000" w:firstRow="0" w:lastRow="0" w:firstColumn="0" w:lastColumn="0" w:oddVBand="0" w:evenVBand="0" w:oddHBand="0" w:evenHBand="0" w:firstRowFirstColumn="0" w:firstRowLastColumn="0" w:lastRowFirstColumn="0" w:lastRowLastColumn="0"/>
              <w:rPr>
                <w:b/>
              </w:rPr>
            </w:pPr>
          </w:p>
        </w:tc>
        <w:tc>
          <w:tcPr>
            <w:tcW w:w="1306" w:type="dxa"/>
            <w:tcBorders>
              <w:top w:val="nil"/>
              <w:bottom w:val="nil"/>
            </w:tcBorders>
            <w:shd w:val="clear" w:color="auto" w:fill="auto"/>
            <w:vAlign w:val="bottom"/>
          </w:tcPr>
          <w:p w14:paraId="7C9E003F"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b/>
                <w:bCs/>
                <w:szCs w:val="14"/>
              </w:rPr>
              <w:t>12,952</w:t>
            </w:r>
          </w:p>
        </w:tc>
        <w:tc>
          <w:tcPr>
            <w:tcW w:w="1418" w:type="dxa"/>
            <w:tcBorders>
              <w:top w:val="nil"/>
              <w:bottom w:val="nil"/>
            </w:tcBorders>
            <w:shd w:val="clear" w:color="auto" w:fill="auto"/>
            <w:vAlign w:val="bottom"/>
          </w:tcPr>
          <w:p w14:paraId="547C75F5"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b/>
                <w:bCs/>
                <w:szCs w:val="14"/>
              </w:rPr>
              <w:t>10,515</w:t>
            </w:r>
          </w:p>
        </w:tc>
        <w:tc>
          <w:tcPr>
            <w:tcW w:w="280" w:type="dxa"/>
            <w:tcBorders>
              <w:top w:val="nil"/>
              <w:bottom w:val="nil"/>
            </w:tcBorders>
            <w:shd w:val="clear" w:color="auto" w:fill="auto"/>
            <w:vAlign w:val="center"/>
          </w:tcPr>
          <w:p w14:paraId="45C6289F"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421" w:type="dxa"/>
            <w:tcBorders>
              <w:top w:val="nil"/>
              <w:bottom w:val="nil"/>
            </w:tcBorders>
            <w:shd w:val="clear" w:color="auto" w:fill="auto"/>
            <w:vAlign w:val="bottom"/>
          </w:tcPr>
          <w:p w14:paraId="5E1135D3"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b/>
                <w:bCs/>
                <w:szCs w:val="14"/>
              </w:rPr>
              <w:t>64,802</w:t>
            </w:r>
          </w:p>
        </w:tc>
        <w:tc>
          <w:tcPr>
            <w:tcW w:w="1417" w:type="dxa"/>
            <w:tcBorders>
              <w:top w:val="nil"/>
              <w:bottom w:val="nil"/>
            </w:tcBorders>
            <w:shd w:val="clear" w:color="auto" w:fill="auto"/>
            <w:vAlign w:val="bottom"/>
          </w:tcPr>
          <w:p w14:paraId="554AC63A"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b/>
                <w:bCs/>
                <w:szCs w:val="14"/>
              </w:rPr>
              <w:t>54,894</w:t>
            </w:r>
          </w:p>
        </w:tc>
      </w:tr>
      <w:tr w:rsidR="00AF04B6" w:rsidRPr="009C6064" w14:paraId="269D8005"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0E368838" w14:textId="77777777" w:rsidR="00AF04B6" w:rsidRPr="00FD7EA2" w:rsidRDefault="00AF04B6" w:rsidP="00BB0772">
            <w:pPr>
              <w:pStyle w:val="08-Tabelageral"/>
              <w:ind w:left="113" w:firstLine="63"/>
              <w:jc w:val="left"/>
              <w:rPr>
                <w:b w:val="0"/>
                <w:lang w:val="en-US"/>
              </w:rPr>
            </w:pPr>
            <w:r w:rsidRPr="00FD7EA2">
              <w:rPr>
                <w:b w:val="0"/>
                <w:lang w:val="en-US"/>
              </w:rPr>
              <w:t>Direct remuneration - Earnings and fees</w:t>
            </w:r>
          </w:p>
        </w:tc>
        <w:tc>
          <w:tcPr>
            <w:tcW w:w="678" w:type="dxa"/>
            <w:tcBorders>
              <w:top w:val="nil"/>
              <w:bottom w:val="nil"/>
            </w:tcBorders>
            <w:shd w:val="clear" w:color="auto" w:fill="auto"/>
          </w:tcPr>
          <w:p w14:paraId="5D148D88" w14:textId="77777777" w:rsidR="00AF04B6" w:rsidRPr="00FD7EA2" w:rsidRDefault="00AF04B6" w:rsidP="00BB0772">
            <w:pPr>
              <w:pStyle w:val="08-Tabelageral"/>
              <w:ind w:left="113"/>
              <w:jc w:val="center"/>
              <w:cnfStyle w:val="000000100000" w:firstRow="0" w:lastRow="0" w:firstColumn="0" w:lastColumn="0" w:oddVBand="0" w:evenVBand="0" w:oddHBand="1" w:evenHBand="0" w:firstRowFirstColumn="0" w:firstRowLastColumn="0" w:lastRowFirstColumn="0" w:lastRowLastColumn="0"/>
              <w:rPr>
                <w:b/>
                <w:lang w:val="en-US"/>
              </w:rPr>
            </w:pPr>
          </w:p>
        </w:tc>
        <w:tc>
          <w:tcPr>
            <w:tcW w:w="1306" w:type="dxa"/>
            <w:tcBorders>
              <w:top w:val="nil"/>
              <w:bottom w:val="nil"/>
            </w:tcBorders>
            <w:shd w:val="clear" w:color="auto" w:fill="auto"/>
            <w:vAlign w:val="bottom"/>
          </w:tcPr>
          <w:p w14:paraId="7886754B"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9,395</w:t>
            </w:r>
          </w:p>
        </w:tc>
        <w:tc>
          <w:tcPr>
            <w:tcW w:w="1418" w:type="dxa"/>
            <w:tcBorders>
              <w:top w:val="nil"/>
              <w:bottom w:val="nil"/>
            </w:tcBorders>
            <w:shd w:val="clear" w:color="auto" w:fill="auto"/>
            <w:vAlign w:val="bottom"/>
          </w:tcPr>
          <w:p w14:paraId="594EA4BF"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7,876</w:t>
            </w:r>
          </w:p>
        </w:tc>
        <w:tc>
          <w:tcPr>
            <w:tcW w:w="280" w:type="dxa"/>
            <w:tcBorders>
              <w:top w:val="nil"/>
              <w:bottom w:val="nil"/>
            </w:tcBorders>
            <w:shd w:val="clear" w:color="auto" w:fill="auto"/>
            <w:vAlign w:val="center"/>
          </w:tcPr>
          <w:p w14:paraId="39131FCF"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421" w:type="dxa"/>
            <w:tcBorders>
              <w:top w:val="nil"/>
              <w:bottom w:val="nil"/>
            </w:tcBorders>
            <w:shd w:val="clear" w:color="auto" w:fill="auto"/>
            <w:vAlign w:val="bottom"/>
          </w:tcPr>
          <w:p w14:paraId="2DB81BAC"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45,629</w:t>
            </w:r>
          </w:p>
        </w:tc>
        <w:tc>
          <w:tcPr>
            <w:tcW w:w="1417" w:type="dxa"/>
            <w:tcBorders>
              <w:top w:val="nil"/>
              <w:bottom w:val="nil"/>
            </w:tcBorders>
            <w:shd w:val="clear" w:color="auto" w:fill="auto"/>
            <w:vAlign w:val="bottom"/>
          </w:tcPr>
          <w:p w14:paraId="0B0A564D"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39,803</w:t>
            </w:r>
          </w:p>
        </w:tc>
      </w:tr>
      <w:tr w:rsidR="00AF04B6" w:rsidRPr="009C6064" w14:paraId="4F6AB8C3"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03451490" w14:textId="77777777" w:rsidR="00AF04B6" w:rsidRPr="009C6064" w:rsidRDefault="00AF04B6" w:rsidP="00BB0772">
            <w:pPr>
              <w:pStyle w:val="08-Tabelageral"/>
              <w:ind w:left="113" w:firstLine="63"/>
              <w:jc w:val="left"/>
              <w:rPr>
                <w:b w:val="0"/>
              </w:rPr>
            </w:pPr>
            <w:r w:rsidRPr="00317F11">
              <w:rPr>
                <w:b w:val="0"/>
              </w:rPr>
              <w:t>Benefits and training</w:t>
            </w:r>
          </w:p>
        </w:tc>
        <w:tc>
          <w:tcPr>
            <w:tcW w:w="678" w:type="dxa"/>
            <w:tcBorders>
              <w:top w:val="nil"/>
              <w:bottom w:val="nil"/>
            </w:tcBorders>
            <w:shd w:val="clear" w:color="auto" w:fill="auto"/>
          </w:tcPr>
          <w:p w14:paraId="0C329C80" w14:textId="77777777" w:rsidR="00AF04B6" w:rsidRPr="009C6064" w:rsidRDefault="00AF04B6" w:rsidP="00BB0772">
            <w:pPr>
              <w:pStyle w:val="08-Tabelageral"/>
              <w:ind w:left="113"/>
              <w:jc w:val="center"/>
              <w:cnfStyle w:val="000000000000" w:firstRow="0" w:lastRow="0" w:firstColumn="0" w:lastColumn="0" w:oddVBand="0" w:evenVBand="0" w:oddHBand="0" w:evenHBand="0" w:firstRowFirstColumn="0" w:firstRowLastColumn="0" w:lastRowFirstColumn="0" w:lastRowLastColumn="0"/>
              <w:rPr>
                <w:b/>
              </w:rPr>
            </w:pPr>
          </w:p>
        </w:tc>
        <w:tc>
          <w:tcPr>
            <w:tcW w:w="1306" w:type="dxa"/>
            <w:tcBorders>
              <w:top w:val="nil"/>
              <w:bottom w:val="nil"/>
            </w:tcBorders>
            <w:shd w:val="clear" w:color="auto" w:fill="auto"/>
            <w:vAlign w:val="bottom"/>
          </w:tcPr>
          <w:p w14:paraId="0CAA9939"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szCs w:val="14"/>
              </w:rPr>
              <w:t>2,068</w:t>
            </w:r>
          </w:p>
        </w:tc>
        <w:tc>
          <w:tcPr>
            <w:tcW w:w="1418" w:type="dxa"/>
            <w:tcBorders>
              <w:top w:val="nil"/>
              <w:bottom w:val="nil"/>
            </w:tcBorders>
            <w:shd w:val="clear" w:color="auto" w:fill="auto"/>
            <w:vAlign w:val="bottom"/>
          </w:tcPr>
          <w:p w14:paraId="07C4C517"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1,555</w:t>
            </w:r>
          </w:p>
        </w:tc>
        <w:tc>
          <w:tcPr>
            <w:tcW w:w="280" w:type="dxa"/>
            <w:tcBorders>
              <w:top w:val="nil"/>
              <w:bottom w:val="nil"/>
            </w:tcBorders>
            <w:shd w:val="clear" w:color="auto" w:fill="auto"/>
            <w:vAlign w:val="center"/>
          </w:tcPr>
          <w:p w14:paraId="22C9C014"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421" w:type="dxa"/>
            <w:tcBorders>
              <w:top w:val="nil"/>
              <w:bottom w:val="nil"/>
            </w:tcBorders>
            <w:shd w:val="clear" w:color="auto" w:fill="auto"/>
            <w:vAlign w:val="bottom"/>
          </w:tcPr>
          <w:p w14:paraId="30DA7F19"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szCs w:val="14"/>
              </w:rPr>
              <w:t>11,909</w:t>
            </w:r>
          </w:p>
        </w:tc>
        <w:tc>
          <w:tcPr>
            <w:tcW w:w="1417" w:type="dxa"/>
            <w:tcBorders>
              <w:top w:val="nil"/>
              <w:bottom w:val="nil"/>
            </w:tcBorders>
            <w:shd w:val="clear" w:color="auto" w:fill="auto"/>
            <w:vAlign w:val="bottom"/>
          </w:tcPr>
          <w:p w14:paraId="494AA362"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9,176</w:t>
            </w:r>
          </w:p>
        </w:tc>
      </w:tr>
      <w:tr w:rsidR="00AF04B6" w:rsidRPr="009C6064" w14:paraId="2D2BF7AD"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4C3EDE04" w14:textId="77777777" w:rsidR="00AF04B6" w:rsidRPr="009C6064" w:rsidRDefault="00AF04B6" w:rsidP="00BB0772">
            <w:pPr>
              <w:pStyle w:val="08-Tabelageral"/>
              <w:ind w:left="113" w:firstLine="63"/>
              <w:jc w:val="left"/>
              <w:rPr>
                <w:b w:val="0"/>
              </w:rPr>
            </w:pPr>
            <w:r w:rsidRPr="00317F11">
              <w:rPr>
                <w:b w:val="0"/>
              </w:rPr>
              <w:t>FGTS</w:t>
            </w:r>
          </w:p>
        </w:tc>
        <w:tc>
          <w:tcPr>
            <w:tcW w:w="678" w:type="dxa"/>
            <w:tcBorders>
              <w:top w:val="nil"/>
              <w:bottom w:val="nil"/>
            </w:tcBorders>
            <w:shd w:val="clear" w:color="auto" w:fill="auto"/>
          </w:tcPr>
          <w:p w14:paraId="22D81CBE" w14:textId="77777777" w:rsidR="00AF04B6" w:rsidRPr="009C6064" w:rsidRDefault="00AF04B6" w:rsidP="00BB0772">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306" w:type="dxa"/>
            <w:tcBorders>
              <w:top w:val="nil"/>
              <w:bottom w:val="nil"/>
            </w:tcBorders>
            <w:shd w:val="clear" w:color="auto" w:fill="auto"/>
            <w:vAlign w:val="bottom"/>
          </w:tcPr>
          <w:p w14:paraId="57D35DF8"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536</w:t>
            </w:r>
          </w:p>
        </w:tc>
        <w:tc>
          <w:tcPr>
            <w:tcW w:w="1418" w:type="dxa"/>
            <w:tcBorders>
              <w:top w:val="nil"/>
              <w:bottom w:val="nil"/>
            </w:tcBorders>
            <w:shd w:val="clear" w:color="auto" w:fill="auto"/>
            <w:vAlign w:val="bottom"/>
          </w:tcPr>
          <w:p w14:paraId="62C8CEBB"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426</w:t>
            </w:r>
          </w:p>
        </w:tc>
        <w:tc>
          <w:tcPr>
            <w:tcW w:w="280" w:type="dxa"/>
            <w:tcBorders>
              <w:top w:val="nil"/>
              <w:bottom w:val="nil"/>
            </w:tcBorders>
            <w:shd w:val="clear" w:color="auto" w:fill="auto"/>
            <w:vAlign w:val="center"/>
          </w:tcPr>
          <w:p w14:paraId="4CAFBB64"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421" w:type="dxa"/>
            <w:tcBorders>
              <w:top w:val="nil"/>
              <w:bottom w:val="nil"/>
            </w:tcBorders>
            <w:shd w:val="clear" w:color="auto" w:fill="auto"/>
            <w:vAlign w:val="bottom"/>
          </w:tcPr>
          <w:p w14:paraId="0CB4D4E8"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2,851</w:t>
            </w:r>
          </w:p>
        </w:tc>
        <w:tc>
          <w:tcPr>
            <w:tcW w:w="1417" w:type="dxa"/>
            <w:tcBorders>
              <w:top w:val="nil"/>
              <w:bottom w:val="nil"/>
            </w:tcBorders>
            <w:shd w:val="clear" w:color="auto" w:fill="auto"/>
            <w:vAlign w:val="bottom"/>
          </w:tcPr>
          <w:p w14:paraId="10587923"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2,419</w:t>
            </w:r>
          </w:p>
        </w:tc>
      </w:tr>
      <w:tr w:rsidR="00AF04B6" w:rsidRPr="009C6064" w14:paraId="7D23D18A"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tcPr>
          <w:p w14:paraId="0AC97806" w14:textId="77777777" w:rsidR="00AF04B6" w:rsidRPr="009C6064" w:rsidRDefault="00AF04B6" w:rsidP="00BB0772">
            <w:pPr>
              <w:pStyle w:val="08-Tabelageral"/>
              <w:ind w:left="113" w:firstLine="63"/>
              <w:jc w:val="left"/>
              <w:rPr>
                <w:b w:val="0"/>
              </w:rPr>
            </w:pPr>
            <w:r w:rsidRPr="00317F11">
              <w:rPr>
                <w:rStyle w:val="rynqvb"/>
                <w:b w:val="0"/>
                <w:lang w:val="en"/>
              </w:rPr>
              <w:t>Other charges</w:t>
            </w:r>
          </w:p>
        </w:tc>
        <w:tc>
          <w:tcPr>
            <w:tcW w:w="678" w:type="dxa"/>
            <w:tcBorders>
              <w:top w:val="nil"/>
              <w:bottom w:val="nil"/>
            </w:tcBorders>
            <w:shd w:val="clear" w:color="auto" w:fill="auto"/>
          </w:tcPr>
          <w:p w14:paraId="6E0E3F4A" w14:textId="77777777" w:rsidR="00AF04B6" w:rsidRPr="009C6064" w:rsidRDefault="00AF04B6" w:rsidP="00BB0772">
            <w:pPr>
              <w:pStyle w:val="08-Tabelageral"/>
              <w:ind w:left="113"/>
              <w:jc w:val="center"/>
              <w:cnfStyle w:val="000000000000" w:firstRow="0" w:lastRow="0" w:firstColumn="0" w:lastColumn="0" w:oddVBand="0" w:evenVBand="0" w:oddHBand="0" w:evenHBand="0" w:firstRowFirstColumn="0" w:firstRowLastColumn="0" w:lastRowFirstColumn="0" w:lastRowLastColumn="0"/>
              <w:rPr>
                <w:b/>
              </w:rPr>
            </w:pPr>
          </w:p>
        </w:tc>
        <w:tc>
          <w:tcPr>
            <w:tcW w:w="1306" w:type="dxa"/>
            <w:tcBorders>
              <w:top w:val="nil"/>
              <w:bottom w:val="nil"/>
            </w:tcBorders>
            <w:shd w:val="clear" w:color="auto" w:fill="auto"/>
            <w:vAlign w:val="bottom"/>
          </w:tcPr>
          <w:p w14:paraId="339EF42B"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szCs w:val="14"/>
              </w:rPr>
              <w:t>953</w:t>
            </w:r>
          </w:p>
        </w:tc>
        <w:tc>
          <w:tcPr>
            <w:tcW w:w="1418" w:type="dxa"/>
            <w:tcBorders>
              <w:top w:val="nil"/>
              <w:bottom w:val="nil"/>
            </w:tcBorders>
            <w:shd w:val="clear" w:color="auto" w:fill="auto"/>
            <w:vAlign w:val="bottom"/>
          </w:tcPr>
          <w:p w14:paraId="7409D9E1"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658</w:t>
            </w:r>
          </w:p>
        </w:tc>
        <w:tc>
          <w:tcPr>
            <w:tcW w:w="280" w:type="dxa"/>
            <w:tcBorders>
              <w:top w:val="nil"/>
              <w:bottom w:val="nil"/>
            </w:tcBorders>
            <w:shd w:val="clear" w:color="auto" w:fill="auto"/>
            <w:vAlign w:val="center"/>
          </w:tcPr>
          <w:p w14:paraId="38F878C9"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421" w:type="dxa"/>
            <w:tcBorders>
              <w:top w:val="nil"/>
              <w:bottom w:val="nil"/>
            </w:tcBorders>
            <w:shd w:val="clear" w:color="auto" w:fill="auto"/>
            <w:vAlign w:val="bottom"/>
          </w:tcPr>
          <w:p w14:paraId="2F3E8E2A"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szCs w:val="14"/>
              </w:rPr>
              <w:t>4,413</w:t>
            </w:r>
          </w:p>
        </w:tc>
        <w:tc>
          <w:tcPr>
            <w:tcW w:w="1417" w:type="dxa"/>
            <w:tcBorders>
              <w:top w:val="nil"/>
              <w:bottom w:val="nil"/>
            </w:tcBorders>
            <w:shd w:val="clear" w:color="auto" w:fill="auto"/>
            <w:vAlign w:val="bottom"/>
          </w:tcPr>
          <w:p w14:paraId="0DE09E41"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3,496</w:t>
            </w:r>
          </w:p>
        </w:tc>
      </w:tr>
      <w:tr w:rsidR="00AF04B6" w:rsidRPr="009C6064" w14:paraId="643504DA"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22AA898" w14:textId="77777777" w:rsidR="00AF04B6" w:rsidRPr="009C6064" w:rsidRDefault="00AF04B6" w:rsidP="00BB0772">
            <w:pPr>
              <w:pStyle w:val="08-Tabelageral"/>
              <w:ind w:left="113"/>
              <w:jc w:val="left"/>
              <w:rPr>
                <w:b w:val="0"/>
              </w:rPr>
            </w:pPr>
            <w:r w:rsidRPr="009C6064">
              <w:t>Taxes, fees and contributions</w:t>
            </w:r>
          </w:p>
        </w:tc>
        <w:tc>
          <w:tcPr>
            <w:tcW w:w="678" w:type="dxa"/>
            <w:tcBorders>
              <w:top w:val="nil"/>
              <w:bottom w:val="nil"/>
            </w:tcBorders>
            <w:shd w:val="clear" w:color="auto" w:fill="auto"/>
          </w:tcPr>
          <w:p w14:paraId="1992CD07" w14:textId="77777777" w:rsidR="00AF04B6" w:rsidRPr="009C6064" w:rsidRDefault="00AF04B6" w:rsidP="00BB0772">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306" w:type="dxa"/>
            <w:tcBorders>
              <w:top w:val="nil"/>
              <w:bottom w:val="nil"/>
            </w:tcBorders>
            <w:shd w:val="clear" w:color="auto" w:fill="auto"/>
            <w:vAlign w:val="bottom"/>
          </w:tcPr>
          <w:p w14:paraId="2FD0380C"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5,966</w:t>
            </w:r>
          </w:p>
        </w:tc>
        <w:tc>
          <w:tcPr>
            <w:tcW w:w="1418" w:type="dxa"/>
            <w:tcBorders>
              <w:top w:val="nil"/>
              <w:bottom w:val="nil"/>
            </w:tcBorders>
            <w:shd w:val="clear" w:color="auto" w:fill="auto"/>
            <w:vAlign w:val="bottom"/>
          </w:tcPr>
          <w:p w14:paraId="6202E82B"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bCs/>
                <w:szCs w:val="14"/>
              </w:rPr>
              <w:t>8,440</w:t>
            </w:r>
          </w:p>
        </w:tc>
        <w:tc>
          <w:tcPr>
            <w:tcW w:w="280" w:type="dxa"/>
            <w:tcBorders>
              <w:top w:val="nil"/>
              <w:bottom w:val="nil"/>
            </w:tcBorders>
            <w:shd w:val="clear" w:color="auto" w:fill="auto"/>
            <w:vAlign w:val="center"/>
          </w:tcPr>
          <w:p w14:paraId="2491A239"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421" w:type="dxa"/>
            <w:tcBorders>
              <w:top w:val="nil"/>
              <w:bottom w:val="nil"/>
            </w:tcBorders>
            <w:shd w:val="clear" w:color="auto" w:fill="auto"/>
            <w:vAlign w:val="bottom"/>
          </w:tcPr>
          <w:p w14:paraId="02092E11"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Cs w:val="14"/>
              </w:rPr>
              <w:t>2,092,937</w:t>
            </w:r>
          </w:p>
        </w:tc>
        <w:tc>
          <w:tcPr>
            <w:tcW w:w="1417" w:type="dxa"/>
            <w:tcBorders>
              <w:top w:val="nil"/>
              <w:bottom w:val="nil"/>
            </w:tcBorders>
            <w:shd w:val="clear" w:color="auto" w:fill="auto"/>
            <w:vAlign w:val="bottom"/>
          </w:tcPr>
          <w:p w14:paraId="3538EEFC"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b/>
                <w:bCs/>
                <w:szCs w:val="14"/>
              </w:rPr>
              <w:t>1,634,949</w:t>
            </w:r>
          </w:p>
        </w:tc>
      </w:tr>
      <w:tr w:rsidR="00AF04B6" w:rsidRPr="009C6064" w14:paraId="0398CF4F"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107FEBA" w14:textId="77777777" w:rsidR="00AF04B6" w:rsidRDefault="00AF04B6" w:rsidP="00BB0772">
            <w:pPr>
              <w:pStyle w:val="08-Tabelageral"/>
              <w:ind w:left="113" w:firstLine="63"/>
              <w:jc w:val="left"/>
              <w:rPr>
                <w:b w:val="0"/>
              </w:rPr>
            </w:pPr>
            <w:r>
              <w:rPr>
                <w:b w:val="0"/>
              </w:rPr>
              <w:t>Federal</w:t>
            </w:r>
          </w:p>
        </w:tc>
        <w:tc>
          <w:tcPr>
            <w:tcW w:w="678" w:type="dxa"/>
            <w:tcBorders>
              <w:top w:val="nil"/>
              <w:bottom w:val="nil"/>
            </w:tcBorders>
            <w:shd w:val="clear" w:color="auto" w:fill="auto"/>
          </w:tcPr>
          <w:p w14:paraId="0AC4161E" w14:textId="77777777" w:rsidR="00AF04B6" w:rsidRPr="009C6064" w:rsidRDefault="00AF04B6" w:rsidP="00BB0772">
            <w:pPr>
              <w:pStyle w:val="08-Tabelageral"/>
              <w:ind w:left="113"/>
              <w:jc w:val="center"/>
              <w:cnfStyle w:val="000000000000" w:firstRow="0" w:lastRow="0" w:firstColumn="0" w:lastColumn="0" w:oddVBand="0" w:evenVBand="0" w:oddHBand="0" w:evenHBand="0" w:firstRowFirstColumn="0" w:firstRowLastColumn="0" w:lastRowFirstColumn="0" w:lastRowLastColumn="0"/>
              <w:rPr>
                <w:b/>
              </w:rPr>
            </w:pPr>
          </w:p>
        </w:tc>
        <w:tc>
          <w:tcPr>
            <w:tcW w:w="1306" w:type="dxa"/>
            <w:tcBorders>
              <w:top w:val="nil"/>
              <w:bottom w:val="nil"/>
            </w:tcBorders>
            <w:shd w:val="clear" w:color="auto" w:fill="auto"/>
            <w:vAlign w:val="bottom"/>
          </w:tcPr>
          <w:p w14:paraId="1F9129A2"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szCs w:val="14"/>
              </w:rPr>
              <w:t>5,966</w:t>
            </w:r>
          </w:p>
        </w:tc>
        <w:tc>
          <w:tcPr>
            <w:tcW w:w="1418" w:type="dxa"/>
            <w:tcBorders>
              <w:top w:val="nil"/>
              <w:bottom w:val="nil"/>
            </w:tcBorders>
            <w:shd w:val="clear" w:color="auto" w:fill="auto"/>
            <w:vAlign w:val="bottom"/>
          </w:tcPr>
          <w:p w14:paraId="1EF6F030"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8,440</w:t>
            </w:r>
          </w:p>
        </w:tc>
        <w:tc>
          <w:tcPr>
            <w:tcW w:w="280" w:type="dxa"/>
            <w:tcBorders>
              <w:top w:val="nil"/>
              <w:bottom w:val="nil"/>
            </w:tcBorders>
            <w:shd w:val="clear" w:color="auto" w:fill="auto"/>
            <w:vAlign w:val="center"/>
          </w:tcPr>
          <w:p w14:paraId="02692E18"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421" w:type="dxa"/>
            <w:tcBorders>
              <w:top w:val="nil"/>
              <w:bottom w:val="nil"/>
            </w:tcBorders>
            <w:shd w:val="clear" w:color="auto" w:fill="auto"/>
            <w:vAlign w:val="bottom"/>
          </w:tcPr>
          <w:p w14:paraId="1819FB3B"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szCs w:val="14"/>
              </w:rPr>
              <w:t>1,982,816</w:t>
            </w:r>
          </w:p>
        </w:tc>
        <w:tc>
          <w:tcPr>
            <w:tcW w:w="1417" w:type="dxa"/>
            <w:tcBorders>
              <w:top w:val="nil"/>
              <w:bottom w:val="nil"/>
            </w:tcBorders>
            <w:shd w:val="clear" w:color="auto" w:fill="auto"/>
            <w:vAlign w:val="bottom"/>
          </w:tcPr>
          <w:p w14:paraId="37C7B5DE"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1,542,552</w:t>
            </w:r>
          </w:p>
        </w:tc>
      </w:tr>
      <w:tr w:rsidR="00AF04B6" w:rsidRPr="009C6064" w14:paraId="74D3E5B4"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1855AC05" w14:textId="77777777" w:rsidR="00AF04B6" w:rsidRDefault="00AF04B6" w:rsidP="00BB0772">
            <w:pPr>
              <w:pStyle w:val="08-Tabelageral"/>
              <w:ind w:left="113" w:firstLine="63"/>
              <w:jc w:val="left"/>
              <w:rPr>
                <w:b w:val="0"/>
              </w:rPr>
            </w:pPr>
            <w:r>
              <w:rPr>
                <w:b w:val="0"/>
              </w:rPr>
              <w:t>Municipal</w:t>
            </w:r>
          </w:p>
        </w:tc>
        <w:tc>
          <w:tcPr>
            <w:tcW w:w="678" w:type="dxa"/>
            <w:tcBorders>
              <w:top w:val="nil"/>
              <w:bottom w:val="nil"/>
            </w:tcBorders>
            <w:shd w:val="clear" w:color="auto" w:fill="auto"/>
          </w:tcPr>
          <w:p w14:paraId="29B4F6A3" w14:textId="77777777" w:rsidR="00AF04B6" w:rsidRPr="009C6064" w:rsidRDefault="00AF04B6" w:rsidP="00BB0772">
            <w:pPr>
              <w:pStyle w:val="08-Tabelageral"/>
              <w:ind w:left="113"/>
              <w:jc w:val="center"/>
              <w:cnfStyle w:val="000000100000" w:firstRow="0" w:lastRow="0" w:firstColumn="0" w:lastColumn="0" w:oddVBand="0" w:evenVBand="0" w:oddHBand="1" w:evenHBand="0" w:firstRowFirstColumn="0" w:firstRowLastColumn="0" w:lastRowFirstColumn="0" w:lastRowLastColumn="0"/>
              <w:rPr>
                <w:b/>
              </w:rPr>
            </w:pPr>
          </w:p>
        </w:tc>
        <w:tc>
          <w:tcPr>
            <w:tcW w:w="1306" w:type="dxa"/>
            <w:tcBorders>
              <w:top w:val="nil"/>
              <w:bottom w:val="nil"/>
            </w:tcBorders>
            <w:shd w:val="clear" w:color="auto" w:fill="auto"/>
            <w:vAlign w:val="bottom"/>
          </w:tcPr>
          <w:p w14:paraId="1E66953F"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w:t>
            </w:r>
          </w:p>
        </w:tc>
        <w:tc>
          <w:tcPr>
            <w:tcW w:w="1418" w:type="dxa"/>
            <w:tcBorders>
              <w:top w:val="nil"/>
              <w:bottom w:val="nil"/>
            </w:tcBorders>
            <w:shd w:val="clear" w:color="auto" w:fill="auto"/>
            <w:vAlign w:val="bottom"/>
          </w:tcPr>
          <w:p w14:paraId="6078570B"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w:t>
            </w:r>
          </w:p>
        </w:tc>
        <w:tc>
          <w:tcPr>
            <w:tcW w:w="280" w:type="dxa"/>
            <w:tcBorders>
              <w:top w:val="nil"/>
              <w:bottom w:val="nil"/>
            </w:tcBorders>
            <w:shd w:val="clear" w:color="auto" w:fill="auto"/>
            <w:vAlign w:val="center"/>
          </w:tcPr>
          <w:p w14:paraId="03B033F1"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421" w:type="dxa"/>
            <w:tcBorders>
              <w:top w:val="nil"/>
              <w:bottom w:val="nil"/>
            </w:tcBorders>
            <w:shd w:val="clear" w:color="auto" w:fill="auto"/>
            <w:vAlign w:val="bottom"/>
          </w:tcPr>
          <w:p w14:paraId="19C54A18"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110,121</w:t>
            </w:r>
          </w:p>
        </w:tc>
        <w:tc>
          <w:tcPr>
            <w:tcW w:w="1417" w:type="dxa"/>
            <w:tcBorders>
              <w:top w:val="nil"/>
              <w:bottom w:val="nil"/>
            </w:tcBorders>
            <w:shd w:val="clear" w:color="auto" w:fill="auto"/>
            <w:vAlign w:val="bottom"/>
          </w:tcPr>
          <w:p w14:paraId="40B82E45"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92,397</w:t>
            </w:r>
          </w:p>
        </w:tc>
      </w:tr>
      <w:tr w:rsidR="00AF04B6" w:rsidRPr="00DE24BE" w14:paraId="79CA4697"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00202607" w14:textId="77777777" w:rsidR="00AF04B6" w:rsidRPr="00FD7EA2" w:rsidRDefault="00AF04B6" w:rsidP="00BB0772">
            <w:pPr>
              <w:pStyle w:val="08-Tabelageral"/>
              <w:ind w:left="113"/>
              <w:jc w:val="left"/>
              <w:rPr>
                <w:lang w:val="en-US"/>
              </w:rPr>
            </w:pPr>
            <w:r w:rsidRPr="00FD7EA2">
              <w:rPr>
                <w:lang w:val="en-US"/>
              </w:rPr>
              <w:t>Remuneration of third-party capital</w:t>
            </w:r>
          </w:p>
        </w:tc>
        <w:tc>
          <w:tcPr>
            <w:tcW w:w="678" w:type="dxa"/>
            <w:tcBorders>
              <w:top w:val="nil"/>
              <w:bottom w:val="nil"/>
            </w:tcBorders>
            <w:shd w:val="clear" w:color="auto" w:fill="auto"/>
          </w:tcPr>
          <w:p w14:paraId="6C5F82ED" w14:textId="77777777" w:rsidR="00AF04B6" w:rsidRPr="00FD7EA2" w:rsidRDefault="00AF04B6" w:rsidP="00BB0772">
            <w:pPr>
              <w:pStyle w:val="08-Tabelageral"/>
              <w:ind w:left="113"/>
              <w:jc w:val="left"/>
              <w:cnfStyle w:val="000000000000" w:firstRow="0" w:lastRow="0" w:firstColumn="0" w:lastColumn="0" w:oddVBand="0" w:evenVBand="0" w:oddHBand="0" w:evenHBand="0" w:firstRowFirstColumn="0" w:firstRowLastColumn="0" w:lastRowFirstColumn="0" w:lastRowLastColumn="0"/>
              <w:rPr>
                <w:lang w:val="en-US"/>
              </w:rPr>
            </w:pPr>
          </w:p>
        </w:tc>
        <w:tc>
          <w:tcPr>
            <w:tcW w:w="1306" w:type="dxa"/>
            <w:tcBorders>
              <w:top w:val="nil"/>
              <w:bottom w:val="nil"/>
            </w:tcBorders>
            <w:shd w:val="clear" w:color="auto" w:fill="auto"/>
            <w:vAlign w:val="bottom"/>
          </w:tcPr>
          <w:p w14:paraId="272EBAA2" w14:textId="77777777" w:rsidR="00AF04B6" w:rsidRPr="00DE24BE"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b/>
                <w:bCs/>
                <w:szCs w:val="14"/>
              </w:rPr>
              <w:t>28,879</w:t>
            </w:r>
          </w:p>
        </w:tc>
        <w:tc>
          <w:tcPr>
            <w:tcW w:w="1418" w:type="dxa"/>
            <w:tcBorders>
              <w:top w:val="nil"/>
              <w:bottom w:val="nil"/>
            </w:tcBorders>
            <w:shd w:val="clear" w:color="auto" w:fill="auto"/>
            <w:vAlign w:val="bottom"/>
          </w:tcPr>
          <w:p w14:paraId="46BA965E" w14:textId="77777777" w:rsidR="00AF04B6" w:rsidRPr="00DE24BE"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b/>
                <w:bCs/>
                <w:szCs w:val="14"/>
              </w:rPr>
              <w:t>4,734</w:t>
            </w:r>
          </w:p>
        </w:tc>
        <w:tc>
          <w:tcPr>
            <w:tcW w:w="280" w:type="dxa"/>
            <w:tcBorders>
              <w:top w:val="nil"/>
              <w:bottom w:val="nil"/>
            </w:tcBorders>
            <w:shd w:val="clear" w:color="auto" w:fill="auto"/>
            <w:vAlign w:val="center"/>
          </w:tcPr>
          <w:p w14:paraId="7F2772DB" w14:textId="77777777" w:rsidR="00AF04B6" w:rsidRPr="00DE24BE"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421" w:type="dxa"/>
            <w:tcBorders>
              <w:top w:val="nil"/>
              <w:bottom w:val="nil"/>
            </w:tcBorders>
            <w:shd w:val="clear" w:color="auto" w:fill="auto"/>
            <w:vAlign w:val="bottom"/>
          </w:tcPr>
          <w:p w14:paraId="276E2C2D" w14:textId="77777777" w:rsidR="00AF04B6" w:rsidRPr="00DE24BE"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b/>
                <w:bCs/>
                <w:szCs w:val="14"/>
              </w:rPr>
              <w:t>32,814</w:t>
            </w:r>
          </w:p>
        </w:tc>
        <w:tc>
          <w:tcPr>
            <w:tcW w:w="1417" w:type="dxa"/>
            <w:tcBorders>
              <w:top w:val="nil"/>
              <w:bottom w:val="nil"/>
            </w:tcBorders>
            <w:shd w:val="clear" w:color="auto" w:fill="auto"/>
            <w:vAlign w:val="bottom"/>
          </w:tcPr>
          <w:p w14:paraId="48A1947C" w14:textId="77777777" w:rsidR="00AF04B6" w:rsidRPr="00DE24BE"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b/>
                <w:bCs/>
                <w:szCs w:val="14"/>
              </w:rPr>
              <w:t>7,482</w:t>
            </w:r>
          </w:p>
        </w:tc>
      </w:tr>
      <w:tr w:rsidR="00AF04B6" w:rsidRPr="009C6064" w14:paraId="5194222B"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002FE1F" w14:textId="77777777" w:rsidR="00AF04B6" w:rsidRDefault="00AF04B6" w:rsidP="00BB0772">
            <w:pPr>
              <w:pStyle w:val="08-Tabelageral"/>
              <w:ind w:left="176"/>
              <w:jc w:val="left"/>
              <w:rPr>
                <w:b w:val="0"/>
              </w:rPr>
            </w:pPr>
            <w:r w:rsidRPr="0001687E">
              <w:rPr>
                <w:b w:val="0"/>
              </w:rPr>
              <w:t>Interest</w:t>
            </w:r>
          </w:p>
        </w:tc>
        <w:tc>
          <w:tcPr>
            <w:tcW w:w="678" w:type="dxa"/>
            <w:tcBorders>
              <w:top w:val="nil"/>
              <w:bottom w:val="nil"/>
            </w:tcBorders>
            <w:shd w:val="clear" w:color="auto" w:fill="auto"/>
          </w:tcPr>
          <w:p w14:paraId="6DDBE16C" w14:textId="77777777" w:rsidR="00AF04B6" w:rsidRPr="00DE24BE" w:rsidRDefault="00AF04B6" w:rsidP="00BB0772">
            <w:pPr>
              <w:pStyle w:val="08-Tabelageral"/>
              <w:ind w:left="113"/>
              <w:jc w:val="center"/>
              <w:cnfStyle w:val="000000100000" w:firstRow="0" w:lastRow="0" w:firstColumn="0" w:lastColumn="0" w:oddVBand="0" w:evenVBand="0" w:oddHBand="1" w:evenHBand="0" w:firstRowFirstColumn="0" w:firstRowLastColumn="0" w:lastRowFirstColumn="0" w:lastRowLastColumn="0"/>
            </w:pPr>
            <w:r w:rsidRPr="00DE24BE">
              <w:t>[14]</w:t>
            </w:r>
          </w:p>
        </w:tc>
        <w:tc>
          <w:tcPr>
            <w:tcW w:w="1306" w:type="dxa"/>
            <w:tcBorders>
              <w:top w:val="nil"/>
              <w:bottom w:val="nil"/>
            </w:tcBorders>
            <w:shd w:val="clear" w:color="auto" w:fill="auto"/>
            <w:vAlign w:val="bottom"/>
          </w:tcPr>
          <w:p w14:paraId="2763D73C"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28,095</w:t>
            </w:r>
          </w:p>
        </w:tc>
        <w:tc>
          <w:tcPr>
            <w:tcW w:w="1418" w:type="dxa"/>
            <w:tcBorders>
              <w:top w:val="nil"/>
              <w:bottom w:val="nil"/>
            </w:tcBorders>
            <w:shd w:val="clear" w:color="auto" w:fill="auto"/>
            <w:vAlign w:val="bottom"/>
          </w:tcPr>
          <w:p w14:paraId="3C44DAF6"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4,091</w:t>
            </w:r>
          </w:p>
        </w:tc>
        <w:tc>
          <w:tcPr>
            <w:tcW w:w="280" w:type="dxa"/>
            <w:tcBorders>
              <w:top w:val="nil"/>
              <w:bottom w:val="nil"/>
            </w:tcBorders>
            <w:shd w:val="clear" w:color="auto" w:fill="auto"/>
            <w:vAlign w:val="center"/>
          </w:tcPr>
          <w:p w14:paraId="3890D1C1"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p>
        </w:tc>
        <w:tc>
          <w:tcPr>
            <w:tcW w:w="1421" w:type="dxa"/>
            <w:tcBorders>
              <w:top w:val="nil"/>
              <w:bottom w:val="nil"/>
            </w:tcBorders>
            <w:shd w:val="clear" w:color="auto" w:fill="auto"/>
            <w:vAlign w:val="bottom"/>
          </w:tcPr>
          <w:p w14:paraId="26CBB068"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szCs w:val="14"/>
              </w:rPr>
              <w:t>29,501</w:t>
            </w:r>
          </w:p>
        </w:tc>
        <w:tc>
          <w:tcPr>
            <w:tcW w:w="1417" w:type="dxa"/>
            <w:tcBorders>
              <w:top w:val="nil"/>
              <w:bottom w:val="nil"/>
            </w:tcBorders>
            <w:shd w:val="clear" w:color="auto" w:fill="auto"/>
            <w:vAlign w:val="bottom"/>
          </w:tcPr>
          <w:p w14:paraId="6F3B50B5" w14:textId="77777777" w:rsidR="00AF04B6" w:rsidRPr="009C6064"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rPr>
                <w:b/>
              </w:rPr>
            </w:pPr>
            <w:r>
              <w:rPr>
                <w:rFonts w:cs="Arial"/>
                <w:szCs w:val="14"/>
              </w:rPr>
              <w:t>4,515</w:t>
            </w:r>
          </w:p>
        </w:tc>
      </w:tr>
      <w:tr w:rsidR="00AF04B6" w:rsidRPr="009C6064" w14:paraId="642B3320"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3AEFB38C" w14:textId="77777777" w:rsidR="00AF04B6" w:rsidRPr="009C6064" w:rsidRDefault="00AF04B6" w:rsidP="00BB0772">
            <w:pPr>
              <w:pStyle w:val="08-Tabelageral"/>
              <w:ind w:left="176"/>
              <w:jc w:val="left"/>
              <w:rPr>
                <w:b w:val="0"/>
              </w:rPr>
            </w:pPr>
            <w:r w:rsidRPr="007305B1">
              <w:rPr>
                <w:rStyle w:val="rynqvb"/>
                <w:b w:val="0"/>
                <w:lang w:val="en"/>
              </w:rPr>
              <w:t>Rents</w:t>
            </w:r>
          </w:p>
        </w:tc>
        <w:tc>
          <w:tcPr>
            <w:tcW w:w="678" w:type="dxa"/>
            <w:tcBorders>
              <w:top w:val="nil"/>
              <w:bottom w:val="nil"/>
            </w:tcBorders>
            <w:shd w:val="clear" w:color="auto" w:fill="auto"/>
          </w:tcPr>
          <w:p w14:paraId="18C7D93A" w14:textId="77777777" w:rsidR="00AF04B6" w:rsidRPr="009C6064" w:rsidRDefault="00AF04B6" w:rsidP="00BB0772">
            <w:pPr>
              <w:pStyle w:val="08-Tabelageral"/>
              <w:ind w:left="113"/>
              <w:jc w:val="center"/>
              <w:cnfStyle w:val="000000000000" w:firstRow="0" w:lastRow="0" w:firstColumn="0" w:lastColumn="0" w:oddVBand="0" w:evenVBand="0" w:oddHBand="0" w:evenHBand="0" w:firstRowFirstColumn="0" w:firstRowLastColumn="0" w:lastRowFirstColumn="0" w:lastRowLastColumn="0"/>
              <w:rPr>
                <w:b/>
              </w:rPr>
            </w:pPr>
          </w:p>
        </w:tc>
        <w:tc>
          <w:tcPr>
            <w:tcW w:w="1306" w:type="dxa"/>
            <w:tcBorders>
              <w:top w:val="nil"/>
              <w:bottom w:val="nil"/>
            </w:tcBorders>
            <w:shd w:val="clear" w:color="auto" w:fill="auto"/>
            <w:vAlign w:val="bottom"/>
          </w:tcPr>
          <w:p w14:paraId="45E557F8"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szCs w:val="14"/>
              </w:rPr>
              <w:t>784</w:t>
            </w:r>
          </w:p>
        </w:tc>
        <w:tc>
          <w:tcPr>
            <w:tcW w:w="1418" w:type="dxa"/>
            <w:tcBorders>
              <w:top w:val="nil"/>
              <w:bottom w:val="nil"/>
            </w:tcBorders>
            <w:shd w:val="clear" w:color="auto" w:fill="auto"/>
            <w:vAlign w:val="bottom"/>
          </w:tcPr>
          <w:p w14:paraId="0A6C8D07"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643</w:t>
            </w:r>
          </w:p>
        </w:tc>
        <w:tc>
          <w:tcPr>
            <w:tcW w:w="280" w:type="dxa"/>
            <w:tcBorders>
              <w:top w:val="nil"/>
              <w:bottom w:val="nil"/>
            </w:tcBorders>
            <w:shd w:val="clear" w:color="auto" w:fill="auto"/>
            <w:vAlign w:val="center"/>
          </w:tcPr>
          <w:p w14:paraId="016B0769"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p>
        </w:tc>
        <w:tc>
          <w:tcPr>
            <w:tcW w:w="1421" w:type="dxa"/>
            <w:tcBorders>
              <w:top w:val="nil"/>
              <w:bottom w:val="nil"/>
            </w:tcBorders>
            <w:shd w:val="clear" w:color="auto" w:fill="auto"/>
            <w:vAlign w:val="bottom"/>
          </w:tcPr>
          <w:p w14:paraId="0207EDA9"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szCs w:val="14"/>
              </w:rPr>
              <w:t>3,313</w:t>
            </w:r>
          </w:p>
        </w:tc>
        <w:tc>
          <w:tcPr>
            <w:tcW w:w="1417" w:type="dxa"/>
            <w:tcBorders>
              <w:top w:val="nil"/>
              <w:bottom w:val="nil"/>
            </w:tcBorders>
            <w:shd w:val="clear" w:color="auto" w:fill="auto"/>
            <w:vAlign w:val="bottom"/>
          </w:tcPr>
          <w:p w14:paraId="05352DD0" w14:textId="77777777" w:rsidR="00AF04B6" w:rsidRPr="009C6064" w:rsidRDefault="00AF04B6" w:rsidP="00BB0772">
            <w:pPr>
              <w:pStyle w:val="08-Tabelageral"/>
              <w:ind w:left="113"/>
              <w:cnfStyle w:val="000000000000" w:firstRow="0" w:lastRow="0" w:firstColumn="0" w:lastColumn="0" w:oddVBand="0" w:evenVBand="0" w:oddHBand="0" w:evenHBand="0" w:firstRowFirstColumn="0" w:firstRowLastColumn="0" w:lastRowFirstColumn="0" w:lastRowLastColumn="0"/>
              <w:rPr>
                <w:b/>
              </w:rPr>
            </w:pPr>
            <w:r>
              <w:rPr>
                <w:rFonts w:cs="Arial"/>
                <w:szCs w:val="14"/>
              </w:rPr>
              <w:t>2,967</w:t>
            </w:r>
          </w:p>
        </w:tc>
      </w:tr>
      <w:tr w:rsidR="00AF04B6" w:rsidRPr="00DE24BE" w14:paraId="07024591"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68554AC8" w14:textId="77777777" w:rsidR="00AF04B6" w:rsidRPr="00DE24BE" w:rsidRDefault="00AF04B6" w:rsidP="00BB0772">
            <w:pPr>
              <w:pStyle w:val="08-Tabelageral"/>
              <w:ind w:left="113"/>
              <w:jc w:val="left"/>
            </w:pPr>
            <w:r w:rsidRPr="007305B1">
              <w:t>Equity remuneration</w:t>
            </w:r>
          </w:p>
        </w:tc>
        <w:tc>
          <w:tcPr>
            <w:tcW w:w="678" w:type="dxa"/>
            <w:tcBorders>
              <w:top w:val="nil"/>
              <w:bottom w:val="nil"/>
            </w:tcBorders>
            <w:shd w:val="clear" w:color="auto" w:fill="auto"/>
          </w:tcPr>
          <w:p w14:paraId="2B22BA91" w14:textId="77777777" w:rsidR="00AF04B6" w:rsidRPr="00DE24BE" w:rsidRDefault="00AF04B6" w:rsidP="00BB0772">
            <w:pPr>
              <w:pStyle w:val="08-Tabelageral"/>
              <w:ind w:left="113"/>
              <w:jc w:val="left"/>
              <w:cnfStyle w:val="000000100000" w:firstRow="0" w:lastRow="0" w:firstColumn="0" w:lastColumn="0" w:oddVBand="0" w:evenVBand="0" w:oddHBand="1" w:evenHBand="0" w:firstRowFirstColumn="0" w:firstRowLastColumn="0" w:lastRowFirstColumn="0" w:lastRowLastColumn="0"/>
            </w:pPr>
          </w:p>
        </w:tc>
        <w:tc>
          <w:tcPr>
            <w:tcW w:w="1306" w:type="dxa"/>
            <w:tcBorders>
              <w:top w:val="nil"/>
              <w:bottom w:val="nil"/>
            </w:tcBorders>
            <w:shd w:val="clear" w:color="auto" w:fill="auto"/>
            <w:vAlign w:val="bottom"/>
          </w:tcPr>
          <w:p w14:paraId="6E5C1355" w14:textId="77777777" w:rsidR="00AF04B6" w:rsidRPr="00DE24BE"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b/>
                <w:bCs/>
                <w:szCs w:val="14"/>
              </w:rPr>
              <w:t>6,044,571</w:t>
            </w:r>
          </w:p>
        </w:tc>
        <w:tc>
          <w:tcPr>
            <w:tcW w:w="1418" w:type="dxa"/>
            <w:tcBorders>
              <w:top w:val="nil"/>
              <w:bottom w:val="nil"/>
            </w:tcBorders>
            <w:shd w:val="clear" w:color="auto" w:fill="auto"/>
            <w:vAlign w:val="bottom"/>
          </w:tcPr>
          <w:p w14:paraId="5D5E88BB" w14:textId="77777777" w:rsidR="00AF04B6" w:rsidRPr="00DE24BE"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b/>
                <w:bCs/>
                <w:szCs w:val="14"/>
              </w:rPr>
              <w:t>3,933,217</w:t>
            </w:r>
          </w:p>
        </w:tc>
        <w:tc>
          <w:tcPr>
            <w:tcW w:w="280" w:type="dxa"/>
            <w:tcBorders>
              <w:top w:val="nil"/>
              <w:bottom w:val="nil"/>
            </w:tcBorders>
            <w:shd w:val="clear" w:color="auto" w:fill="auto"/>
            <w:vAlign w:val="center"/>
          </w:tcPr>
          <w:p w14:paraId="0EB05AA8" w14:textId="77777777" w:rsidR="00AF04B6" w:rsidRPr="00DE24BE"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1" w:type="dxa"/>
            <w:tcBorders>
              <w:top w:val="nil"/>
              <w:bottom w:val="nil"/>
            </w:tcBorders>
            <w:shd w:val="clear" w:color="auto" w:fill="auto"/>
            <w:vAlign w:val="bottom"/>
          </w:tcPr>
          <w:p w14:paraId="1E92A804" w14:textId="77777777" w:rsidR="00AF04B6" w:rsidRPr="00DE24BE"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b/>
                <w:bCs/>
                <w:szCs w:val="14"/>
              </w:rPr>
              <w:t>6,044,571</w:t>
            </w:r>
          </w:p>
        </w:tc>
        <w:tc>
          <w:tcPr>
            <w:tcW w:w="1417" w:type="dxa"/>
            <w:tcBorders>
              <w:top w:val="nil"/>
              <w:bottom w:val="nil"/>
            </w:tcBorders>
            <w:shd w:val="clear" w:color="auto" w:fill="auto"/>
            <w:vAlign w:val="bottom"/>
          </w:tcPr>
          <w:p w14:paraId="7B4451C7" w14:textId="77777777" w:rsidR="00AF04B6" w:rsidRPr="00DE24BE"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b/>
                <w:bCs/>
                <w:szCs w:val="14"/>
              </w:rPr>
              <w:t>3,933,217</w:t>
            </w:r>
          </w:p>
        </w:tc>
      </w:tr>
      <w:tr w:rsidR="00AF04B6" w:rsidRPr="00DE24BE" w14:paraId="64A6809F" w14:textId="77777777" w:rsidTr="005D1B80">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shd w:val="clear" w:color="auto" w:fill="auto"/>
            <w:vAlign w:val="center"/>
          </w:tcPr>
          <w:p w14:paraId="7D339254" w14:textId="77777777" w:rsidR="00AF04B6" w:rsidRPr="00DE24BE" w:rsidRDefault="00AF04B6" w:rsidP="00BB0772">
            <w:pPr>
              <w:pStyle w:val="08-Tabelageral"/>
              <w:ind w:left="176"/>
              <w:jc w:val="left"/>
              <w:rPr>
                <w:b w:val="0"/>
              </w:rPr>
            </w:pPr>
            <w:r w:rsidRPr="00DE24BE">
              <w:rPr>
                <w:b w:val="0"/>
              </w:rPr>
              <w:t>Dividends</w:t>
            </w:r>
          </w:p>
        </w:tc>
        <w:tc>
          <w:tcPr>
            <w:tcW w:w="678" w:type="dxa"/>
            <w:tcBorders>
              <w:top w:val="nil"/>
              <w:bottom w:val="nil"/>
            </w:tcBorders>
            <w:shd w:val="clear" w:color="auto" w:fill="auto"/>
          </w:tcPr>
          <w:p w14:paraId="3E81ABBC" w14:textId="77777777" w:rsidR="00AF04B6" w:rsidRPr="00DE24BE" w:rsidRDefault="00AF04B6" w:rsidP="00BB0772">
            <w:pPr>
              <w:pStyle w:val="08-Tabelageral"/>
              <w:ind w:left="176"/>
              <w:jc w:val="left"/>
              <w:cnfStyle w:val="000000000000" w:firstRow="0" w:lastRow="0" w:firstColumn="0" w:lastColumn="0" w:oddVBand="0" w:evenVBand="0" w:oddHBand="0" w:evenHBand="0" w:firstRowFirstColumn="0" w:firstRowLastColumn="0" w:lastRowFirstColumn="0" w:lastRowLastColumn="0"/>
            </w:pPr>
          </w:p>
        </w:tc>
        <w:tc>
          <w:tcPr>
            <w:tcW w:w="1306" w:type="dxa"/>
            <w:tcBorders>
              <w:top w:val="nil"/>
              <w:bottom w:val="nil"/>
            </w:tcBorders>
            <w:shd w:val="clear" w:color="auto" w:fill="auto"/>
            <w:vAlign w:val="bottom"/>
          </w:tcPr>
          <w:p w14:paraId="0FA611A8" w14:textId="77777777" w:rsidR="00AF04B6" w:rsidRPr="00DE24BE" w:rsidRDefault="00AF04B6" w:rsidP="00BB0772">
            <w:pPr>
              <w:pStyle w:val="08-Tabelageral"/>
              <w:ind w:left="176"/>
              <w:cnfStyle w:val="000000000000" w:firstRow="0" w:lastRow="0" w:firstColumn="0" w:lastColumn="0" w:oddVBand="0" w:evenVBand="0" w:oddHBand="0" w:evenHBand="0" w:firstRowFirstColumn="0" w:firstRowLastColumn="0" w:lastRowFirstColumn="0" w:lastRowLastColumn="0"/>
            </w:pPr>
            <w:r>
              <w:rPr>
                <w:rFonts w:cs="Arial"/>
                <w:szCs w:val="14"/>
              </w:rPr>
              <w:t>5,742,342</w:t>
            </w:r>
          </w:p>
        </w:tc>
        <w:tc>
          <w:tcPr>
            <w:tcW w:w="1418" w:type="dxa"/>
            <w:tcBorders>
              <w:top w:val="nil"/>
              <w:bottom w:val="nil"/>
            </w:tcBorders>
            <w:shd w:val="clear" w:color="auto" w:fill="auto"/>
            <w:vAlign w:val="bottom"/>
          </w:tcPr>
          <w:p w14:paraId="71002302" w14:textId="77777777" w:rsidR="00AF04B6" w:rsidRPr="00DE24BE" w:rsidRDefault="00AF04B6" w:rsidP="00BB0772">
            <w:pPr>
              <w:pStyle w:val="08-Tabelageral"/>
              <w:ind w:left="176"/>
              <w:cnfStyle w:val="000000000000" w:firstRow="0" w:lastRow="0" w:firstColumn="0" w:lastColumn="0" w:oddVBand="0" w:evenVBand="0" w:oddHBand="0" w:evenHBand="0" w:firstRowFirstColumn="0" w:firstRowLastColumn="0" w:lastRowFirstColumn="0" w:lastRowLastColumn="0"/>
            </w:pPr>
            <w:r>
              <w:rPr>
                <w:rFonts w:cs="Arial"/>
                <w:szCs w:val="14"/>
              </w:rPr>
              <w:t>2,871,248</w:t>
            </w:r>
          </w:p>
        </w:tc>
        <w:tc>
          <w:tcPr>
            <w:tcW w:w="280" w:type="dxa"/>
            <w:tcBorders>
              <w:top w:val="nil"/>
              <w:bottom w:val="nil"/>
            </w:tcBorders>
            <w:shd w:val="clear" w:color="auto" w:fill="auto"/>
            <w:vAlign w:val="center"/>
          </w:tcPr>
          <w:p w14:paraId="2D4C00C9" w14:textId="77777777" w:rsidR="00AF04B6" w:rsidRPr="00DE24BE" w:rsidRDefault="00AF04B6" w:rsidP="00BB0772">
            <w:pPr>
              <w:pStyle w:val="08-Tabelageral"/>
              <w:ind w:left="176"/>
              <w:cnfStyle w:val="000000000000" w:firstRow="0" w:lastRow="0" w:firstColumn="0" w:lastColumn="0" w:oddVBand="0" w:evenVBand="0" w:oddHBand="0" w:evenHBand="0" w:firstRowFirstColumn="0" w:firstRowLastColumn="0" w:lastRowFirstColumn="0" w:lastRowLastColumn="0"/>
            </w:pPr>
          </w:p>
        </w:tc>
        <w:tc>
          <w:tcPr>
            <w:tcW w:w="1421" w:type="dxa"/>
            <w:tcBorders>
              <w:top w:val="nil"/>
              <w:bottom w:val="nil"/>
            </w:tcBorders>
            <w:shd w:val="clear" w:color="auto" w:fill="auto"/>
            <w:vAlign w:val="bottom"/>
          </w:tcPr>
          <w:p w14:paraId="57C6D8A3" w14:textId="77777777" w:rsidR="00AF04B6" w:rsidRPr="00DE24BE" w:rsidRDefault="00AF04B6" w:rsidP="00BB0772">
            <w:pPr>
              <w:pStyle w:val="08-Tabelageral"/>
              <w:ind w:left="176"/>
              <w:cnfStyle w:val="000000000000" w:firstRow="0" w:lastRow="0" w:firstColumn="0" w:lastColumn="0" w:oddVBand="0" w:evenVBand="0" w:oddHBand="0" w:evenHBand="0" w:firstRowFirstColumn="0" w:firstRowLastColumn="0" w:lastRowFirstColumn="0" w:lastRowLastColumn="0"/>
            </w:pPr>
            <w:r>
              <w:rPr>
                <w:rFonts w:cs="Arial"/>
                <w:szCs w:val="14"/>
              </w:rPr>
              <w:t>5,742,342</w:t>
            </w:r>
          </w:p>
        </w:tc>
        <w:tc>
          <w:tcPr>
            <w:tcW w:w="1417" w:type="dxa"/>
            <w:tcBorders>
              <w:top w:val="nil"/>
              <w:bottom w:val="nil"/>
            </w:tcBorders>
            <w:shd w:val="clear" w:color="auto" w:fill="auto"/>
            <w:vAlign w:val="bottom"/>
          </w:tcPr>
          <w:p w14:paraId="0271D935" w14:textId="77777777" w:rsidR="00AF04B6" w:rsidRPr="00DE24BE" w:rsidRDefault="00AF04B6" w:rsidP="00BB0772">
            <w:pPr>
              <w:pStyle w:val="08-Tabelageral"/>
              <w:ind w:left="176"/>
              <w:cnfStyle w:val="000000000000" w:firstRow="0" w:lastRow="0" w:firstColumn="0" w:lastColumn="0" w:oddVBand="0" w:evenVBand="0" w:oddHBand="0" w:evenHBand="0" w:firstRowFirstColumn="0" w:firstRowLastColumn="0" w:lastRowFirstColumn="0" w:lastRowLastColumn="0"/>
            </w:pPr>
            <w:r>
              <w:rPr>
                <w:rFonts w:cs="Arial"/>
                <w:szCs w:val="14"/>
              </w:rPr>
              <w:t>2,871,248</w:t>
            </w:r>
          </w:p>
        </w:tc>
      </w:tr>
      <w:tr w:rsidR="00AF04B6" w:rsidRPr="005F0714" w14:paraId="03BB1FDA" w14:textId="77777777" w:rsidTr="005D1B8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2" w:space="0" w:color="1F4E79" w:themeColor="accent1" w:themeShade="80"/>
            </w:tcBorders>
            <w:shd w:val="clear" w:color="auto" w:fill="auto"/>
            <w:vAlign w:val="center"/>
          </w:tcPr>
          <w:p w14:paraId="62A140B5" w14:textId="77777777" w:rsidR="00AF04B6" w:rsidRPr="007145AE" w:rsidRDefault="00AF04B6" w:rsidP="00BB0772">
            <w:pPr>
              <w:pStyle w:val="08-Tabelageral"/>
              <w:ind w:left="113" w:firstLine="63"/>
              <w:jc w:val="left"/>
              <w:rPr>
                <w:b w:val="0"/>
                <w:bCs w:val="0"/>
                <w:lang w:val="en-US"/>
              </w:rPr>
            </w:pPr>
            <w:r w:rsidRPr="007305B1">
              <w:rPr>
                <w:rStyle w:val="shorttext"/>
                <w:b w:val="0"/>
                <w:bCs w:val="0"/>
                <w:lang w:val="en"/>
              </w:rPr>
              <w:t>Retained earnings for the period</w:t>
            </w:r>
          </w:p>
        </w:tc>
        <w:tc>
          <w:tcPr>
            <w:tcW w:w="678" w:type="dxa"/>
            <w:tcBorders>
              <w:top w:val="nil"/>
              <w:bottom w:val="single" w:sz="2" w:space="0" w:color="1F4E79" w:themeColor="accent1" w:themeShade="80"/>
            </w:tcBorders>
            <w:shd w:val="clear" w:color="auto" w:fill="auto"/>
            <w:vAlign w:val="center"/>
          </w:tcPr>
          <w:p w14:paraId="5F3C54A4" w14:textId="77777777" w:rsidR="00AF04B6" w:rsidRPr="00FD7EA2" w:rsidRDefault="00AF04B6" w:rsidP="00BB0772">
            <w:pPr>
              <w:pStyle w:val="08-Tabelageral"/>
              <w:ind w:left="113"/>
              <w:jc w:val="center"/>
              <w:cnfStyle w:val="000000100000" w:firstRow="0" w:lastRow="0" w:firstColumn="0" w:lastColumn="0" w:oddVBand="0" w:evenVBand="0" w:oddHBand="1" w:evenHBand="0" w:firstRowFirstColumn="0" w:firstRowLastColumn="0" w:lastRowFirstColumn="0" w:lastRowLastColumn="0"/>
              <w:rPr>
                <w:b/>
                <w:lang w:val="en-US"/>
              </w:rPr>
            </w:pPr>
          </w:p>
        </w:tc>
        <w:tc>
          <w:tcPr>
            <w:tcW w:w="1306" w:type="dxa"/>
            <w:tcBorders>
              <w:top w:val="nil"/>
              <w:bottom w:val="single" w:sz="2" w:space="0" w:color="1F4E79" w:themeColor="accent1" w:themeShade="80"/>
            </w:tcBorders>
            <w:shd w:val="clear" w:color="auto" w:fill="auto"/>
            <w:vAlign w:val="bottom"/>
          </w:tcPr>
          <w:p w14:paraId="2887FF35" w14:textId="77777777" w:rsidR="00AF04B6" w:rsidRPr="00BA3C79"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302,229</w:t>
            </w:r>
          </w:p>
        </w:tc>
        <w:tc>
          <w:tcPr>
            <w:tcW w:w="1418" w:type="dxa"/>
            <w:tcBorders>
              <w:top w:val="nil"/>
              <w:bottom w:val="single" w:sz="2" w:space="0" w:color="1F4E79" w:themeColor="accent1" w:themeShade="80"/>
            </w:tcBorders>
            <w:shd w:val="clear" w:color="auto" w:fill="auto"/>
            <w:vAlign w:val="bottom"/>
          </w:tcPr>
          <w:p w14:paraId="04564FC0" w14:textId="77777777" w:rsidR="00AF04B6" w:rsidRPr="00BA3C79"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1,061,969</w:t>
            </w:r>
          </w:p>
        </w:tc>
        <w:tc>
          <w:tcPr>
            <w:tcW w:w="280" w:type="dxa"/>
            <w:tcBorders>
              <w:top w:val="nil"/>
              <w:bottom w:val="single" w:sz="2" w:space="0" w:color="1F4E79" w:themeColor="accent1" w:themeShade="80"/>
            </w:tcBorders>
            <w:shd w:val="clear" w:color="auto" w:fill="auto"/>
            <w:vAlign w:val="center"/>
          </w:tcPr>
          <w:p w14:paraId="7E3E34C4" w14:textId="77777777" w:rsidR="00AF04B6" w:rsidRPr="00BA3C79"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421" w:type="dxa"/>
            <w:tcBorders>
              <w:top w:val="nil"/>
              <w:bottom w:val="single" w:sz="2" w:space="0" w:color="1F4E79" w:themeColor="accent1" w:themeShade="80"/>
            </w:tcBorders>
            <w:shd w:val="clear" w:color="auto" w:fill="auto"/>
            <w:vAlign w:val="bottom"/>
          </w:tcPr>
          <w:p w14:paraId="337B3000" w14:textId="77777777" w:rsidR="00AF04B6" w:rsidRPr="00BA3C79"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302,229</w:t>
            </w:r>
          </w:p>
        </w:tc>
        <w:tc>
          <w:tcPr>
            <w:tcW w:w="1417" w:type="dxa"/>
            <w:tcBorders>
              <w:top w:val="nil"/>
              <w:bottom w:val="single" w:sz="2" w:space="0" w:color="1F4E79" w:themeColor="accent1" w:themeShade="80"/>
            </w:tcBorders>
            <w:shd w:val="clear" w:color="auto" w:fill="auto"/>
            <w:vAlign w:val="bottom"/>
          </w:tcPr>
          <w:p w14:paraId="17ED3FF4" w14:textId="77777777" w:rsidR="00AF04B6" w:rsidRPr="00BA3C79" w:rsidRDefault="00AF04B6" w:rsidP="00BB0772">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szCs w:val="14"/>
              </w:rPr>
              <w:t>1,061,969</w:t>
            </w:r>
          </w:p>
        </w:tc>
      </w:tr>
    </w:tbl>
    <w:p w14:paraId="3CC1A81E" w14:textId="77777777" w:rsidR="00AF04B6" w:rsidRPr="00BD6C7E" w:rsidRDefault="00AF04B6" w:rsidP="00E10F48">
      <w:pPr>
        <w:rPr>
          <w:rFonts w:cs="Arial"/>
          <w:sz w:val="14"/>
          <w:szCs w:val="14"/>
          <w:lang w:val="en-US"/>
        </w:rPr>
      </w:pPr>
      <w:r w:rsidRPr="007E0F9F">
        <w:rPr>
          <w:rFonts w:eastAsia="Times New Roman" w:cs="Times New Roman"/>
          <w:spacing w:val="-2"/>
          <w:sz w:val="14"/>
          <w:szCs w:val="18"/>
          <w:lang w:val="en-US" w:eastAsia="pt-BR"/>
        </w:rPr>
        <w:t>The accompanying notes are an integral part of these financial statements.</w:t>
      </w:r>
    </w:p>
    <w:p w14:paraId="1889960C" w14:textId="597015EE" w:rsidR="00822FBD" w:rsidRPr="00C72009" w:rsidRDefault="00822FBD">
      <w:pPr>
        <w:rPr>
          <w:rFonts w:cs="Arial"/>
          <w:b/>
          <w:spacing w:val="-2"/>
          <w:sz w:val="20"/>
          <w:lang w:val="en-US"/>
        </w:rPr>
      </w:pPr>
      <w:r w:rsidRPr="00C72009">
        <w:rPr>
          <w:rFonts w:cs="Arial"/>
          <w:b/>
          <w:spacing w:val="-2"/>
          <w:sz w:val="20"/>
          <w:lang w:val="en-US"/>
        </w:rPr>
        <w:br w:type="page"/>
      </w:r>
    </w:p>
    <w:p w14:paraId="69D09259" w14:textId="023CE0B4" w:rsidR="00054E01" w:rsidRPr="00613FF1" w:rsidRDefault="006D4EB8" w:rsidP="00FC4475">
      <w:pPr>
        <w:pStyle w:val="Ttulo1"/>
      </w:pPr>
      <w:bookmarkStart w:id="20" w:name="_Toc110438600"/>
      <w:bookmarkStart w:id="21" w:name="_Toc126781091"/>
      <w:r w:rsidRPr="00613FF1">
        <w:lastRenderedPageBreak/>
        <w:t>EXPLANATORY NOTES TO THE FINANCIAL STATEMENTS</w:t>
      </w:r>
      <w:bookmarkEnd w:id="20"/>
      <w:bookmarkEnd w:id="21"/>
    </w:p>
    <w:p w14:paraId="723F4768" w14:textId="68211D5B" w:rsidR="00613FF1" w:rsidRPr="00E53CE7" w:rsidRDefault="00613FF1" w:rsidP="00FC4475">
      <w:pPr>
        <w:pStyle w:val="Ttulo1"/>
      </w:pPr>
      <w:bookmarkStart w:id="22" w:name="_Toc126781092"/>
      <w:r w:rsidRPr="00613FF1">
        <w:t>1 - OPERATIONAL CONTEXT</w:t>
      </w:r>
      <w:bookmarkEnd w:id="22"/>
    </w:p>
    <w:p w14:paraId="00A35539" w14:textId="77777777" w:rsidR="00613FF1" w:rsidRPr="00F66E79" w:rsidRDefault="00613FF1">
      <w:pPr>
        <w:pStyle w:val="05-Textonormal"/>
        <w:rPr>
          <w:lang w:val="en-US"/>
        </w:rPr>
      </w:pPr>
      <w:r w:rsidRPr="00F66E79">
        <w:rPr>
          <w:lang w:val="en-US"/>
        </w:rPr>
        <w:t>BB Seguridade Participações S.A. (“BB Seguridade” or “Company”) is a</w:t>
      </w:r>
      <w:r w:rsidRPr="00F66E79">
        <w:rPr>
          <w:i/>
          <w:lang w:val="en-US"/>
        </w:rPr>
        <w:t xml:space="preserve"> holding</w:t>
      </w:r>
      <w:r w:rsidRPr="00F66E79">
        <w:rPr>
          <w:lang w:val="en-US"/>
        </w:rPr>
        <w:t xml:space="preserve"> company controlled by Banco do Brasil SA, incorporated on December 20th, 2012, which operates in insurance business. It is a publicly-held corporation and its shares are traded on the Novo Mercado segment of B3 SA - Brazil, Stock, Counter, under the code “BBSE3”, and its ADRs (</w:t>
      </w:r>
      <w:r w:rsidRPr="00F66E79">
        <w:rPr>
          <w:i/>
          <w:lang w:val="en-US"/>
        </w:rPr>
        <w:t>American Depositary Receipts</w:t>
      </w:r>
      <w:r w:rsidRPr="00F66E79">
        <w:rPr>
          <w:lang w:val="en-US"/>
        </w:rPr>
        <w:t>) on the</w:t>
      </w:r>
      <w:r w:rsidRPr="00F66E79">
        <w:rPr>
          <w:i/>
          <w:lang w:val="en-US"/>
        </w:rPr>
        <w:t xml:space="preserve"> Over-the-Counter</w:t>
      </w:r>
      <w:r w:rsidRPr="00F66E79">
        <w:rPr>
          <w:lang w:val="en-US"/>
        </w:rPr>
        <w:t xml:space="preserve"> market in the United States of America under the code “BBSEY”.</w:t>
      </w:r>
    </w:p>
    <w:p w14:paraId="150929AD" w14:textId="77777777" w:rsidR="00613FF1" w:rsidRPr="00F66E79" w:rsidRDefault="00613FF1">
      <w:pPr>
        <w:pStyle w:val="05-Textonormal"/>
        <w:rPr>
          <w:lang w:val="en-US"/>
        </w:rPr>
      </w:pPr>
      <w:r w:rsidRPr="00F66E79">
        <w:rPr>
          <w:lang w:val="en-US"/>
        </w:rPr>
        <w:t>It is registered with the CNPJ under No. 17.344.597/0001-94 and headquartered in the Northern Local Government Sector, Quadra 05, Lote B, Torre Sul, 3rd Floor, Banco do Brasil Building, Asa Norte, Brasília, Distrito Federal, Brazil.</w:t>
      </w:r>
    </w:p>
    <w:p w14:paraId="1B908DA5" w14:textId="77777777" w:rsidR="00613FF1" w:rsidRPr="00F66E79" w:rsidRDefault="00613FF1">
      <w:pPr>
        <w:pStyle w:val="05-Textonormal"/>
        <w:rPr>
          <w:lang w:val="en-US"/>
        </w:rPr>
      </w:pPr>
      <w:r w:rsidRPr="00F66E79">
        <w:rPr>
          <w:lang w:val="en-US"/>
        </w:rPr>
        <w:t>Its corporate purpose is to participate in insurance companies, capitalization companies, open supplementary pension entities and private health care plans, as well as in other companies whose corporate purpose is the brokerage and feasibility of business involving insurance companies in the elementary, life, health, capitalization, pension and asset management fields.</w:t>
      </w:r>
    </w:p>
    <w:p w14:paraId="1396AFF9" w14:textId="77777777" w:rsidR="00613FF1" w:rsidRPr="00F66E79" w:rsidRDefault="00613FF1">
      <w:pPr>
        <w:pStyle w:val="05-Textonormal"/>
        <w:rPr>
          <w:lang w:val="en-US"/>
        </w:rPr>
      </w:pPr>
      <w:r w:rsidRPr="00F66E79">
        <w:rPr>
          <w:lang w:val="en-US"/>
        </w:rPr>
        <w:t>BB Seguridade has, among its equity stake, two wholly-owned</w:t>
      </w:r>
      <w:r>
        <w:rPr>
          <w:lang w:val="en-US"/>
        </w:rPr>
        <w:t xml:space="preserve"> </w:t>
      </w:r>
      <w:r w:rsidRPr="00F66E79">
        <w:rPr>
          <w:lang w:val="en-US"/>
        </w:rPr>
        <w:t>subsidiaries, BB Seguros Participações S.A. ("BB Seguros") and BB Corretora de Seguros e Administradora de Bens S.A. ("BB Corretora"), the corporate structure that makes up the BB Seguridade Group ("Group").</w:t>
      </w:r>
    </w:p>
    <w:p w14:paraId="16E9A80F" w14:textId="77777777" w:rsidR="00613FF1" w:rsidRPr="00F66E79" w:rsidRDefault="00613FF1">
      <w:pPr>
        <w:pStyle w:val="05-Textonormal"/>
        <w:rPr>
          <w:lang w:val="en-US"/>
        </w:rPr>
      </w:pPr>
      <w:r w:rsidRPr="00F66E79">
        <w:rPr>
          <w:lang w:val="en-US"/>
        </w:rPr>
        <w:t>Such stake is currently organized into two segments: risk and accumulation businesses, which operate insurance, open pension funds, capitalization and dental care plans products through BB Seguros with private partners; and distribution business, which sells insurance, open pension funds, capitalization bonds and private dental care plans, through BB Corretora, in addition to an investment that operates in the distribution of insurance products through digital channels.</w:t>
      </w:r>
    </w:p>
    <w:p w14:paraId="1CE0F2F3" w14:textId="77777777" w:rsidR="00613FF1" w:rsidRDefault="00613FF1">
      <w:pPr>
        <w:pStyle w:val="05-Textonormal"/>
        <w:rPr>
          <w:lang w:val="en-US"/>
        </w:rPr>
      </w:pPr>
      <w:r w:rsidRPr="00F66E79">
        <w:rPr>
          <w:lang w:val="en-US"/>
        </w:rPr>
        <w:t>In the risk and accumulation business, the Group operates through stakes in the companies BB M</w:t>
      </w:r>
      <w:r>
        <w:rPr>
          <w:lang w:val="en-US"/>
        </w:rPr>
        <w:t>APFRE</w:t>
      </w:r>
      <w:r w:rsidRPr="00F66E79">
        <w:rPr>
          <w:lang w:val="en-US"/>
        </w:rPr>
        <w:t>, Brasilprev, Brasilcap and Brasildental, which are directly invested in by BB Seguros, and indirectly in the companies</w:t>
      </w:r>
      <w:r>
        <w:rPr>
          <w:lang w:val="en-US"/>
        </w:rPr>
        <w:t xml:space="preserve"> </w:t>
      </w:r>
      <w:r w:rsidRPr="00F66E79">
        <w:rPr>
          <w:lang w:val="en-US"/>
        </w:rPr>
        <w:t>Brasilseg and Aliança do Brasil Seguros, subsidiaries of BB M</w:t>
      </w:r>
      <w:r>
        <w:rPr>
          <w:lang w:val="en-US"/>
        </w:rPr>
        <w:t>APFRE</w:t>
      </w:r>
      <w:r w:rsidRPr="00F66E79">
        <w:rPr>
          <w:lang w:val="en-US"/>
        </w:rPr>
        <w:t xml:space="preserve">. In the distribution business, </w:t>
      </w:r>
      <w:r w:rsidRPr="00BD3B12">
        <w:rPr>
          <w:lang w:val="en-US"/>
        </w:rPr>
        <w:t>it operates through BB Corretora, which holds a stake in the investee Ciclic</w:t>
      </w:r>
      <w:r>
        <w:rPr>
          <w:lang w:val="en-US"/>
        </w:rPr>
        <w:t>.</w:t>
      </w:r>
    </w:p>
    <w:p w14:paraId="7CD5058A" w14:textId="77777777" w:rsidR="00613FF1" w:rsidRPr="00364412" w:rsidRDefault="00613FF1" w:rsidP="001947E4">
      <w:pPr>
        <w:pStyle w:val="05-Textonormal"/>
        <w:rPr>
          <w:lang w:val="en-US"/>
        </w:rPr>
      </w:pPr>
      <w:r w:rsidRPr="00DE3FAB">
        <w:rPr>
          <w:lang w:val="en-US"/>
        </w:rPr>
        <w:t xml:space="preserve">In fiscal year 2022, BB Seguridade's net income increased by 53.7% compared to the previous year, mainly due to the higher revenue from participations of the investees BB Corretora and BB Seguros. BB Corretora's net profit grew 26.2%, due to the increase in brokerage revenues, influenced by the evolution of the commercial performance in all business lines and the higher financial result. </w:t>
      </w:r>
      <w:r w:rsidRPr="00364412">
        <w:rPr>
          <w:lang w:val="en-US"/>
        </w:rPr>
        <w:t>BB Seguros reported an increase of 88.1% in net income compared to the previous year, due to the better performance of the companies Brasilseg, Brasilprev and Brasilcap.</w:t>
      </w:r>
    </w:p>
    <w:p w14:paraId="13427C9A" w14:textId="77777777" w:rsidR="00613FF1" w:rsidRPr="00DE3FAB" w:rsidRDefault="00613FF1" w:rsidP="001947E4">
      <w:pPr>
        <w:pStyle w:val="05-Textonormal"/>
        <w:rPr>
          <w:lang w:val="en-US"/>
        </w:rPr>
      </w:pPr>
      <w:r w:rsidRPr="00DE3FAB">
        <w:rPr>
          <w:lang w:val="en-US"/>
        </w:rPr>
        <w:t>Brasilseg's net income grew 93.7% in the year, driven by the increase in retained earned premiums and the fall in claims, resulting from the significant reduction in claims related to Covid-19 in products with death coverage, more than offsetting the volume record number of claim notices in the first quarter of 2022, related to weather events that affected the productivity of the 2021/2022 Summer Crop. The financial result benefited from the increase in the Selic rate and the expansion in the volume of financial investments. Premiums written grew by 30.7% in 2022, due to the good commercial performance in the rural, credit life, life, residential and business/mass segments.</w:t>
      </w:r>
    </w:p>
    <w:p w14:paraId="78B2ECBE" w14:textId="77777777" w:rsidR="00613FF1" w:rsidRDefault="00613FF1" w:rsidP="001947E4">
      <w:pPr>
        <w:pStyle w:val="05-Textonormal"/>
        <w:rPr>
          <w:lang w:val="en-US"/>
        </w:rPr>
      </w:pPr>
      <w:r w:rsidRPr="00DE3FAB">
        <w:rPr>
          <w:lang w:val="en-US"/>
        </w:rPr>
        <w:t>Brasilprev's net income grew 47.6% in the year, due to the improvement in the financial result compared to 2021. The movement reflects the expansion of the average balance of earning assets, the lower magnitude of the opening of the futures interest curve, which reduced the negative mark-to-market impact in 2022, and the more favorable dynamics of the inflation indices that update the assets (IPCA and IGP-M of the current month) and liabilities (IGP-M with a one-month lag) of traditional plans, due to of a greater balance between IPCA and IGP-M in the year. Net funding in 2022 was positive compared to net redemptions in 2021, driven by the significant increase in contributions.</w:t>
      </w:r>
    </w:p>
    <w:p w14:paraId="03313C33" w14:textId="77777777" w:rsidR="00613FF1" w:rsidRPr="00DE3FAB" w:rsidRDefault="00613FF1" w:rsidP="00705AB3">
      <w:pPr>
        <w:pStyle w:val="05-Textonormal"/>
        <w:rPr>
          <w:lang w:val="en-US"/>
        </w:rPr>
      </w:pPr>
      <w:r w:rsidRPr="00DE3FAB">
        <w:rPr>
          <w:lang w:val="en-US"/>
        </w:rPr>
        <w:t>Brasilcap's net income was BRL 217.8 million, against BRL 3.5 million in 2021. The performance was supported by the improvement in the financial result, with the expansion of the average balance of earning assets and the increase in the average rate Selic. Income from capitalization bonds grew with the increase in the average ticket of single payment bonds and with the expansion in sales of monthly payment bonds. On the other hand, the revenue from the top-up quota grew at a slower pace than that observed in the collection, due to the retraction in the average quota, which is justified by the greater share of single payment securities with shorter terms (12 and 24 months) in the collection mix. These products have a lower quota compared to 36-month bonds, which represented most of the flow in 2021</w:t>
      </w:r>
      <w:r>
        <w:rPr>
          <w:lang w:val="en-US"/>
        </w:rPr>
        <w:t>.</w:t>
      </w:r>
    </w:p>
    <w:p w14:paraId="12DF17B8" w14:textId="77777777" w:rsidR="00613FF1" w:rsidRPr="00F66E79" w:rsidRDefault="00613FF1" w:rsidP="00705AB3">
      <w:pPr>
        <w:pStyle w:val="05-Textonormal"/>
        <w:rPr>
          <w:lang w:val="en-US"/>
        </w:rPr>
      </w:pPr>
      <w:r w:rsidRPr="00F66E79">
        <w:rPr>
          <w:lang w:val="en-US"/>
        </w:rPr>
        <w:t>With Banco do Brasil's distribution network as the main channel for the sale of a complete portfolio of products with the intermediation of its own brokerage, BB Seguridade currently occupies a prominent position in the market in all the segments in which it operates.</w:t>
      </w:r>
    </w:p>
    <w:p w14:paraId="1A6A5E80" w14:textId="439C8EDA" w:rsidR="00817069" w:rsidRPr="00E141D8" w:rsidRDefault="00817069" w:rsidP="00817069">
      <w:pPr>
        <w:pStyle w:val="01-Textonormal"/>
        <w:rPr>
          <w:lang w:val="en-US"/>
        </w:rPr>
      </w:pPr>
    </w:p>
    <w:p w14:paraId="1E731E76" w14:textId="77777777" w:rsidR="008C707F" w:rsidRPr="0023652C" w:rsidRDefault="008C707F" w:rsidP="007D12F5">
      <w:pPr>
        <w:pStyle w:val="02-TtulodeNota"/>
        <w:tabs>
          <w:tab w:val="left" w:pos="5245"/>
        </w:tabs>
        <w:rPr>
          <w:rFonts w:cs="Arial"/>
          <w:sz w:val="18"/>
          <w:szCs w:val="18"/>
          <w:lang w:val="en-US"/>
        </w:rPr>
      </w:pPr>
    </w:p>
    <w:p w14:paraId="43909797" w14:textId="77777777" w:rsidR="008C707F" w:rsidRPr="0023652C" w:rsidRDefault="008C707F" w:rsidP="007D12F5">
      <w:pPr>
        <w:pStyle w:val="02-TtulodeNota"/>
        <w:tabs>
          <w:tab w:val="left" w:pos="5245"/>
        </w:tabs>
        <w:rPr>
          <w:rFonts w:cs="Arial"/>
          <w:sz w:val="18"/>
          <w:szCs w:val="18"/>
          <w:lang w:val="en-US"/>
        </w:rPr>
      </w:pPr>
    </w:p>
    <w:p w14:paraId="208E7DA3" w14:textId="77777777" w:rsidR="001A2EC3" w:rsidRPr="00D3472F" w:rsidRDefault="001A2EC3" w:rsidP="007D12F5">
      <w:pPr>
        <w:pStyle w:val="02-TtulodeNota"/>
        <w:tabs>
          <w:tab w:val="left" w:pos="5245"/>
        </w:tabs>
        <w:rPr>
          <w:rFonts w:cs="Arial"/>
          <w:sz w:val="18"/>
          <w:szCs w:val="18"/>
          <w:lang w:val="en-US"/>
        </w:rPr>
      </w:pPr>
    </w:p>
    <w:p w14:paraId="07DF7F65" w14:textId="2C5E9590" w:rsidR="00931938" w:rsidRPr="00931938" w:rsidRDefault="00931938" w:rsidP="007D12F5">
      <w:pPr>
        <w:pStyle w:val="02-TtulodeNota"/>
        <w:tabs>
          <w:tab w:val="left" w:pos="5245"/>
        </w:tabs>
        <w:rPr>
          <w:color w:val="1F4E79" w:themeColor="accent1" w:themeShade="80"/>
          <w:lang w:val="en-US"/>
        </w:rPr>
      </w:pPr>
      <w:bookmarkStart w:id="23" w:name="_Toc126781093"/>
      <w:r w:rsidRPr="00931938">
        <w:rPr>
          <w:color w:val="1F4E79" w:themeColor="accent1" w:themeShade="80"/>
          <w:lang w:val="en-US"/>
        </w:rPr>
        <w:lastRenderedPageBreak/>
        <w:t>2 – ACQUISITIONS, DISPOSALS AND CORPORATE RESTRUCTURINGS</w:t>
      </w:r>
      <w:bookmarkEnd w:id="23"/>
    </w:p>
    <w:p w14:paraId="2426F9EB" w14:textId="77777777" w:rsidR="00931938" w:rsidRPr="00931938" w:rsidRDefault="00931938" w:rsidP="0042577F">
      <w:pPr>
        <w:pStyle w:val="05-Textonormal"/>
        <w:rPr>
          <w:b/>
          <w:snapToGrid w:val="0"/>
          <w:color w:val="1F4E79" w:themeColor="accent1" w:themeShade="80"/>
          <w:lang w:val="en-US"/>
        </w:rPr>
      </w:pPr>
      <w:r w:rsidRPr="00931938">
        <w:rPr>
          <w:b/>
          <w:snapToGrid w:val="0"/>
          <w:color w:val="1F4E79" w:themeColor="accent1" w:themeShade="80"/>
          <w:lang w:val="en-US"/>
        </w:rPr>
        <w:t>a) Broto S.A.</w:t>
      </w:r>
    </w:p>
    <w:p w14:paraId="064E7701" w14:textId="77777777" w:rsidR="00931938" w:rsidRPr="00931938" w:rsidRDefault="00931938" w:rsidP="00F106AF">
      <w:pPr>
        <w:pStyle w:val="05-Textonormal"/>
        <w:rPr>
          <w:lang w:val="en-US"/>
        </w:rPr>
      </w:pPr>
      <w:r w:rsidRPr="00931938">
        <w:rPr>
          <w:lang w:val="en-US"/>
        </w:rPr>
        <w:t>In line with the Notice to the Market released on October 13, 2022, the Board of Directors of BB Seguridade has approved the execution of the final agreements regarding the creation of a new company named Broto S.A. (Broto), which will run the businesses of the Broto Digital Platform, in a partnership between Brasilseg Companhia de Seguros (Brasilseg or Insurance Company), an investee of BB Seguros Participações S.A. (BB Seguros), with Banco do Brasil S.A. (BB).</w:t>
      </w:r>
    </w:p>
    <w:p w14:paraId="0B38118C" w14:textId="77777777" w:rsidR="00931938" w:rsidRPr="00931938" w:rsidRDefault="00931938" w:rsidP="00F106AF">
      <w:pPr>
        <w:pStyle w:val="05-Textonormal"/>
        <w:rPr>
          <w:snapToGrid w:val="0"/>
          <w:lang w:val="en-US"/>
        </w:rPr>
      </w:pPr>
      <w:r w:rsidRPr="00931938">
        <w:rPr>
          <w:lang w:val="en-US"/>
        </w:rPr>
        <w:t>The Broto’s capital has the following distribution:</w:t>
      </w:r>
    </w:p>
    <w:tbl>
      <w:tblPr>
        <w:tblStyle w:val="TabeladeLista6Colorida-nfase5"/>
        <w:tblW w:w="9642" w:type="dxa"/>
        <w:tblLayout w:type="fixed"/>
        <w:tblLook w:val="04A0" w:firstRow="1" w:lastRow="0" w:firstColumn="1" w:lastColumn="0" w:noHBand="0" w:noVBand="1"/>
      </w:tblPr>
      <w:tblGrid>
        <w:gridCol w:w="2552"/>
        <w:gridCol w:w="2362"/>
        <w:gridCol w:w="2362"/>
        <w:gridCol w:w="2366"/>
      </w:tblGrid>
      <w:tr w:rsidR="00931938" w14:paraId="0EA4D2E2" w14:textId="77777777" w:rsidTr="0016495E">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themeColor="accent1" w:themeShade="80"/>
              <w:left w:val="nil"/>
              <w:bottom w:val="single" w:sz="2" w:space="0" w:color="1F4E79" w:themeColor="accent1" w:themeShade="80"/>
              <w:right w:val="nil"/>
            </w:tcBorders>
            <w:vAlign w:val="center"/>
            <w:hideMark/>
          </w:tcPr>
          <w:p w14:paraId="0105D379" w14:textId="77777777" w:rsidR="00931938" w:rsidRDefault="00931938">
            <w:pPr>
              <w:rPr>
                <w:rFonts w:cs="Arial"/>
                <w:szCs w:val="18"/>
              </w:rPr>
            </w:pPr>
            <w:r w:rsidRPr="0016495E">
              <w:rPr>
                <w:rFonts w:cs="Arial"/>
                <w:sz w:val="14"/>
                <w:szCs w:val="14"/>
              </w:rPr>
              <w:t>Shareholders</w:t>
            </w:r>
          </w:p>
        </w:tc>
        <w:tc>
          <w:tcPr>
            <w:tcW w:w="7090" w:type="dxa"/>
            <w:gridSpan w:val="3"/>
            <w:tcBorders>
              <w:top w:val="single" w:sz="2" w:space="0" w:color="1F4E79" w:themeColor="accent1" w:themeShade="80"/>
              <w:left w:val="nil"/>
              <w:bottom w:val="single" w:sz="2" w:space="0" w:color="1F4E79" w:themeColor="accent1" w:themeShade="80"/>
              <w:right w:val="nil"/>
            </w:tcBorders>
            <w:vAlign w:val="center"/>
            <w:hideMark/>
          </w:tcPr>
          <w:p w14:paraId="578E717E" w14:textId="77777777" w:rsidR="00931938" w:rsidRDefault="00931938">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Pr>
                <w:rFonts w:eastAsia="Times New Roman" w:cs="Arial"/>
                <w:spacing w:val="-2"/>
                <w:sz w:val="14"/>
                <w:szCs w:val="14"/>
              </w:rPr>
              <w:t>Stake (%)</w:t>
            </w:r>
          </w:p>
        </w:tc>
      </w:tr>
      <w:tr w:rsidR="00931938" w14:paraId="5BCD7FFD" w14:textId="77777777" w:rsidTr="0016495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themeColor="accent1" w:themeShade="80"/>
              <w:left w:val="nil"/>
              <w:bottom w:val="single" w:sz="2" w:space="0" w:color="1F4E79" w:themeColor="accent1" w:themeShade="80"/>
              <w:right w:val="nil"/>
            </w:tcBorders>
            <w:vAlign w:val="center"/>
            <w:hideMark/>
          </w:tcPr>
          <w:p w14:paraId="643ADA74" w14:textId="77777777" w:rsidR="00931938" w:rsidRDefault="00931938">
            <w:pPr>
              <w:rPr>
                <w:rFonts w:cs="Arial"/>
                <w:szCs w:val="18"/>
              </w:rPr>
            </w:pPr>
          </w:p>
        </w:tc>
        <w:tc>
          <w:tcPr>
            <w:tcW w:w="2362"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40DB7061" w14:textId="77777777" w:rsidR="00931938" w:rsidRDefault="009319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Pr>
                <w:rFonts w:eastAsia="Times New Roman" w:cs="Arial"/>
                <w:b/>
                <w:spacing w:val="-2"/>
                <w:sz w:val="14"/>
                <w:szCs w:val="14"/>
              </w:rPr>
              <w:t>Voting</w:t>
            </w:r>
            <w:r w:rsidRPr="0016495E">
              <w:rPr>
                <w:rFonts w:eastAsia="Times New Roman" w:cs="Arial"/>
                <w:b/>
                <w:spacing w:val="-2"/>
                <w:sz w:val="14"/>
                <w:szCs w:val="14"/>
              </w:rPr>
              <w:t xml:space="preserve"> Shares</w:t>
            </w:r>
          </w:p>
        </w:tc>
        <w:tc>
          <w:tcPr>
            <w:tcW w:w="2362"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3D7303B8" w14:textId="77777777" w:rsidR="00931938" w:rsidRDefault="009319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16495E">
              <w:rPr>
                <w:rFonts w:eastAsia="Times New Roman" w:cs="Arial"/>
                <w:b/>
                <w:spacing w:val="-2"/>
                <w:sz w:val="14"/>
                <w:szCs w:val="14"/>
              </w:rPr>
              <w:t>Preferred Shares</w:t>
            </w:r>
          </w:p>
        </w:tc>
        <w:tc>
          <w:tcPr>
            <w:tcW w:w="2366"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00627274" w14:textId="77777777" w:rsidR="00931938" w:rsidRDefault="009319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Pr>
                <w:rFonts w:eastAsia="Times New Roman" w:cs="Arial"/>
                <w:b/>
                <w:spacing w:val="-2"/>
                <w:sz w:val="14"/>
                <w:szCs w:val="14"/>
              </w:rPr>
              <w:t>Total</w:t>
            </w:r>
          </w:p>
        </w:tc>
      </w:tr>
      <w:tr w:rsidR="00931938" w14:paraId="5F7F6B85" w14:textId="77777777" w:rsidTr="0016495E">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themeColor="accent1" w:themeShade="80"/>
              <w:left w:val="nil"/>
              <w:bottom w:val="nil"/>
              <w:right w:val="nil"/>
            </w:tcBorders>
            <w:vAlign w:val="center"/>
            <w:hideMark/>
          </w:tcPr>
          <w:p w14:paraId="75B4016C" w14:textId="77777777" w:rsidR="00931938" w:rsidRDefault="00931938">
            <w:pPr>
              <w:keepNext/>
              <w:keepLines/>
              <w:spacing w:before="40" w:after="40"/>
              <w:rPr>
                <w:rFonts w:eastAsia="Times New Roman" w:cs="Arial"/>
                <w:b w:val="0"/>
                <w:spacing w:val="-2"/>
                <w:sz w:val="14"/>
                <w:szCs w:val="14"/>
              </w:rPr>
            </w:pPr>
            <w:r>
              <w:rPr>
                <w:rFonts w:eastAsia="Times New Roman" w:cs="Arial"/>
                <w:b w:val="0"/>
                <w:spacing w:val="-2"/>
                <w:sz w:val="14"/>
                <w:szCs w:val="14"/>
              </w:rPr>
              <w:t>BB</w:t>
            </w:r>
          </w:p>
        </w:tc>
        <w:tc>
          <w:tcPr>
            <w:tcW w:w="2362" w:type="dxa"/>
            <w:tcBorders>
              <w:top w:val="single" w:sz="2" w:space="0" w:color="1F4E79" w:themeColor="accent1" w:themeShade="80"/>
              <w:left w:val="nil"/>
              <w:bottom w:val="nil"/>
              <w:right w:val="nil"/>
            </w:tcBorders>
            <w:vAlign w:val="center"/>
            <w:hideMark/>
          </w:tcPr>
          <w:p w14:paraId="15A785C5" w14:textId="77777777" w:rsidR="00931938" w:rsidRDefault="0093193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w:t>
            </w:r>
          </w:p>
        </w:tc>
        <w:tc>
          <w:tcPr>
            <w:tcW w:w="2362" w:type="dxa"/>
            <w:tcBorders>
              <w:top w:val="single" w:sz="2" w:space="0" w:color="1F4E79" w:themeColor="accent1" w:themeShade="80"/>
              <w:left w:val="nil"/>
              <w:bottom w:val="nil"/>
              <w:right w:val="nil"/>
            </w:tcBorders>
            <w:vAlign w:val="center"/>
            <w:hideMark/>
          </w:tcPr>
          <w:p w14:paraId="56C3A205" w14:textId="77777777" w:rsidR="00931938" w:rsidRDefault="0093193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100</w:t>
            </w:r>
          </w:p>
        </w:tc>
        <w:tc>
          <w:tcPr>
            <w:tcW w:w="2366" w:type="dxa"/>
            <w:tcBorders>
              <w:top w:val="single" w:sz="2" w:space="0" w:color="1F4E79" w:themeColor="accent1" w:themeShade="80"/>
              <w:left w:val="nil"/>
              <w:bottom w:val="nil"/>
              <w:right w:val="nil"/>
            </w:tcBorders>
            <w:vAlign w:val="center"/>
            <w:hideMark/>
          </w:tcPr>
          <w:p w14:paraId="2A2B7049" w14:textId="77777777" w:rsidR="00931938" w:rsidRDefault="0093193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50</w:t>
            </w:r>
          </w:p>
        </w:tc>
      </w:tr>
      <w:tr w:rsidR="00931938" w14:paraId="6BAC0CB3" w14:textId="77777777" w:rsidTr="0016495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2" w:space="0" w:color="1F4E79" w:themeColor="accent1" w:themeShade="80"/>
              <w:right w:val="nil"/>
            </w:tcBorders>
            <w:shd w:val="clear" w:color="auto" w:fill="auto"/>
            <w:vAlign w:val="center"/>
            <w:hideMark/>
          </w:tcPr>
          <w:p w14:paraId="364CC6B3" w14:textId="77777777" w:rsidR="00931938" w:rsidRPr="0016495E" w:rsidRDefault="00931938">
            <w:pPr>
              <w:keepNext/>
              <w:keepLines/>
              <w:spacing w:before="40" w:after="40"/>
              <w:rPr>
                <w:rFonts w:eastAsia="Times New Roman" w:cs="Arial"/>
                <w:b w:val="0"/>
                <w:spacing w:val="-2"/>
                <w:sz w:val="14"/>
                <w:szCs w:val="14"/>
              </w:rPr>
            </w:pPr>
            <w:r w:rsidRPr="0016495E">
              <w:rPr>
                <w:rFonts w:eastAsia="Times New Roman" w:cs="Arial"/>
                <w:b w:val="0"/>
                <w:spacing w:val="-2"/>
                <w:sz w:val="14"/>
                <w:szCs w:val="14"/>
              </w:rPr>
              <w:t>Brasilseg</w:t>
            </w:r>
          </w:p>
        </w:tc>
        <w:tc>
          <w:tcPr>
            <w:tcW w:w="2362" w:type="dxa"/>
            <w:tcBorders>
              <w:top w:val="nil"/>
              <w:left w:val="nil"/>
              <w:bottom w:val="single" w:sz="2" w:space="0" w:color="1F4E79" w:themeColor="accent1" w:themeShade="80"/>
              <w:right w:val="nil"/>
            </w:tcBorders>
            <w:shd w:val="clear" w:color="auto" w:fill="auto"/>
            <w:vAlign w:val="center"/>
            <w:hideMark/>
          </w:tcPr>
          <w:p w14:paraId="3A6FA4C2" w14:textId="77777777" w:rsidR="00931938" w:rsidRPr="0016495E" w:rsidRDefault="009319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16495E">
              <w:rPr>
                <w:rFonts w:eastAsia="Times New Roman" w:cs="Arial"/>
                <w:spacing w:val="-2"/>
                <w:sz w:val="14"/>
                <w:szCs w:val="18"/>
              </w:rPr>
              <w:t>100</w:t>
            </w:r>
          </w:p>
        </w:tc>
        <w:tc>
          <w:tcPr>
            <w:tcW w:w="2362" w:type="dxa"/>
            <w:tcBorders>
              <w:top w:val="nil"/>
              <w:left w:val="nil"/>
              <w:bottom w:val="single" w:sz="2" w:space="0" w:color="1F4E79" w:themeColor="accent1" w:themeShade="80"/>
              <w:right w:val="nil"/>
            </w:tcBorders>
            <w:shd w:val="clear" w:color="auto" w:fill="auto"/>
            <w:vAlign w:val="center"/>
            <w:hideMark/>
          </w:tcPr>
          <w:p w14:paraId="6810773F" w14:textId="77777777" w:rsidR="00931938" w:rsidRPr="0016495E" w:rsidRDefault="009319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16495E">
              <w:rPr>
                <w:rFonts w:eastAsia="Times New Roman" w:cs="Arial"/>
                <w:spacing w:val="-2"/>
                <w:sz w:val="14"/>
                <w:szCs w:val="18"/>
              </w:rPr>
              <w:t>--</w:t>
            </w:r>
          </w:p>
        </w:tc>
        <w:tc>
          <w:tcPr>
            <w:tcW w:w="2366" w:type="dxa"/>
            <w:tcBorders>
              <w:top w:val="nil"/>
              <w:left w:val="nil"/>
              <w:bottom w:val="single" w:sz="2" w:space="0" w:color="1F4E79" w:themeColor="accent1" w:themeShade="80"/>
              <w:right w:val="nil"/>
            </w:tcBorders>
            <w:shd w:val="clear" w:color="auto" w:fill="auto"/>
            <w:vAlign w:val="center"/>
            <w:hideMark/>
          </w:tcPr>
          <w:p w14:paraId="5ABBA4BF" w14:textId="77777777" w:rsidR="00931938" w:rsidRDefault="0093193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16495E">
              <w:rPr>
                <w:rFonts w:eastAsia="Times New Roman" w:cs="Arial"/>
                <w:spacing w:val="-2"/>
                <w:sz w:val="14"/>
                <w:szCs w:val="18"/>
              </w:rPr>
              <w:t>50</w:t>
            </w:r>
          </w:p>
        </w:tc>
      </w:tr>
    </w:tbl>
    <w:p w14:paraId="42701CA6" w14:textId="77777777" w:rsidR="00931938" w:rsidRPr="00931938" w:rsidRDefault="00931938" w:rsidP="00F106AF">
      <w:pPr>
        <w:pStyle w:val="05-Textonormal"/>
        <w:rPr>
          <w:snapToGrid w:val="0"/>
          <w:lang w:val="en-US"/>
        </w:rPr>
      </w:pPr>
      <w:r w:rsidRPr="00931938">
        <w:rPr>
          <w:snapToGrid w:val="0"/>
          <w:lang w:val="en-US"/>
        </w:rPr>
        <w:t>Brasilseg will invest R$ 31.2 million in Broto to achieve the economic stake provided in the aforementioned table (50%), being the amount composed part of cash and the other part of assets related to the Broto Platform, which is currently held by the Insurance Company. The same amount will be invested by BB to subscribe and pay in the shares corresponding to the other 50% economic stake of the new company.</w:t>
      </w:r>
    </w:p>
    <w:p w14:paraId="6207DC40" w14:textId="77777777" w:rsidR="00931938" w:rsidRPr="00931938" w:rsidRDefault="00931938" w:rsidP="00F106AF">
      <w:pPr>
        <w:pStyle w:val="05-Textonormal"/>
        <w:rPr>
          <w:snapToGrid w:val="0"/>
          <w:lang w:val="en-US"/>
        </w:rPr>
      </w:pPr>
      <w:r w:rsidRPr="00931938">
        <w:rPr>
          <w:snapToGrid w:val="0"/>
          <w:lang w:val="en-US"/>
        </w:rPr>
        <w:t>Brasilseg will keep the access to Broto Platform to sell its insurances, and it is granted to BB Corretora de Seguros e Administradora de Bens S.A. (BB Corretora), a wholly-owned company of BB Seguridade, the exclusivity to intermediating the commercialization of such products.</w:t>
      </w:r>
    </w:p>
    <w:p w14:paraId="62997C2F" w14:textId="77777777" w:rsidR="00931938" w:rsidRPr="0042577F" w:rsidRDefault="00931938" w:rsidP="0042577F">
      <w:pPr>
        <w:pStyle w:val="05-Textonormal"/>
        <w:rPr>
          <w:b/>
          <w:snapToGrid w:val="0"/>
          <w:color w:val="1F4E79" w:themeColor="accent1" w:themeShade="80"/>
        </w:rPr>
      </w:pPr>
      <w:r w:rsidRPr="0042577F">
        <w:rPr>
          <w:b/>
          <w:snapToGrid w:val="0"/>
          <w:color w:val="1F4E79" w:themeColor="accent1" w:themeShade="80"/>
        </w:rPr>
        <w:t>b) Brasilprev Seguros e Previdência S.A.</w:t>
      </w:r>
    </w:p>
    <w:p w14:paraId="353DF75C" w14:textId="77777777" w:rsidR="00931938" w:rsidRPr="00931938" w:rsidRDefault="00931938" w:rsidP="00FC2C8C">
      <w:pPr>
        <w:pStyle w:val="05-Textonormal"/>
        <w:rPr>
          <w:lang w:val="en-US"/>
        </w:rPr>
      </w:pPr>
      <w:r w:rsidRPr="00931938">
        <w:rPr>
          <w:lang w:val="en-US"/>
        </w:rPr>
        <w:t>In line with the Notice to the Market released by BB Seguridade Participações S.A. on June 15, 2021, Brasilprev issued, on June 7, 2021, the issue of 550,000 subordinated debentures, not convertible into shares, with a unit face value of R$ 1,000.00, making the total amount of R$ 550,000,000.00. The issue did not change the interest held by BB Seguros Participações S.A. in the total capital of Brasilprev and the funds raised were used to cover its Minimum Required Capital.</w:t>
      </w:r>
    </w:p>
    <w:p w14:paraId="2547478F" w14:textId="77777777" w:rsidR="00931938" w:rsidRPr="00931938" w:rsidRDefault="00931938" w:rsidP="00FC2C8C">
      <w:pPr>
        <w:pStyle w:val="05-Textonormal"/>
        <w:rPr>
          <w:color w:val="000000" w:themeColor="text1"/>
          <w:lang w:val="en-US"/>
        </w:rPr>
      </w:pPr>
      <w:r w:rsidRPr="00931938">
        <w:rPr>
          <w:color w:val="000000" w:themeColor="text1"/>
          <w:lang w:val="en-US"/>
        </w:rPr>
        <w:t>On June 25, 2021, Brasilprev's General Meeting met, extraordinarily, to approve a new increase in Brasilprev's capital stock, in R$ 599,999,556.89, through the issuance of 191,211 new common shares and 191,211 new shares preferred shares, with an issue price of R$ 1,568.95 each, calculated based on Brasilprev's Shareholders' Equity on May 31, 2021. Previously, on June 22, 2021, BB Seguridade Participações SA had already disclosed a Material Fact to the market, informing the approval of this capital increase by its Board of Directors</w:t>
      </w:r>
      <w:r w:rsidRPr="00931938">
        <w:rPr>
          <w:lang w:val="en-US"/>
        </w:rPr>
        <w:t>.</w:t>
      </w:r>
    </w:p>
    <w:p w14:paraId="3A910933" w14:textId="77777777" w:rsidR="00931938" w:rsidRPr="00931938" w:rsidRDefault="00931938" w:rsidP="00FC2C8C">
      <w:pPr>
        <w:pStyle w:val="05-Textonormal"/>
        <w:rPr>
          <w:color w:val="FF0000"/>
          <w:lang w:val="en-US"/>
        </w:rPr>
      </w:pPr>
      <w:r w:rsidRPr="00931938">
        <w:rPr>
          <w:lang w:val="en-US"/>
        </w:rPr>
        <w:t>BB Seguros Participações S.A. subscribed 95,586 common shares and 191,211 preferred shares, equivalent to R$ 449,969,073.22, while PFG do Brasil Ltda. subscribed 95,625 common shares, equivalent to R$ 150,030,483.67, paid in national currency, on June 28, 2021. There was no change in the percentage of BB Seguros participation in Brasilprev's capital stock</w:t>
      </w:r>
      <w:r w:rsidRPr="00931938">
        <w:rPr>
          <w:color w:val="000000" w:themeColor="text1"/>
          <w:lang w:val="en-US"/>
        </w:rPr>
        <w:t>.</w:t>
      </w:r>
    </w:p>
    <w:p w14:paraId="691AB19B" w14:textId="77777777" w:rsidR="00931938" w:rsidRPr="00931938" w:rsidRDefault="00931938" w:rsidP="00FC2C8C">
      <w:pPr>
        <w:pStyle w:val="05-Textonormal"/>
        <w:rPr>
          <w:lang w:val="en-US"/>
        </w:rPr>
      </w:pPr>
      <w:r w:rsidRPr="00931938">
        <w:rPr>
          <w:lang w:val="en-US"/>
        </w:rPr>
        <w:t>Brasilprev's capital, fully subscribed, is now R$ 3,529,257,256.17, fully paid-in, divided into 3,517,874 shares, of which 1,758,937 are common shares and 1,758,937 are preferred shares, distributed among the shareholders in the following proportion:</w:t>
      </w:r>
    </w:p>
    <w:tbl>
      <w:tblPr>
        <w:tblStyle w:val="TabeladeLista6Colorida-nfase5"/>
        <w:tblW w:w="9639" w:type="dxa"/>
        <w:tblLayout w:type="fixed"/>
        <w:tblLook w:val="04A0" w:firstRow="1" w:lastRow="0" w:firstColumn="1" w:lastColumn="0" w:noHBand="0" w:noVBand="1"/>
      </w:tblPr>
      <w:tblGrid>
        <w:gridCol w:w="2552"/>
        <w:gridCol w:w="1181"/>
        <w:gridCol w:w="1181"/>
        <w:gridCol w:w="1181"/>
        <w:gridCol w:w="1181"/>
        <w:gridCol w:w="1181"/>
        <w:gridCol w:w="1182"/>
      </w:tblGrid>
      <w:tr w:rsidR="00931938" w:rsidRPr="00B05866" w14:paraId="73D3EA33" w14:textId="77777777" w:rsidTr="003F3C4F">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themeColor="accent1" w:themeShade="80"/>
              <w:bottom w:val="single" w:sz="2" w:space="0" w:color="1F4E79" w:themeColor="accent1" w:themeShade="80"/>
            </w:tcBorders>
            <w:shd w:val="clear" w:color="auto" w:fill="auto"/>
            <w:vAlign w:val="center"/>
            <w:hideMark/>
          </w:tcPr>
          <w:p w14:paraId="401C7D79" w14:textId="77777777" w:rsidR="00931938" w:rsidRPr="00B05866" w:rsidRDefault="00931938" w:rsidP="00FC2C8C">
            <w:pPr>
              <w:rPr>
                <w:rFonts w:cs="Arial"/>
                <w:szCs w:val="18"/>
              </w:rPr>
            </w:pPr>
            <w:r w:rsidRPr="003420CD">
              <w:rPr>
                <w:rFonts w:cs="Arial"/>
                <w:sz w:val="14"/>
                <w:szCs w:val="14"/>
                <w:lang w:val="en-US"/>
              </w:rPr>
              <w:t>Shareholders</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20064F98" w14:textId="77777777" w:rsidR="00931938" w:rsidRPr="00B05866" w:rsidRDefault="00931938" w:rsidP="003F3C4F">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Pr>
                <w:rFonts w:eastAsia="Times New Roman" w:cs="Arial"/>
                <w:bCs w:val="0"/>
                <w:spacing w:val="-2"/>
                <w:sz w:val="14"/>
                <w:szCs w:val="14"/>
                <w:lang w:val="en-US"/>
              </w:rPr>
              <w:t>Voting</w:t>
            </w:r>
            <w:r w:rsidRPr="003420CD">
              <w:rPr>
                <w:rFonts w:eastAsia="Times New Roman" w:cs="Arial"/>
                <w:bCs w:val="0"/>
                <w:spacing w:val="-2"/>
                <w:sz w:val="14"/>
                <w:szCs w:val="14"/>
                <w:lang w:val="en-US"/>
              </w:rPr>
              <w:t xml:space="preserve"> Shares</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2D283C62" w14:textId="77777777" w:rsidR="00931938" w:rsidRPr="00B05866" w:rsidRDefault="00931938" w:rsidP="003F3C4F">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3420CD">
              <w:rPr>
                <w:rFonts w:eastAsia="Times New Roman" w:cs="Arial"/>
                <w:bCs w:val="0"/>
                <w:spacing w:val="-2"/>
                <w:sz w:val="14"/>
                <w:szCs w:val="14"/>
                <w:lang w:val="en-US"/>
              </w:rPr>
              <w:t>Preferred Shares</w:t>
            </w:r>
          </w:p>
        </w:tc>
        <w:tc>
          <w:tcPr>
            <w:tcW w:w="2363"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7BA13DFC" w14:textId="77777777" w:rsidR="00931938" w:rsidRPr="00B05866" w:rsidRDefault="00931938" w:rsidP="003F3C4F">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3420CD">
              <w:rPr>
                <w:rFonts w:eastAsia="Times New Roman" w:cs="Arial"/>
                <w:bCs w:val="0"/>
                <w:spacing w:val="-2"/>
                <w:sz w:val="14"/>
                <w:szCs w:val="14"/>
                <w:lang w:val="en-US"/>
              </w:rPr>
              <w:t>Total</w:t>
            </w:r>
          </w:p>
        </w:tc>
      </w:tr>
      <w:tr w:rsidR="00931938" w:rsidRPr="00B05866" w14:paraId="0B2F64E9" w14:textId="77777777" w:rsidTr="00D0532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themeColor="accent1" w:themeShade="80"/>
              <w:bottom w:val="single" w:sz="2" w:space="0" w:color="1F4E79" w:themeColor="accent1" w:themeShade="80"/>
            </w:tcBorders>
            <w:shd w:val="clear" w:color="auto" w:fill="auto"/>
            <w:hideMark/>
          </w:tcPr>
          <w:p w14:paraId="23CC97E5" w14:textId="77777777" w:rsidR="00931938" w:rsidRPr="00B05866" w:rsidRDefault="00931938" w:rsidP="00FC2C8C">
            <w:pPr>
              <w:rPr>
                <w:rFonts w:cs="Arial"/>
                <w:szCs w:val="18"/>
              </w:rPr>
            </w:pP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7AEBFF49" w14:textId="77777777" w:rsidR="00931938" w:rsidRPr="00B05866" w:rsidRDefault="00931938" w:rsidP="00FC2C8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Pr>
                <w:rFonts w:eastAsia="Times New Roman" w:cs="Arial"/>
                <w:b/>
                <w:spacing w:val="-2"/>
                <w:sz w:val="14"/>
                <w:szCs w:val="14"/>
                <w:lang w:val="en-US"/>
              </w:rPr>
              <w:t>Am</w:t>
            </w:r>
            <w:r w:rsidRPr="003420CD">
              <w:rPr>
                <w:rFonts w:eastAsia="Times New Roman" w:cs="Arial"/>
                <w:b/>
                <w:spacing w:val="-2"/>
                <w:sz w:val="14"/>
                <w:szCs w:val="14"/>
                <w:lang w:val="en-US"/>
              </w:rPr>
              <w:t>ount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4AAD7E38" w14:textId="77777777" w:rsidR="00931938" w:rsidRPr="00B05866" w:rsidRDefault="00931938" w:rsidP="00FC2C8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7CCFF6FE" w14:textId="77777777" w:rsidR="00931938" w:rsidRPr="00B05866" w:rsidRDefault="00931938" w:rsidP="00FC2C8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Pr>
                <w:rFonts w:eastAsia="Times New Roman" w:cs="Arial"/>
                <w:b/>
                <w:spacing w:val="-2"/>
                <w:sz w:val="14"/>
                <w:szCs w:val="14"/>
                <w:lang w:val="en-US"/>
              </w:rPr>
              <w:t>Am</w:t>
            </w:r>
            <w:r w:rsidRPr="003420CD">
              <w:rPr>
                <w:rFonts w:eastAsia="Times New Roman" w:cs="Arial"/>
                <w:b/>
                <w:spacing w:val="-2"/>
                <w:sz w:val="14"/>
                <w:szCs w:val="14"/>
                <w:lang w:val="en-US"/>
              </w:rPr>
              <w:t>ount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51436782" w14:textId="77777777" w:rsidR="00931938" w:rsidRPr="00B05866" w:rsidRDefault="00931938" w:rsidP="00FC2C8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21E6BC2C" w14:textId="77777777" w:rsidR="00931938" w:rsidRPr="00B05866" w:rsidRDefault="00931938" w:rsidP="00FC2C8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Pr>
                <w:rFonts w:eastAsia="Times New Roman" w:cs="Arial"/>
                <w:b/>
                <w:spacing w:val="-2"/>
                <w:sz w:val="14"/>
                <w:szCs w:val="14"/>
                <w:lang w:val="en-US"/>
              </w:rPr>
              <w:t>Am</w:t>
            </w:r>
            <w:r w:rsidRPr="003420CD">
              <w:rPr>
                <w:rFonts w:eastAsia="Times New Roman" w:cs="Arial"/>
                <w:b/>
                <w:spacing w:val="-2"/>
                <w:sz w:val="14"/>
                <w:szCs w:val="14"/>
                <w:lang w:val="en-US"/>
              </w:rPr>
              <w:t>ount</w:t>
            </w:r>
          </w:p>
        </w:tc>
        <w:tc>
          <w:tcPr>
            <w:tcW w:w="1182" w:type="dxa"/>
            <w:tcBorders>
              <w:top w:val="single" w:sz="2" w:space="0" w:color="1F4E79" w:themeColor="accent1" w:themeShade="80"/>
              <w:bottom w:val="single" w:sz="2" w:space="0" w:color="1F4E79" w:themeColor="accent1" w:themeShade="80"/>
            </w:tcBorders>
            <w:shd w:val="clear" w:color="auto" w:fill="auto"/>
            <w:vAlign w:val="center"/>
            <w:hideMark/>
          </w:tcPr>
          <w:p w14:paraId="2BCDA493" w14:textId="77777777" w:rsidR="00931938" w:rsidRPr="00B05866" w:rsidRDefault="00931938" w:rsidP="00FC2C8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r>
      <w:tr w:rsidR="00931938" w:rsidRPr="00B05866" w14:paraId="1483CF3B" w14:textId="77777777" w:rsidTr="00D05320">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themeColor="accent1" w:themeShade="80"/>
              <w:bottom w:val="nil"/>
            </w:tcBorders>
            <w:shd w:val="clear" w:color="auto" w:fill="auto"/>
            <w:vAlign w:val="center"/>
            <w:hideMark/>
          </w:tcPr>
          <w:p w14:paraId="343EF964" w14:textId="77777777" w:rsidR="00931938" w:rsidRPr="00EE023D" w:rsidRDefault="00931938" w:rsidP="00D05320">
            <w:pPr>
              <w:keepNext/>
              <w:keepLines/>
              <w:spacing w:before="40" w:after="40"/>
              <w:rPr>
                <w:rFonts w:eastAsia="Times New Roman" w:cs="Arial"/>
                <w:b w:val="0"/>
                <w:spacing w:val="-2"/>
                <w:sz w:val="14"/>
                <w:szCs w:val="14"/>
              </w:rPr>
            </w:pPr>
            <w:r w:rsidRPr="00EE023D">
              <w:rPr>
                <w:rFonts w:eastAsia="Times New Roman" w:cs="Arial"/>
                <w:b w:val="0"/>
                <w:spacing w:val="-2"/>
                <w:sz w:val="14"/>
                <w:szCs w:val="14"/>
              </w:rPr>
              <w:t>BB Seguros</w:t>
            </w:r>
          </w:p>
        </w:tc>
        <w:tc>
          <w:tcPr>
            <w:tcW w:w="1181" w:type="dxa"/>
            <w:tcBorders>
              <w:top w:val="single" w:sz="2" w:space="0" w:color="1F4E79" w:themeColor="accent1" w:themeShade="80"/>
              <w:bottom w:val="nil"/>
            </w:tcBorders>
            <w:shd w:val="clear" w:color="auto" w:fill="auto"/>
            <w:vAlign w:val="center"/>
            <w:hideMark/>
          </w:tcPr>
          <w:p w14:paraId="6EF23463" w14:textId="77777777" w:rsidR="00931938" w:rsidRPr="001F571E"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Pr>
                <w:rFonts w:eastAsia="Times New Roman" w:cs="Arial"/>
                <w:color w:val="auto"/>
                <w:spacing w:val="-2"/>
                <w:sz w:val="14"/>
                <w:szCs w:val="18"/>
              </w:rPr>
              <w:t>879,</w:t>
            </w:r>
            <w:r w:rsidRPr="00AC6825">
              <w:rPr>
                <w:rFonts w:eastAsia="Times New Roman" w:cs="Arial"/>
                <w:color w:val="auto"/>
                <w:spacing w:val="-2"/>
                <w:sz w:val="14"/>
                <w:szCs w:val="18"/>
              </w:rPr>
              <w:t>293</w:t>
            </w:r>
          </w:p>
        </w:tc>
        <w:tc>
          <w:tcPr>
            <w:tcW w:w="1181" w:type="dxa"/>
            <w:tcBorders>
              <w:top w:val="single" w:sz="2" w:space="0" w:color="1F4E79" w:themeColor="accent1" w:themeShade="80"/>
              <w:bottom w:val="nil"/>
            </w:tcBorders>
            <w:shd w:val="clear" w:color="auto" w:fill="auto"/>
            <w:vAlign w:val="center"/>
            <w:hideMark/>
          </w:tcPr>
          <w:p w14:paraId="5CD0A99B" w14:textId="77777777" w:rsidR="00931938" w:rsidRPr="000C4183"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49.</w:t>
            </w:r>
            <w:r w:rsidRPr="000C4183">
              <w:rPr>
                <w:rFonts w:eastAsia="Times New Roman" w:cs="Arial"/>
                <w:spacing w:val="-2"/>
                <w:sz w:val="14"/>
                <w:szCs w:val="18"/>
              </w:rPr>
              <w:t>990</w:t>
            </w:r>
          </w:p>
        </w:tc>
        <w:tc>
          <w:tcPr>
            <w:tcW w:w="1181" w:type="dxa"/>
            <w:tcBorders>
              <w:top w:val="single" w:sz="2" w:space="0" w:color="1F4E79" w:themeColor="accent1" w:themeShade="80"/>
              <w:bottom w:val="nil"/>
            </w:tcBorders>
            <w:shd w:val="clear" w:color="auto" w:fill="auto"/>
            <w:vAlign w:val="center"/>
            <w:hideMark/>
          </w:tcPr>
          <w:p w14:paraId="4C079206" w14:textId="77777777" w:rsidR="00931938" w:rsidRPr="001F571E"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Cs/>
                <w:spacing w:val="-2"/>
                <w:sz w:val="14"/>
                <w:szCs w:val="18"/>
              </w:rPr>
            </w:pPr>
            <w:r>
              <w:rPr>
                <w:rFonts w:eastAsia="Times New Roman" w:cs="Arial"/>
                <w:bCs/>
                <w:color w:val="auto"/>
                <w:spacing w:val="-2"/>
                <w:sz w:val="14"/>
                <w:szCs w:val="18"/>
              </w:rPr>
              <w:t>1,758,</w:t>
            </w:r>
            <w:r w:rsidRPr="00AC6825">
              <w:rPr>
                <w:rFonts w:eastAsia="Times New Roman" w:cs="Arial"/>
                <w:bCs/>
                <w:color w:val="auto"/>
                <w:spacing w:val="-2"/>
                <w:sz w:val="14"/>
                <w:szCs w:val="18"/>
              </w:rPr>
              <w:t>937</w:t>
            </w:r>
          </w:p>
        </w:tc>
        <w:tc>
          <w:tcPr>
            <w:tcW w:w="1181" w:type="dxa"/>
            <w:tcBorders>
              <w:top w:val="single" w:sz="2" w:space="0" w:color="1F4E79" w:themeColor="accent1" w:themeShade="80"/>
              <w:bottom w:val="nil"/>
            </w:tcBorders>
            <w:shd w:val="clear" w:color="auto" w:fill="auto"/>
            <w:vAlign w:val="center"/>
            <w:hideMark/>
          </w:tcPr>
          <w:p w14:paraId="5979CD8A" w14:textId="77777777" w:rsidR="00931938" w:rsidRPr="000C4183"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100.</w:t>
            </w:r>
            <w:r w:rsidRPr="000C4183">
              <w:rPr>
                <w:rFonts w:eastAsia="Times New Roman" w:cs="Arial"/>
                <w:spacing w:val="-2"/>
                <w:sz w:val="14"/>
                <w:szCs w:val="18"/>
              </w:rPr>
              <w:t>000</w:t>
            </w:r>
          </w:p>
        </w:tc>
        <w:tc>
          <w:tcPr>
            <w:tcW w:w="1181" w:type="dxa"/>
            <w:tcBorders>
              <w:top w:val="single" w:sz="2" w:space="0" w:color="1F4E79" w:themeColor="accent1" w:themeShade="80"/>
              <w:bottom w:val="nil"/>
            </w:tcBorders>
            <w:shd w:val="clear" w:color="auto" w:fill="auto"/>
            <w:vAlign w:val="center"/>
            <w:hideMark/>
          </w:tcPr>
          <w:p w14:paraId="30CF0D69" w14:textId="77777777" w:rsidR="00931938" w:rsidRPr="001F571E"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Pr>
                <w:rFonts w:eastAsia="Times New Roman" w:cs="Arial"/>
                <w:color w:val="auto"/>
                <w:spacing w:val="-2"/>
                <w:sz w:val="14"/>
                <w:szCs w:val="18"/>
              </w:rPr>
              <w:t>2,638,</w:t>
            </w:r>
            <w:r w:rsidRPr="00AC6825">
              <w:rPr>
                <w:rFonts w:eastAsia="Times New Roman" w:cs="Arial"/>
                <w:color w:val="auto"/>
                <w:spacing w:val="-2"/>
                <w:sz w:val="14"/>
                <w:szCs w:val="18"/>
              </w:rPr>
              <w:t>230</w:t>
            </w:r>
          </w:p>
        </w:tc>
        <w:tc>
          <w:tcPr>
            <w:tcW w:w="1182" w:type="dxa"/>
            <w:tcBorders>
              <w:top w:val="single" w:sz="2" w:space="0" w:color="1F4E79" w:themeColor="accent1" w:themeShade="80"/>
              <w:bottom w:val="nil"/>
            </w:tcBorders>
            <w:shd w:val="clear" w:color="auto" w:fill="auto"/>
            <w:vAlign w:val="center"/>
            <w:hideMark/>
          </w:tcPr>
          <w:p w14:paraId="12424CAA" w14:textId="77777777" w:rsidR="00931938" w:rsidRPr="001F571E"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74.</w:t>
            </w:r>
            <w:r w:rsidRPr="001F571E">
              <w:rPr>
                <w:rFonts w:eastAsia="Times New Roman" w:cs="Arial"/>
                <w:spacing w:val="-2"/>
                <w:sz w:val="14"/>
                <w:szCs w:val="18"/>
              </w:rPr>
              <w:t>995</w:t>
            </w:r>
          </w:p>
        </w:tc>
      </w:tr>
      <w:tr w:rsidR="00931938" w:rsidRPr="00B05866" w14:paraId="521EF13C" w14:textId="77777777" w:rsidTr="00D0532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center"/>
            <w:hideMark/>
          </w:tcPr>
          <w:p w14:paraId="1FB1CA20" w14:textId="77777777" w:rsidR="00931938" w:rsidRPr="00EE023D" w:rsidRDefault="00931938" w:rsidP="00D05320">
            <w:pPr>
              <w:keepNext/>
              <w:keepLines/>
              <w:spacing w:before="40" w:after="40"/>
              <w:rPr>
                <w:rFonts w:eastAsia="Times New Roman" w:cs="Arial"/>
                <w:b w:val="0"/>
                <w:spacing w:val="-2"/>
                <w:sz w:val="14"/>
                <w:szCs w:val="18"/>
              </w:rPr>
            </w:pPr>
            <w:r w:rsidRPr="00EE023D">
              <w:rPr>
                <w:rFonts w:eastAsia="Times New Roman" w:cs="Arial"/>
                <w:b w:val="0"/>
                <w:spacing w:val="-2"/>
                <w:sz w:val="14"/>
                <w:szCs w:val="18"/>
              </w:rPr>
              <w:t>PFG</w:t>
            </w:r>
          </w:p>
        </w:tc>
        <w:tc>
          <w:tcPr>
            <w:tcW w:w="1181" w:type="dxa"/>
            <w:tcBorders>
              <w:top w:val="nil"/>
              <w:bottom w:val="nil"/>
            </w:tcBorders>
            <w:shd w:val="clear" w:color="auto" w:fill="auto"/>
            <w:vAlign w:val="center"/>
            <w:hideMark/>
          </w:tcPr>
          <w:p w14:paraId="02A3F03E" w14:textId="77777777" w:rsidR="00931938" w:rsidRPr="00AC6825" w:rsidRDefault="00931938" w:rsidP="00D0532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0000"/>
                <w:spacing w:val="-2"/>
                <w:sz w:val="14"/>
                <w:szCs w:val="18"/>
              </w:rPr>
            </w:pPr>
            <w:r>
              <w:rPr>
                <w:rFonts w:eastAsia="Times New Roman" w:cs="Arial"/>
                <w:color w:val="auto"/>
                <w:spacing w:val="-2"/>
                <w:sz w:val="14"/>
                <w:szCs w:val="18"/>
              </w:rPr>
              <w:t>879,</w:t>
            </w:r>
            <w:r w:rsidRPr="00AC6825">
              <w:rPr>
                <w:rFonts w:eastAsia="Times New Roman" w:cs="Arial"/>
                <w:color w:val="auto"/>
                <w:spacing w:val="-2"/>
                <w:sz w:val="14"/>
                <w:szCs w:val="18"/>
              </w:rPr>
              <w:t>644</w:t>
            </w:r>
          </w:p>
        </w:tc>
        <w:tc>
          <w:tcPr>
            <w:tcW w:w="1181" w:type="dxa"/>
            <w:tcBorders>
              <w:top w:val="nil"/>
              <w:bottom w:val="nil"/>
            </w:tcBorders>
            <w:shd w:val="clear" w:color="auto" w:fill="auto"/>
            <w:vAlign w:val="center"/>
            <w:hideMark/>
          </w:tcPr>
          <w:p w14:paraId="664419FE" w14:textId="77777777" w:rsidR="00931938" w:rsidRPr="001F571E" w:rsidRDefault="00931938" w:rsidP="00D0532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50.</w:t>
            </w:r>
            <w:r w:rsidRPr="001F571E">
              <w:rPr>
                <w:rFonts w:eastAsia="Times New Roman" w:cs="Arial"/>
                <w:spacing w:val="-2"/>
                <w:sz w:val="14"/>
                <w:szCs w:val="18"/>
              </w:rPr>
              <w:t>010</w:t>
            </w:r>
          </w:p>
        </w:tc>
        <w:tc>
          <w:tcPr>
            <w:tcW w:w="1181" w:type="dxa"/>
            <w:tcBorders>
              <w:top w:val="nil"/>
              <w:bottom w:val="nil"/>
            </w:tcBorders>
            <w:shd w:val="clear" w:color="auto" w:fill="auto"/>
            <w:vAlign w:val="center"/>
            <w:hideMark/>
          </w:tcPr>
          <w:p w14:paraId="5DA60A34" w14:textId="77777777" w:rsidR="00931938" w:rsidRPr="000C4183" w:rsidRDefault="00931938" w:rsidP="00D0532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C4183">
              <w:rPr>
                <w:rFonts w:eastAsia="Times New Roman" w:cs="Arial"/>
                <w:spacing w:val="-2"/>
                <w:sz w:val="14"/>
                <w:szCs w:val="18"/>
              </w:rPr>
              <w:t>--</w:t>
            </w:r>
          </w:p>
        </w:tc>
        <w:tc>
          <w:tcPr>
            <w:tcW w:w="1181" w:type="dxa"/>
            <w:tcBorders>
              <w:top w:val="nil"/>
              <w:bottom w:val="nil"/>
            </w:tcBorders>
            <w:shd w:val="clear" w:color="auto" w:fill="auto"/>
            <w:vAlign w:val="center"/>
            <w:hideMark/>
          </w:tcPr>
          <w:p w14:paraId="45E25112" w14:textId="77777777" w:rsidR="00931938" w:rsidRPr="000C4183" w:rsidRDefault="00931938" w:rsidP="00D0532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C4183">
              <w:rPr>
                <w:rFonts w:eastAsia="Times New Roman" w:cs="Arial"/>
                <w:spacing w:val="-2"/>
                <w:sz w:val="14"/>
                <w:szCs w:val="18"/>
              </w:rPr>
              <w:t>--</w:t>
            </w:r>
          </w:p>
        </w:tc>
        <w:tc>
          <w:tcPr>
            <w:tcW w:w="1181" w:type="dxa"/>
            <w:tcBorders>
              <w:top w:val="nil"/>
              <w:bottom w:val="nil"/>
            </w:tcBorders>
            <w:shd w:val="clear" w:color="auto" w:fill="auto"/>
            <w:vAlign w:val="center"/>
            <w:hideMark/>
          </w:tcPr>
          <w:p w14:paraId="164CF3C3" w14:textId="77777777" w:rsidR="00931938" w:rsidRPr="00AC6825" w:rsidRDefault="00931938" w:rsidP="00D0532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0000"/>
                <w:spacing w:val="-2"/>
                <w:sz w:val="14"/>
                <w:szCs w:val="18"/>
              </w:rPr>
            </w:pPr>
            <w:r>
              <w:rPr>
                <w:rFonts w:eastAsia="Times New Roman" w:cs="Arial"/>
                <w:color w:val="auto"/>
                <w:spacing w:val="-2"/>
                <w:sz w:val="14"/>
                <w:szCs w:val="18"/>
              </w:rPr>
              <w:t>879,</w:t>
            </w:r>
            <w:r w:rsidRPr="00AC6825">
              <w:rPr>
                <w:rFonts w:eastAsia="Times New Roman" w:cs="Arial"/>
                <w:color w:val="auto"/>
                <w:spacing w:val="-2"/>
                <w:sz w:val="14"/>
                <w:szCs w:val="18"/>
              </w:rPr>
              <w:t>644</w:t>
            </w:r>
          </w:p>
        </w:tc>
        <w:tc>
          <w:tcPr>
            <w:tcW w:w="1182" w:type="dxa"/>
            <w:tcBorders>
              <w:top w:val="nil"/>
              <w:bottom w:val="nil"/>
            </w:tcBorders>
            <w:shd w:val="clear" w:color="auto" w:fill="auto"/>
            <w:vAlign w:val="center"/>
            <w:hideMark/>
          </w:tcPr>
          <w:p w14:paraId="2130399D" w14:textId="77777777" w:rsidR="00931938" w:rsidRPr="001F571E" w:rsidRDefault="00931938" w:rsidP="00D0532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25.</w:t>
            </w:r>
            <w:r w:rsidRPr="001F571E">
              <w:rPr>
                <w:rFonts w:eastAsia="Times New Roman" w:cs="Arial"/>
                <w:spacing w:val="-2"/>
                <w:sz w:val="14"/>
                <w:szCs w:val="18"/>
              </w:rPr>
              <w:t>005</w:t>
            </w:r>
          </w:p>
        </w:tc>
      </w:tr>
      <w:tr w:rsidR="00931938" w:rsidRPr="00AC5220" w14:paraId="06123392" w14:textId="77777777" w:rsidTr="00D05320">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2" w:space="0" w:color="1F4E79" w:themeColor="accent1" w:themeShade="80"/>
            </w:tcBorders>
            <w:shd w:val="clear" w:color="auto" w:fill="auto"/>
            <w:vAlign w:val="center"/>
            <w:hideMark/>
          </w:tcPr>
          <w:p w14:paraId="0819634A" w14:textId="77777777" w:rsidR="00931938" w:rsidRPr="00AC5220" w:rsidRDefault="00931938" w:rsidP="00D05320">
            <w:pPr>
              <w:keepNext/>
              <w:keepLines/>
              <w:spacing w:before="40" w:after="40"/>
              <w:rPr>
                <w:rFonts w:eastAsia="Times New Roman" w:cs="Arial"/>
                <w:spacing w:val="-2"/>
                <w:sz w:val="14"/>
                <w:szCs w:val="14"/>
              </w:rPr>
            </w:pPr>
            <w:r w:rsidRPr="00AC5220">
              <w:rPr>
                <w:rFonts w:eastAsia="Times New Roman" w:cs="Arial"/>
                <w:spacing w:val="-2"/>
                <w:sz w:val="14"/>
                <w:szCs w:val="14"/>
              </w:rPr>
              <w:t>Total</w:t>
            </w:r>
          </w:p>
        </w:tc>
        <w:tc>
          <w:tcPr>
            <w:tcW w:w="1181" w:type="dxa"/>
            <w:tcBorders>
              <w:top w:val="nil"/>
              <w:bottom w:val="single" w:sz="2" w:space="0" w:color="1F4E79" w:themeColor="accent1" w:themeShade="80"/>
            </w:tcBorders>
            <w:shd w:val="clear" w:color="auto" w:fill="auto"/>
            <w:vAlign w:val="center"/>
            <w:hideMark/>
          </w:tcPr>
          <w:p w14:paraId="5102D537" w14:textId="77777777" w:rsidR="00931938" w:rsidRPr="00AC5220"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AC5220">
              <w:rPr>
                <w:rFonts w:eastAsia="Times New Roman" w:cs="Arial"/>
                <w:b/>
                <w:color w:val="auto"/>
                <w:spacing w:val="-2"/>
                <w:sz w:val="14"/>
                <w:szCs w:val="18"/>
              </w:rPr>
              <w:t>1.758.937</w:t>
            </w:r>
          </w:p>
        </w:tc>
        <w:tc>
          <w:tcPr>
            <w:tcW w:w="1181" w:type="dxa"/>
            <w:tcBorders>
              <w:top w:val="nil"/>
              <w:bottom w:val="single" w:sz="2" w:space="0" w:color="1F4E79" w:themeColor="accent1" w:themeShade="80"/>
            </w:tcBorders>
            <w:shd w:val="clear" w:color="auto" w:fill="auto"/>
            <w:vAlign w:val="center"/>
            <w:hideMark/>
          </w:tcPr>
          <w:p w14:paraId="74BA75D2" w14:textId="77777777" w:rsidR="00931938" w:rsidRPr="00AC5220"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AC5220">
              <w:rPr>
                <w:rFonts w:eastAsia="Times New Roman" w:cs="Arial"/>
                <w:b/>
                <w:spacing w:val="-2"/>
                <w:sz w:val="14"/>
                <w:szCs w:val="18"/>
              </w:rPr>
              <w:t>100.000</w:t>
            </w:r>
          </w:p>
        </w:tc>
        <w:tc>
          <w:tcPr>
            <w:tcW w:w="1181" w:type="dxa"/>
            <w:tcBorders>
              <w:top w:val="nil"/>
              <w:bottom w:val="single" w:sz="2" w:space="0" w:color="1F4E79" w:themeColor="accent1" w:themeShade="80"/>
            </w:tcBorders>
            <w:shd w:val="clear" w:color="auto" w:fill="auto"/>
            <w:vAlign w:val="center"/>
            <w:hideMark/>
          </w:tcPr>
          <w:p w14:paraId="3046E723" w14:textId="77777777" w:rsidR="00931938" w:rsidRPr="00AC5220"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AC5220">
              <w:rPr>
                <w:rFonts w:eastAsia="Times New Roman" w:cs="Arial"/>
                <w:b/>
                <w:bCs/>
                <w:spacing w:val="-2"/>
                <w:sz w:val="14"/>
                <w:szCs w:val="18"/>
              </w:rPr>
              <w:t>1,758,937</w:t>
            </w:r>
          </w:p>
        </w:tc>
        <w:tc>
          <w:tcPr>
            <w:tcW w:w="1181" w:type="dxa"/>
            <w:tcBorders>
              <w:top w:val="nil"/>
              <w:bottom w:val="single" w:sz="2" w:space="0" w:color="1F4E79" w:themeColor="accent1" w:themeShade="80"/>
            </w:tcBorders>
            <w:shd w:val="clear" w:color="auto" w:fill="auto"/>
            <w:vAlign w:val="center"/>
            <w:hideMark/>
          </w:tcPr>
          <w:p w14:paraId="2B1DE848" w14:textId="77777777" w:rsidR="00931938" w:rsidRPr="00AC5220"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AC5220">
              <w:rPr>
                <w:rFonts w:eastAsia="Times New Roman" w:cs="Arial"/>
                <w:b/>
                <w:spacing w:val="-2"/>
                <w:sz w:val="14"/>
                <w:szCs w:val="18"/>
              </w:rPr>
              <w:t>100.000</w:t>
            </w:r>
          </w:p>
        </w:tc>
        <w:tc>
          <w:tcPr>
            <w:tcW w:w="1181" w:type="dxa"/>
            <w:tcBorders>
              <w:top w:val="nil"/>
              <w:bottom w:val="single" w:sz="2" w:space="0" w:color="1F4E79" w:themeColor="accent1" w:themeShade="80"/>
            </w:tcBorders>
            <w:shd w:val="clear" w:color="auto" w:fill="auto"/>
            <w:vAlign w:val="center"/>
            <w:hideMark/>
          </w:tcPr>
          <w:p w14:paraId="3564DF55" w14:textId="77777777" w:rsidR="00931938" w:rsidRPr="00AC5220"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AC5220">
              <w:rPr>
                <w:rFonts w:eastAsia="Times New Roman" w:cs="Arial"/>
                <w:b/>
                <w:color w:val="auto"/>
                <w:spacing w:val="-2"/>
                <w:sz w:val="14"/>
                <w:szCs w:val="18"/>
              </w:rPr>
              <w:t>3,517,874</w:t>
            </w:r>
          </w:p>
        </w:tc>
        <w:tc>
          <w:tcPr>
            <w:tcW w:w="1182" w:type="dxa"/>
            <w:tcBorders>
              <w:top w:val="nil"/>
              <w:bottom w:val="single" w:sz="2" w:space="0" w:color="1F4E79" w:themeColor="accent1" w:themeShade="80"/>
            </w:tcBorders>
            <w:shd w:val="clear" w:color="auto" w:fill="auto"/>
            <w:vAlign w:val="center"/>
            <w:hideMark/>
          </w:tcPr>
          <w:p w14:paraId="79D89D29" w14:textId="77777777" w:rsidR="00931938" w:rsidRPr="00AC5220" w:rsidRDefault="00931938" w:rsidP="00D05320">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AC5220">
              <w:rPr>
                <w:rFonts w:eastAsia="Times New Roman" w:cs="Arial"/>
                <w:b/>
                <w:spacing w:val="-2"/>
                <w:sz w:val="14"/>
                <w:szCs w:val="18"/>
              </w:rPr>
              <w:t>100.000</w:t>
            </w:r>
          </w:p>
        </w:tc>
      </w:tr>
    </w:tbl>
    <w:p w14:paraId="03511D51" w14:textId="77777777" w:rsidR="00931938" w:rsidRDefault="00931938" w:rsidP="00A54A58">
      <w:pPr>
        <w:pStyle w:val="05-Textonormal"/>
        <w:rPr>
          <w:lang w:val="en-US"/>
        </w:rPr>
      </w:pPr>
    </w:p>
    <w:p w14:paraId="59DE6585" w14:textId="77777777" w:rsidR="00931938" w:rsidRPr="0042577F" w:rsidRDefault="00931938" w:rsidP="0042577F">
      <w:pPr>
        <w:pStyle w:val="05-Textonormal"/>
        <w:rPr>
          <w:b/>
          <w:snapToGrid w:val="0"/>
          <w:color w:val="1F4E79" w:themeColor="accent1" w:themeShade="80"/>
        </w:rPr>
      </w:pPr>
      <w:r w:rsidRPr="0042577F">
        <w:rPr>
          <w:b/>
          <w:snapToGrid w:val="0"/>
          <w:color w:val="1F4E79" w:themeColor="accent1" w:themeShade="80"/>
        </w:rPr>
        <w:t xml:space="preserve">c) Brasilcap Capitalização S.A. </w:t>
      </w:r>
    </w:p>
    <w:p w14:paraId="43E988E5" w14:textId="77777777" w:rsidR="00931938" w:rsidRPr="00931938" w:rsidRDefault="00931938" w:rsidP="0042577F">
      <w:pPr>
        <w:pStyle w:val="05-Textonormal"/>
        <w:rPr>
          <w:rStyle w:val="y2iqfc"/>
          <w:lang w:val="en-US"/>
        </w:rPr>
      </w:pPr>
      <w:r w:rsidRPr="00931938">
        <w:rPr>
          <w:rStyle w:val="y2iqfc"/>
          <w:lang w:val="en-US"/>
        </w:rPr>
        <w:t>On March 31, 2021, Brasilcap’s Extraordinary Shareholders Meeting (ESM) approved a capital increase, from R$ 231,264,117.06 to R$ 254,392,710.76, equivalent to an increase of R$ 23,128,593.70 through the allocation of legal excess balance of profit reserve from 2020 fiscal year, without changing the number of shares.</w:t>
      </w:r>
    </w:p>
    <w:p w14:paraId="7135810C" w14:textId="77777777" w:rsidR="00931938" w:rsidRPr="00931938" w:rsidRDefault="00931938" w:rsidP="0042577F">
      <w:pPr>
        <w:pStyle w:val="05-Textonormal"/>
        <w:rPr>
          <w:rStyle w:val="y2iqfc"/>
          <w:lang w:val="en-US"/>
        </w:rPr>
      </w:pPr>
      <w:r w:rsidRPr="00931938">
        <w:rPr>
          <w:rStyle w:val="y2iqfc"/>
          <w:lang w:val="en-US"/>
        </w:rPr>
        <w:t>On December 31, 2021, Brasilcap’s ESM approved the company’s capital increase from R$ 254,392,710.76 to R$ 354,398,110.76, through the issuance of 76,340,000 preferred shares, all nominative with no par value, by the price of R$ 1.31 each, in compliance with Article 170, § 1, of Federal Law Nr. 6,404 of 1976, capitalized by credits resulting from the private instrument ”Advances For Future Capital Increases”, concluded on December 22, 2021, between Brasilcap and its shareholders BB Seguros Participações S.A., Icatu Seguros S.A. and Companhia de Seguros Aliança da Bahia.</w:t>
      </w:r>
    </w:p>
    <w:p w14:paraId="2CA48A9E" w14:textId="77777777" w:rsidR="00931938" w:rsidRPr="00931938" w:rsidRDefault="00931938" w:rsidP="00D1698F">
      <w:pPr>
        <w:pStyle w:val="05-Textonormal"/>
        <w:rPr>
          <w:rStyle w:val="y2iqfc"/>
          <w:lang w:val="en-US"/>
        </w:rPr>
      </w:pPr>
      <w:r w:rsidRPr="00931938">
        <w:rPr>
          <w:rStyle w:val="y2iqfc"/>
          <w:lang w:val="en-US"/>
        </w:rPr>
        <w:t xml:space="preserve">BB Seguros Participações S.A. subscribed in the proportion of its current economic stake, 50,888,244 preferred shares, equivalent to R$ 66,663,599.64, while Icatu Seguros S.A. subscribed 12,725,878 preferred shares, equivalent to R$ 16,670,900.18, and Companhia de Seguros Aliança da Bahia subscribed 12,085,282 preferred shares, equivalent to </w:t>
      </w:r>
      <w:r w:rsidRPr="00931938">
        <w:rPr>
          <w:rStyle w:val="y2iqfc"/>
          <w:lang w:val="en-US"/>
        </w:rPr>
        <w:lastRenderedPageBreak/>
        <w:t>R$ 15,831,719.42. In addition, through the capitalization of credits arising from the Advances for Future Capital Increases, Icatu Seguros S.A. subscribed 328,568 preferred shares, equivalent to R$ 430,424.08 and Companhia de Seguros Aliança da Bahia subscribed 312,028 preferred shares, equivalent to R$ 408,756.68, on the condition that, and to the extent that, the other Brasilcap’s minority shareholders do not exercise their preemptive right. The issuance maintained unchanged the current economic stake held by BB Seguros Participações S.A. in Brasilcap’s total capital.</w:t>
      </w:r>
    </w:p>
    <w:p w14:paraId="3F66A08C" w14:textId="77777777" w:rsidR="00931938" w:rsidRPr="00931938" w:rsidRDefault="00931938" w:rsidP="00D1698F">
      <w:pPr>
        <w:pStyle w:val="05-Textonormal"/>
        <w:rPr>
          <w:rStyle w:val="y2iqfc"/>
          <w:lang w:val="en-US"/>
        </w:rPr>
      </w:pPr>
      <w:r w:rsidRPr="00931938">
        <w:rPr>
          <w:rStyle w:val="y2iqfc"/>
          <w:lang w:val="en-US"/>
        </w:rPr>
        <w:t>Thus, Brasilcap's paid in capital amounted to R$ 354,398,110.76, divided into 216,010,804 common shares, all nominative with no par value, and 184,329,196 preferred shares, all nominative with no par value.</w:t>
      </w:r>
    </w:p>
    <w:p w14:paraId="5F29E9D5" w14:textId="77777777" w:rsidR="00931938" w:rsidRPr="00931938" w:rsidRDefault="00931938" w:rsidP="00D1698F">
      <w:pPr>
        <w:pStyle w:val="05-Textonormal"/>
        <w:rPr>
          <w:rStyle w:val="y2iqfc"/>
          <w:lang w:val="en-US"/>
        </w:rPr>
      </w:pPr>
      <w:r w:rsidRPr="00931938">
        <w:rPr>
          <w:rStyle w:val="y2iqfc"/>
          <w:lang w:val="en-US"/>
        </w:rPr>
        <w:t>Considering that the minority shareholders did not exercise their preemptive rights within the allowed period, BB Seguros, due to the terms agreed through the Subscription Commitment Instrument and Other Covenants, started the necessary procedures for the acquisition of the preferred shares, in order to equalize the shareholding proportion held by the majority shareholders before the contribution of capital.</w:t>
      </w:r>
    </w:p>
    <w:p w14:paraId="65FC7B73" w14:textId="77777777" w:rsidR="00931938" w:rsidRPr="00931938" w:rsidRDefault="00931938" w:rsidP="00D1698F">
      <w:pPr>
        <w:pStyle w:val="05-Textonormal"/>
        <w:rPr>
          <w:rStyle w:val="y2iqfc"/>
          <w:lang w:val="en-US"/>
        </w:rPr>
      </w:pPr>
      <w:r w:rsidRPr="00931938">
        <w:rPr>
          <w:rStyle w:val="y2iqfc"/>
          <w:lang w:val="en-US"/>
        </w:rPr>
        <w:t>On November 25, 2022, the necessary procedures for the acquisition of preferred shares by BB Seguros Participações S.A. were completed through (i) the signing of the terms of transfer of preferred shares between the majority shareholders, through which Icatu Seguros S.A. transferred 220,877 preferred shares owned by itself to BB Seguros Participações S.A. and Companhia de Seguros Aliança da Bahia transferred 209,758 preferred shares owned by itself to BB Seguros Participações S.A, and, (ii) the financial settlement by BB Seguros Participações S.A., at a issue price of R$ 1.31 per share, plus monetary restatement by the CDI (interbank deposit rate) plus 1% (one percent) per year, applicable pro rata as of December 31, 2021.</w:t>
      </w:r>
    </w:p>
    <w:p w14:paraId="2218DA46" w14:textId="77777777" w:rsidR="00931938" w:rsidRPr="00931938" w:rsidRDefault="00931938" w:rsidP="00D1698F">
      <w:pPr>
        <w:pStyle w:val="05-Textonormal"/>
        <w:rPr>
          <w:lang w:val="en-US"/>
        </w:rPr>
      </w:pPr>
      <w:r>
        <w:rPr>
          <w:rFonts w:cs="Arial"/>
          <w:lang w:val="en-US"/>
        </w:rPr>
        <w:t>Since November 25, 2022</w:t>
      </w:r>
      <w:r>
        <w:rPr>
          <w:rStyle w:val="y2iqfc"/>
          <w:rFonts w:cs="Arial"/>
          <w:lang w:val="en-US"/>
        </w:rPr>
        <w:t xml:space="preserve">, Brasilcap’s capital, fully subscribed and paid in, has been </w:t>
      </w:r>
      <w:r w:rsidRPr="00931938">
        <w:rPr>
          <w:rStyle w:val="y2iqfc"/>
          <w:rFonts w:cs="Arial"/>
          <w:lang w:val="en-US"/>
        </w:rPr>
        <w:t xml:space="preserve">distributed between shareholders as </w:t>
      </w:r>
      <w:r w:rsidRPr="00931938">
        <w:rPr>
          <w:lang w:val="en-US"/>
        </w:rPr>
        <w:t>follows:</w:t>
      </w:r>
    </w:p>
    <w:tbl>
      <w:tblPr>
        <w:tblStyle w:val="TabeladeLista6Colorida-nfase5"/>
        <w:tblW w:w="9639" w:type="dxa"/>
        <w:tblLayout w:type="fixed"/>
        <w:tblLook w:val="04A0" w:firstRow="1" w:lastRow="0" w:firstColumn="1" w:lastColumn="0" w:noHBand="0" w:noVBand="1"/>
      </w:tblPr>
      <w:tblGrid>
        <w:gridCol w:w="2552"/>
        <w:gridCol w:w="1181"/>
        <w:gridCol w:w="1181"/>
        <w:gridCol w:w="1181"/>
        <w:gridCol w:w="1181"/>
        <w:gridCol w:w="1181"/>
        <w:gridCol w:w="1182"/>
      </w:tblGrid>
      <w:tr w:rsidR="00931938" w:rsidRPr="00B05866" w14:paraId="1B838B3E" w14:textId="77777777" w:rsidTr="00AA7FC3">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themeColor="accent1" w:themeShade="80"/>
              <w:bottom w:val="single" w:sz="2" w:space="0" w:color="1F4E79" w:themeColor="accent1" w:themeShade="80"/>
            </w:tcBorders>
            <w:shd w:val="clear" w:color="auto" w:fill="auto"/>
            <w:vAlign w:val="center"/>
            <w:hideMark/>
          </w:tcPr>
          <w:p w14:paraId="2E7A6DB2" w14:textId="77777777" w:rsidR="00931938" w:rsidRPr="00B05866" w:rsidRDefault="00931938" w:rsidP="00AA7FC3">
            <w:pPr>
              <w:rPr>
                <w:rFonts w:cs="Arial"/>
                <w:szCs w:val="18"/>
              </w:rPr>
            </w:pPr>
            <w:r w:rsidRPr="00DC796F">
              <w:rPr>
                <w:rFonts w:cs="Arial"/>
                <w:sz w:val="14"/>
                <w:szCs w:val="14"/>
              </w:rPr>
              <w:t>Shareholders</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29CF1D55" w14:textId="77777777" w:rsidR="00931938" w:rsidRPr="00B05866" w:rsidRDefault="00931938" w:rsidP="00AA7FC3">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DC796F">
              <w:rPr>
                <w:rFonts w:eastAsia="Times New Roman" w:cs="Arial"/>
                <w:spacing w:val="-2"/>
                <w:sz w:val="14"/>
                <w:szCs w:val="14"/>
              </w:rPr>
              <w:t>Common Shares</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09A50D4A" w14:textId="77777777" w:rsidR="00931938" w:rsidRPr="00B05866" w:rsidRDefault="00931938" w:rsidP="00AA7FC3">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DC796F">
              <w:rPr>
                <w:rFonts w:eastAsia="Times New Roman" w:cs="Arial"/>
                <w:spacing w:val="-2"/>
                <w:sz w:val="14"/>
                <w:szCs w:val="14"/>
              </w:rPr>
              <w:t>Preferred Shares</w:t>
            </w:r>
          </w:p>
        </w:tc>
        <w:tc>
          <w:tcPr>
            <w:tcW w:w="2363"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1BFB8755" w14:textId="77777777" w:rsidR="00931938" w:rsidRPr="00B05866" w:rsidRDefault="00931938" w:rsidP="00AA7FC3">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B05866">
              <w:rPr>
                <w:rFonts w:eastAsia="Times New Roman" w:cs="Arial"/>
                <w:spacing w:val="-2"/>
                <w:sz w:val="14"/>
                <w:szCs w:val="14"/>
              </w:rPr>
              <w:t>Total</w:t>
            </w:r>
          </w:p>
        </w:tc>
      </w:tr>
      <w:tr w:rsidR="00931938" w:rsidRPr="00B05866" w14:paraId="40616DCB" w14:textId="77777777" w:rsidTr="00AA7FC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themeColor="accent1" w:themeShade="80"/>
              <w:bottom w:val="single" w:sz="2" w:space="0" w:color="1F4E79" w:themeColor="accent1" w:themeShade="80"/>
            </w:tcBorders>
            <w:shd w:val="clear" w:color="auto" w:fill="auto"/>
            <w:hideMark/>
          </w:tcPr>
          <w:p w14:paraId="20818851" w14:textId="77777777" w:rsidR="00931938" w:rsidRPr="00B05866" w:rsidRDefault="00931938" w:rsidP="00AA7FC3">
            <w:pPr>
              <w:rPr>
                <w:rFonts w:cs="Arial"/>
                <w:szCs w:val="18"/>
              </w:rPr>
            </w:pP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24574725" w14:textId="77777777" w:rsidR="00931938" w:rsidRPr="00B05866"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DC796F">
              <w:rPr>
                <w:rFonts w:eastAsia="Times New Roman" w:cs="Arial"/>
                <w:b/>
                <w:spacing w:val="-2"/>
                <w:sz w:val="14"/>
                <w:szCs w:val="14"/>
              </w:rPr>
              <w:t>Amount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4351275D" w14:textId="77777777" w:rsidR="00931938" w:rsidRPr="00B05866"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1B5FFB38" w14:textId="77777777" w:rsidR="00931938" w:rsidRPr="00B05866"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DC796F">
              <w:rPr>
                <w:rFonts w:eastAsia="Times New Roman" w:cs="Arial"/>
                <w:b/>
                <w:spacing w:val="-2"/>
                <w:sz w:val="14"/>
                <w:szCs w:val="14"/>
              </w:rPr>
              <w:t>Amount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4C35646A" w14:textId="77777777" w:rsidR="00931938" w:rsidRPr="00B05866"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375A24E1" w14:textId="77777777" w:rsidR="00931938" w:rsidRPr="00B05866"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DC796F">
              <w:rPr>
                <w:rFonts w:eastAsia="Times New Roman" w:cs="Arial"/>
                <w:b/>
                <w:spacing w:val="-2"/>
                <w:sz w:val="14"/>
                <w:szCs w:val="14"/>
              </w:rPr>
              <w:t>Amount</w:t>
            </w:r>
          </w:p>
        </w:tc>
        <w:tc>
          <w:tcPr>
            <w:tcW w:w="1182" w:type="dxa"/>
            <w:tcBorders>
              <w:top w:val="single" w:sz="2" w:space="0" w:color="1F4E79" w:themeColor="accent1" w:themeShade="80"/>
              <w:bottom w:val="single" w:sz="2" w:space="0" w:color="1F4E79" w:themeColor="accent1" w:themeShade="80"/>
            </w:tcBorders>
            <w:shd w:val="clear" w:color="auto" w:fill="auto"/>
            <w:vAlign w:val="center"/>
            <w:hideMark/>
          </w:tcPr>
          <w:p w14:paraId="18459492" w14:textId="77777777" w:rsidR="00931938" w:rsidRPr="00B05866"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r>
      <w:tr w:rsidR="00931938" w:rsidRPr="00B05866" w14:paraId="1F4C00EF" w14:textId="77777777" w:rsidTr="00AA7FC3">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themeColor="accent1" w:themeShade="80"/>
              <w:bottom w:val="nil"/>
            </w:tcBorders>
            <w:shd w:val="clear" w:color="auto" w:fill="auto"/>
            <w:vAlign w:val="center"/>
            <w:hideMark/>
          </w:tcPr>
          <w:p w14:paraId="74BDECE5" w14:textId="77777777" w:rsidR="00931938" w:rsidRPr="00040CC8" w:rsidRDefault="00931938" w:rsidP="00AA7FC3">
            <w:pPr>
              <w:keepNext/>
              <w:keepLines/>
              <w:spacing w:before="40" w:after="40"/>
              <w:rPr>
                <w:rFonts w:eastAsia="Times New Roman" w:cs="Arial"/>
                <w:b w:val="0"/>
                <w:spacing w:val="-2"/>
                <w:sz w:val="14"/>
                <w:szCs w:val="14"/>
              </w:rPr>
            </w:pPr>
            <w:r w:rsidRPr="00040CC8">
              <w:rPr>
                <w:rFonts w:eastAsia="Times New Roman" w:cs="Arial"/>
                <w:b w:val="0"/>
                <w:spacing w:val="-2"/>
                <w:sz w:val="14"/>
                <w:szCs w:val="14"/>
              </w:rPr>
              <w:t>BB Seguros</w:t>
            </w:r>
          </w:p>
        </w:tc>
        <w:tc>
          <w:tcPr>
            <w:tcW w:w="1181" w:type="dxa"/>
            <w:tcBorders>
              <w:top w:val="single" w:sz="2" w:space="0" w:color="1F4E79" w:themeColor="accent1" w:themeShade="80"/>
              <w:bottom w:val="nil"/>
            </w:tcBorders>
            <w:shd w:val="clear" w:color="auto" w:fill="auto"/>
            <w:vAlign w:val="center"/>
            <w:hideMark/>
          </w:tcPr>
          <w:p w14:paraId="3535F977"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107</w:t>
            </w:r>
            <w:r>
              <w:rPr>
                <w:rFonts w:eastAsia="Times New Roman" w:cs="Arial"/>
                <w:color w:val="auto"/>
                <w:spacing w:val="-2"/>
                <w:sz w:val="14"/>
                <w:szCs w:val="18"/>
              </w:rPr>
              <w:t>,</w:t>
            </w:r>
            <w:r w:rsidRPr="00040CC8">
              <w:rPr>
                <w:rFonts w:eastAsia="Times New Roman" w:cs="Arial"/>
                <w:color w:val="auto"/>
                <w:spacing w:val="-2"/>
                <w:sz w:val="14"/>
                <w:szCs w:val="18"/>
              </w:rPr>
              <w:t>989</w:t>
            </w:r>
            <w:r>
              <w:rPr>
                <w:rFonts w:eastAsia="Times New Roman" w:cs="Arial"/>
                <w:color w:val="auto"/>
                <w:spacing w:val="-2"/>
                <w:sz w:val="14"/>
                <w:szCs w:val="18"/>
              </w:rPr>
              <w:t>,</w:t>
            </w:r>
            <w:r w:rsidRPr="00040CC8">
              <w:rPr>
                <w:rFonts w:eastAsia="Times New Roman" w:cs="Arial"/>
                <w:color w:val="auto"/>
                <w:spacing w:val="-2"/>
                <w:sz w:val="14"/>
                <w:szCs w:val="18"/>
              </w:rPr>
              <w:t>204</w:t>
            </w:r>
          </w:p>
        </w:tc>
        <w:tc>
          <w:tcPr>
            <w:tcW w:w="1181" w:type="dxa"/>
            <w:tcBorders>
              <w:top w:val="single" w:sz="2" w:space="0" w:color="1F4E79" w:themeColor="accent1" w:themeShade="80"/>
              <w:bottom w:val="nil"/>
            </w:tcBorders>
            <w:shd w:val="clear" w:color="auto" w:fill="auto"/>
            <w:vAlign w:val="center"/>
            <w:hideMark/>
          </w:tcPr>
          <w:p w14:paraId="72B00FD6"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49</w:t>
            </w:r>
            <w:r>
              <w:rPr>
                <w:rFonts w:eastAsia="Times New Roman" w:cs="Arial"/>
                <w:spacing w:val="-2"/>
                <w:sz w:val="14"/>
                <w:szCs w:val="18"/>
              </w:rPr>
              <w:t>.</w:t>
            </w:r>
            <w:r w:rsidRPr="00040CC8">
              <w:rPr>
                <w:rFonts w:eastAsia="Times New Roman" w:cs="Arial"/>
                <w:spacing w:val="-2"/>
                <w:sz w:val="14"/>
                <w:szCs w:val="18"/>
              </w:rPr>
              <w:t>99</w:t>
            </w:r>
            <w:r>
              <w:rPr>
                <w:rFonts w:eastAsia="Times New Roman" w:cs="Arial"/>
                <w:spacing w:val="-2"/>
                <w:sz w:val="14"/>
                <w:szCs w:val="18"/>
              </w:rPr>
              <w:t>2</w:t>
            </w:r>
          </w:p>
        </w:tc>
        <w:tc>
          <w:tcPr>
            <w:tcW w:w="1181" w:type="dxa"/>
            <w:tcBorders>
              <w:top w:val="single" w:sz="2" w:space="0" w:color="1F4E79" w:themeColor="accent1" w:themeShade="80"/>
              <w:bottom w:val="nil"/>
            </w:tcBorders>
            <w:shd w:val="clear" w:color="auto" w:fill="auto"/>
            <w:vAlign w:val="center"/>
            <w:hideMark/>
          </w:tcPr>
          <w:p w14:paraId="675C7B20"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159</w:t>
            </w:r>
            <w:r>
              <w:rPr>
                <w:rFonts w:eastAsia="Times New Roman" w:cs="Arial"/>
                <w:color w:val="auto"/>
                <w:spacing w:val="-2"/>
                <w:sz w:val="14"/>
                <w:szCs w:val="18"/>
              </w:rPr>
              <w:t>,</w:t>
            </w:r>
            <w:r w:rsidRPr="00040CC8">
              <w:rPr>
                <w:rFonts w:eastAsia="Times New Roman" w:cs="Arial"/>
                <w:color w:val="auto"/>
                <w:spacing w:val="-2"/>
                <w:sz w:val="14"/>
                <w:szCs w:val="18"/>
              </w:rPr>
              <w:t>308</w:t>
            </w:r>
            <w:r>
              <w:rPr>
                <w:rFonts w:eastAsia="Times New Roman" w:cs="Arial"/>
                <w:color w:val="auto"/>
                <w:spacing w:val="-2"/>
                <w:sz w:val="14"/>
                <w:szCs w:val="18"/>
              </w:rPr>
              <w:t>,</w:t>
            </w:r>
            <w:r w:rsidRPr="00040CC8">
              <w:rPr>
                <w:rFonts w:eastAsia="Times New Roman" w:cs="Arial"/>
                <w:color w:val="auto"/>
                <w:spacing w:val="-2"/>
                <w:sz w:val="14"/>
                <w:szCs w:val="18"/>
              </w:rPr>
              <w:t>075</w:t>
            </w:r>
          </w:p>
        </w:tc>
        <w:tc>
          <w:tcPr>
            <w:tcW w:w="1181" w:type="dxa"/>
            <w:tcBorders>
              <w:top w:val="single" w:sz="2" w:space="0" w:color="1F4E79" w:themeColor="accent1" w:themeShade="80"/>
              <w:bottom w:val="nil"/>
            </w:tcBorders>
            <w:shd w:val="clear" w:color="auto" w:fill="auto"/>
            <w:vAlign w:val="center"/>
            <w:hideMark/>
          </w:tcPr>
          <w:p w14:paraId="61EC7A87"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86</w:t>
            </w:r>
            <w:r>
              <w:rPr>
                <w:rFonts w:eastAsia="Times New Roman" w:cs="Arial"/>
                <w:spacing w:val="-2"/>
                <w:sz w:val="14"/>
                <w:szCs w:val="18"/>
              </w:rPr>
              <w:t>.</w:t>
            </w:r>
            <w:r w:rsidRPr="00040CC8">
              <w:rPr>
                <w:rFonts w:eastAsia="Times New Roman" w:cs="Arial"/>
                <w:spacing w:val="-2"/>
                <w:sz w:val="14"/>
                <w:szCs w:val="18"/>
              </w:rPr>
              <w:t>4</w:t>
            </w:r>
            <w:r>
              <w:rPr>
                <w:rFonts w:eastAsia="Times New Roman" w:cs="Arial"/>
                <w:spacing w:val="-2"/>
                <w:sz w:val="14"/>
                <w:szCs w:val="18"/>
              </w:rPr>
              <w:t xml:space="preserve">26 </w:t>
            </w:r>
            <w:r w:rsidRPr="00042200">
              <w:rPr>
                <w:rFonts w:eastAsia="Times New Roman" w:cs="Arial"/>
                <w:spacing w:val="-2"/>
                <w:sz w:val="14"/>
                <w:szCs w:val="18"/>
                <w:vertAlign w:val="superscript"/>
              </w:rPr>
              <w:t>(1)</w:t>
            </w:r>
          </w:p>
        </w:tc>
        <w:tc>
          <w:tcPr>
            <w:tcW w:w="1181" w:type="dxa"/>
            <w:tcBorders>
              <w:top w:val="single" w:sz="2" w:space="0" w:color="1F4E79" w:themeColor="accent1" w:themeShade="80"/>
              <w:bottom w:val="nil"/>
            </w:tcBorders>
            <w:shd w:val="clear" w:color="auto" w:fill="auto"/>
            <w:vAlign w:val="center"/>
            <w:hideMark/>
          </w:tcPr>
          <w:p w14:paraId="48256934"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267</w:t>
            </w:r>
            <w:r>
              <w:rPr>
                <w:rFonts w:eastAsia="Times New Roman" w:cs="Arial"/>
                <w:color w:val="auto"/>
                <w:spacing w:val="-2"/>
                <w:sz w:val="14"/>
                <w:szCs w:val="18"/>
              </w:rPr>
              <w:t>,</w:t>
            </w:r>
            <w:r w:rsidRPr="00040CC8">
              <w:rPr>
                <w:rFonts w:eastAsia="Times New Roman" w:cs="Arial"/>
                <w:color w:val="auto"/>
                <w:spacing w:val="-2"/>
                <w:sz w:val="14"/>
                <w:szCs w:val="18"/>
              </w:rPr>
              <w:t>297</w:t>
            </w:r>
            <w:r>
              <w:rPr>
                <w:rFonts w:eastAsia="Times New Roman" w:cs="Arial"/>
                <w:color w:val="auto"/>
                <w:spacing w:val="-2"/>
                <w:sz w:val="14"/>
                <w:szCs w:val="18"/>
              </w:rPr>
              <w:t>,</w:t>
            </w:r>
            <w:r w:rsidRPr="00040CC8">
              <w:rPr>
                <w:rFonts w:eastAsia="Times New Roman" w:cs="Arial"/>
                <w:color w:val="auto"/>
                <w:spacing w:val="-2"/>
                <w:sz w:val="14"/>
                <w:szCs w:val="18"/>
              </w:rPr>
              <w:t>279</w:t>
            </w:r>
          </w:p>
        </w:tc>
        <w:tc>
          <w:tcPr>
            <w:tcW w:w="1182" w:type="dxa"/>
            <w:tcBorders>
              <w:top w:val="single" w:sz="2" w:space="0" w:color="1F4E79" w:themeColor="accent1" w:themeShade="80"/>
              <w:bottom w:val="nil"/>
            </w:tcBorders>
            <w:shd w:val="clear" w:color="auto" w:fill="auto"/>
            <w:vAlign w:val="center"/>
            <w:hideMark/>
          </w:tcPr>
          <w:p w14:paraId="5E41D9C3"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66</w:t>
            </w:r>
            <w:r>
              <w:rPr>
                <w:rFonts w:eastAsia="Times New Roman" w:cs="Arial"/>
                <w:spacing w:val="-2"/>
                <w:sz w:val="14"/>
                <w:szCs w:val="18"/>
              </w:rPr>
              <w:t>.</w:t>
            </w:r>
            <w:r w:rsidRPr="00040CC8">
              <w:rPr>
                <w:rFonts w:eastAsia="Times New Roman" w:cs="Arial"/>
                <w:spacing w:val="-2"/>
                <w:sz w:val="14"/>
                <w:szCs w:val="18"/>
              </w:rPr>
              <w:t>7</w:t>
            </w:r>
            <w:r>
              <w:rPr>
                <w:rFonts w:eastAsia="Times New Roman" w:cs="Arial"/>
                <w:spacing w:val="-2"/>
                <w:sz w:val="14"/>
                <w:szCs w:val="18"/>
              </w:rPr>
              <w:t xml:space="preserve">68 </w:t>
            </w:r>
            <w:r w:rsidRPr="00042200">
              <w:rPr>
                <w:rFonts w:eastAsia="Times New Roman" w:cs="Arial"/>
                <w:spacing w:val="-2"/>
                <w:sz w:val="14"/>
                <w:szCs w:val="18"/>
                <w:vertAlign w:val="superscript"/>
              </w:rPr>
              <w:t>(1)</w:t>
            </w:r>
          </w:p>
        </w:tc>
      </w:tr>
      <w:tr w:rsidR="00931938" w:rsidRPr="00B05866" w14:paraId="580ACACC" w14:textId="77777777" w:rsidTr="00AA7FC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center"/>
            <w:hideMark/>
          </w:tcPr>
          <w:p w14:paraId="41CC844D" w14:textId="77777777" w:rsidR="00931938" w:rsidRPr="00040CC8" w:rsidRDefault="00931938" w:rsidP="00AA7FC3">
            <w:pPr>
              <w:keepNext/>
              <w:keepLines/>
              <w:spacing w:before="40" w:after="40"/>
              <w:rPr>
                <w:rFonts w:eastAsia="Times New Roman" w:cs="Arial"/>
                <w:b w:val="0"/>
                <w:spacing w:val="-2"/>
                <w:sz w:val="14"/>
                <w:szCs w:val="18"/>
              </w:rPr>
            </w:pPr>
            <w:r w:rsidRPr="00040CC8">
              <w:rPr>
                <w:rFonts w:eastAsia="Times New Roman" w:cs="Arial"/>
                <w:b w:val="0"/>
                <w:spacing w:val="-2"/>
                <w:sz w:val="14"/>
                <w:szCs w:val="18"/>
              </w:rPr>
              <w:t>Icatu</w:t>
            </w:r>
          </w:p>
        </w:tc>
        <w:tc>
          <w:tcPr>
            <w:tcW w:w="1181" w:type="dxa"/>
            <w:tcBorders>
              <w:top w:val="nil"/>
              <w:bottom w:val="nil"/>
            </w:tcBorders>
            <w:shd w:val="clear" w:color="auto" w:fill="auto"/>
            <w:vAlign w:val="center"/>
            <w:hideMark/>
          </w:tcPr>
          <w:p w14:paraId="5DFC4FA5"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54</w:t>
            </w:r>
            <w:r>
              <w:rPr>
                <w:rFonts w:eastAsia="Times New Roman" w:cs="Arial"/>
                <w:color w:val="auto"/>
                <w:spacing w:val="-2"/>
                <w:sz w:val="14"/>
                <w:szCs w:val="18"/>
              </w:rPr>
              <w:t>,</w:t>
            </w:r>
            <w:r w:rsidRPr="00040CC8">
              <w:rPr>
                <w:rFonts w:eastAsia="Times New Roman" w:cs="Arial"/>
                <w:color w:val="auto"/>
                <w:spacing w:val="-2"/>
                <w:sz w:val="14"/>
                <w:szCs w:val="18"/>
              </w:rPr>
              <w:t>010</w:t>
            </w:r>
            <w:r>
              <w:rPr>
                <w:rFonts w:eastAsia="Times New Roman" w:cs="Arial"/>
                <w:color w:val="auto"/>
                <w:spacing w:val="-2"/>
                <w:sz w:val="14"/>
                <w:szCs w:val="18"/>
              </w:rPr>
              <w:t>,</w:t>
            </w:r>
            <w:r w:rsidRPr="00040CC8">
              <w:rPr>
                <w:rFonts w:eastAsia="Times New Roman" w:cs="Arial"/>
                <w:color w:val="auto"/>
                <w:spacing w:val="-2"/>
                <w:sz w:val="14"/>
                <w:szCs w:val="18"/>
              </w:rPr>
              <w:t>799</w:t>
            </w:r>
          </w:p>
        </w:tc>
        <w:tc>
          <w:tcPr>
            <w:tcW w:w="1181" w:type="dxa"/>
            <w:tcBorders>
              <w:top w:val="nil"/>
              <w:bottom w:val="nil"/>
            </w:tcBorders>
            <w:shd w:val="clear" w:color="auto" w:fill="auto"/>
            <w:vAlign w:val="center"/>
            <w:hideMark/>
          </w:tcPr>
          <w:p w14:paraId="33884655"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25</w:t>
            </w:r>
            <w:r>
              <w:rPr>
                <w:rFonts w:eastAsia="Times New Roman" w:cs="Arial"/>
                <w:spacing w:val="-2"/>
                <w:sz w:val="14"/>
                <w:szCs w:val="18"/>
              </w:rPr>
              <w:t>.</w:t>
            </w:r>
            <w:r w:rsidRPr="00040CC8">
              <w:rPr>
                <w:rFonts w:eastAsia="Times New Roman" w:cs="Arial"/>
                <w:spacing w:val="-2"/>
                <w:sz w:val="14"/>
                <w:szCs w:val="18"/>
              </w:rPr>
              <w:t>00</w:t>
            </w:r>
            <w:r>
              <w:rPr>
                <w:rFonts w:eastAsia="Times New Roman" w:cs="Arial"/>
                <w:spacing w:val="-2"/>
                <w:sz w:val="14"/>
                <w:szCs w:val="18"/>
              </w:rPr>
              <w:t>4</w:t>
            </w:r>
          </w:p>
        </w:tc>
        <w:tc>
          <w:tcPr>
            <w:tcW w:w="1181" w:type="dxa"/>
            <w:tcBorders>
              <w:top w:val="nil"/>
              <w:bottom w:val="nil"/>
            </w:tcBorders>
            <w:shd w:val="clear" w:color="auto" w:fill="auto"/>
            <w:vAlign w:val="center"/>
            <w:hideMark/>
          </w:tcPr>
          <w:p w14:paraId="0DFEF91C"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12</w:t>
            </w:r>
            <w:r>
              <w:rPr>
                <w:rFonts w:eastAsia="Times New Roman" w:cs="Arial"/>
                <w:color w:val="auto"/>
                <w:spacing w:val="-2"/>
                <w:sz w:val="14"/>
                <w:szCs w:val="18"/>
              </w:rPr>
              <w:t>,</w:t>
            </w:r>
            <w:r w:rsidRPr="00040CC8">
              <w:rPr>
                <w:rFonts w:eastAsia="Times New Roman" w:cs="Arial"/>
                <w:color w:val="auto"/>
                <w:spacing w:val="-2"/>
                <w:sz w:val="14"/>
                <w:szCs w:val="18"/>
              </w:rPr>
              <w:t>833</w:t>
            </w:r>
            <w:r>
              <w:rPr>
                <w:rFonts w:eastAsia="Times New Roman" w:cs="Arial"/>
                <w:color w:val="auto"/>
                <w:spacing w:val="-2"/>
                <w:sz w:val="14"/>
                <w:szCs w:val="18"/>
              </w:rPr>
              <w:t>,</w:t>
            </w:r>
            <w:r w:rsidRPr="00040CC8">
              <w:rPr>
                <w:rFonts w:eastAsia="Times New Roman" w:cs="Arial"/>
                <w:color w:val="auto"/>
                <w:spacing w:val="-2"/>
                <w:sz w:val="14"/>
                <w:szCs w:val="18"/>
              </w:rPr>
              <w:t>569</w:t>
            </w:r>
          </w:p>
        </w:tc>
        <w:tc>
          <w:tcPr>
            <w:tcW w:w="1181" w:type="dxa"/>
            <w:tcBorders>
              <w:top w:val="nil"/>
              <w:bottom w:val="nil"/>
            </w:tcBorders>
            <w:shd w:val="clear" w:color="auto" w:fill="auto"/>
            <w:vAlign w:val="center"/>
            <w:hideMark/>
          </w:tcPr>
          <w:p w14:paraId="09A74C91"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w:t>
            </w:r>
            <w:r>
              <w:rPr>
                <w:rFonts w:eastAsia="Times New Roman" w:cs="Arial"/>
                <w:spacing w:val="-2"/>
                <w:sz w:val="14"/>
                <w:szCs w:val="18"/>
              </w:rPr>
              <w:t>.</w:t>
            </w:r>
            <w:r w:rsidRPr="00040CC8">
              <w:rPr>
                <w:rFonts w:eastAsia="Times New Roman" w:cs="Arial"/>
                <w:spacing w:val="-2"/>
                <w:sz w:val="14"/>
                <w:szCs w:val="18"/>
              </w:rPr>
              <w:t>96</w:t>
            </w:r>
            <w:r>
              <w:rPr>
                <w:rFonts w:eastAsia="Times New Roman" w:cs="Arial"/>
                <w:spacing w:val="-2"/>
                <w:sz w:val="14"/>
                <w:szCs w:val="18"/>
              </w:rPr>
              <w:t xml:space="preserve">2 </w:t>
            </w:r>
            <w:r w:rsidRPr="00042200">
              <w:rPr>
                <w:rFonts w:eastAsia="Times New Roman" w:cs="Arial"/>
                <w:spacing w:val="-2"/>
                <w:sz w:val="14"/>
                <w:szCs w:val="18"/>
                <w:vertAlign w:val="superscript"/>
              </w:rPr>
              <w:t>(2)</w:t>
            </w:r>
          </w:p>
        </w:tc>
        <w:tc>
          <w:tcPr>
            <w:tcW w:w="1181" w:type="dxa"/>
            <w:tcBorders>
              <w:top w:val="nil"/>
              <w:bottom w:val="nil"/>
            </w:tcBorders>
            <w:shd w:val="clear" w:color="auto" w:fill="auto"/>
            <w:vAlign w:val="center"/>
            <w:hideMark/>
          </w:tcPr>
          <w:p w14:paraId="7230FC49"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66</w:t>
            </w:r>
            <w:r>
              <w:rPr>
                <w:rFonts w:eastAsia="Times New Roman" w:cs="Arial"/>
                <w:color w:val="auto"/>
                <w:spacing w:val="-2"/>
                <w:sz w:val="14"/>
                <w:szCs w:val="18"/>
              </w:rPr>
              <w:t>,</w:t>
            </w:r>
            <w:r w:rsidRPr="00040CC8">
              <w:rPr>
                <w:rFonts w:eastAsia="Times New Roman" w:cs="Arial"/>
                <w:color w:val="auto"/>
                <w:spacing w:val="-2"/>
                <w:sz w:val="14"/>
                <w:szCs w:val="18"/>
              </w:rPr>
              <w:t>844</w:t>
            </w:r>
            <w:r>
              <w:rPr>
                <w:rFonts w:eastAsia="Times New Roman" w:cs="Arial"/>
                <w:color w:val="auto"/>
                <w:spacing w:val="-2"/>
                <w:sz w:val="14"/>
                <w:szCs w:val="18"/>
              </w:rPr>
              <w:t>,</w:t>
            </w:r>
            <w:r w:rsidRPr="00040CC8">
              <w:rPr>
                <w:rFonts w:eastAsia="Times New Roman" w:cs="Arial"/>
                <w:color w:val="auto"/>
                <w:spacing w:val="-2"/>
                <w:sz w:val="14"/>
                <w:szCs w:val="18"/>
              </w:rPr>
              <w:t>368</w:t>
            </w:r>
          </w:p>
        </w:tc>
        <w:tc>
          <w:tcPr>
            <w:tcW w:w="1182" w:type="dxa"/>
            <w:tcBorders>
              <w:top w:val="nil"/>
              <w:bottom w:val="nil"/>
            </w:tcBorders>
            <w:shd w:val="clear" w:color="auto" w:fill="auto"/>
            <w:vAlign w:val="center"/>
            <w:hideMark/>
          </w:tcPr>
          <w:p w14:paraId="5C4B83C4"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16</w:t>
            </w:r>
            <w:r>
              <w:rPr>
                <w:rFonts w:eastAsia="Times New Roman" w:cs="Arial"/>
                <w:spacing w:val="-2"/>
                <w:sz w:val="14"/>
                <w:szCs w:val="18"/>
              </w:rPr>
              <w:t>.69</w:t>
            </w:r>
            <w:r w:rsidRPr="00040CC8">
              <w:rPr>
                <w:rFonts w:eastAsia="Times New Roman" w:cs="Arial"/>
                <w:spacing w:val="-2"/>
                <w:sz w:val="14"/>
                <w:szCs w:val="18"/>
              </w:rPr>
              <w:t>7</w:t>
            </w:r>
            <w:r>
              <w:rPr>
                <w:rFonts w:eastAsia="Times New Roman" w:cs="Arial"/>
                <w:spacing w:val="-2"/>
                <w:sz w:val="14"/>
                <w:szCs w:val="18"/>
              </w:rPr>
              <w:t xml:space="preserve"> </w:t>
            </w:r>
            <w:r w:rsidRPr="00042200">
              <w:rPr>
                <w:rFonts w:eastAsia="Times New Roman" w:cs="Arial"/>
                <w:spacing w:val="-2"/>
                <w:sz w:val="14"/>
                <w:szCs w:val="18"/>
                <w:vertAlign w:val="superscript"/>
              </w:rPr>
              <w:t>(2)</w:t>
            </w:r>
          </w:p>
        </w:tc>
      </w:tr>
      <w:tr w:rsidR="00931938" w:rsidRPr="00B05866" w14:paraId="6BCD0D7E" w14:textId="77777777" w:rsidTr="00AA7FC3">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center"/>
          </w:tcPr>
          <w:p w14:paraId="3112D0B9" w14:textId="77777777" w:rsidR="00931938" w:rsidRPr="00040CC8" w:rsidRDefault="00931938" w:rsidP="00AA7FC3">
            <w:pPr>
              <w:keepNext/>
              <w:keepLines/>
              <w:spacing w:before="40" w:after="40"/>
              <w:rPr>
                <w:rFonts w:eastAsia="Times New Roman" w:cs="Arial"/>
                <w:b w:val="0"/>
                <w:spacing w:val="-2"/>
                <w:sz w:val="14"/>
                <w:szCs w:val="18"/>
              </w:rPr>
            </w:pPr>
            <w:r w:rsidRPr="00040CC8">
              <w:rPr>
                <w:rFonts w:eastAsia="Times New Roman" w:cs="Arial"/>
                <w:b w:val="0"/>
                <w:spacing w:val="-2"/>
                <w:sz w:val="14"/>
                <w:szCs w:val="18"/>
              </w:rPr>
              <w:t>Aliança da Bahia</w:t>
            </w:r>
          </w:p>
        </w:tc>
        <w:tc>
          <w:tcPr>
            <w:tcW w:w="1181" w:type="dxa"/>
            <w:tcBorders>
              <w:top w:val="nil"/>
              <w:bottom w:val="nil"/>
            </w:tcBorders>
            <w:shd w:val="clear" w:color="auto" w:fill="auto"/>
            <w:vAlign w:val="center"/>
          </w:tcPr>
          <w:p w14:paraId="39DE102A"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51</w:t>
            </w:r>
            <w:r>
              <w:rPr>
                <w:rFonts w:eastAsia="Times New Roman" w:cs="Arial"/>
                <w:color w:val="auto"/>
                <w:spacing w:val="-2"/>
                <w:sz w:val="14"/>
                <w:szCs w:val="18"/>
              </w:rPr>
              <w:t>,</w:t>
            </w:r>
            <w:r w:rsidRPr="00040CC8">
              <w:rPr>
                <w:rFonts w:eastAsia="Times New Roman" w:cs="Arial"/>
                <w:color w:val="auto"/>
                <w:spacing w:val="-2"/>
                <w:sz w:val="14"/>
                <w:szCs w:val="18"/>
              </w:rPr>
              <w:t>292</w:t>
            </w:r>
            <w:r>
              <w:rPr>
                <w:rFonts w:eastAsia="Times New Roman" w:cs="Arial"/>
                <w:color w:val="auto"/>
                <w:spacing w:val="-2"/>
                <w:sz w:val="14"/>
                <w:szCs w:val="18"/>
              </w:rPr>
              <w:t>,</w:t>
            </w:r>
            <w:r w:rsidRPr="00040CC8">
              <w:rPr>
                <w:rFonts w:eastAsia="Times New Roman" w:cs="Arial"/>
                <w:color w:val="auto"/>
                <w:spacing w:val="-2"/>
                <w:sz w:val="14"/>
                <w:szCs w:val="18"/>
              </w:rPr>
              <w:t>002</w:t>
            </w:r>
          </w:p>
        </w:tc>
        <w:tc>
          <w:tcPr>
            <w:tcW w:w="1181" w:type="dxa"/>
            <w:tcBorders>
              <w:top w:val="nil"/>
              <w:bottom w:val="nil"/>
            </w:tcBorders>
            <w:shd w:val="clear" w:color="auto" w:fill="auto"/>
            <w:vAlign w:val="center"/>
          </w:tcPr>
          <w:p w14:paraId="171EF5A0"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23</w:t>
            </w:r>
            <w:r>
              <w:rPr>
                <w:rFonts w:eastAsia="Times New Roman" w:cs="Arial"/>
                <w:spacing w:val="-2"/>
                <w:sz w:val="14"/>
                <w:szCs w:val="18"/>
              </w:rPr>
              <w:t>.</w:t>
            </w:r>
            <w:r w:rsidRPr="00040CC8">
              <w:rPr>
                <w:rFonts w:eastAsia="Times New Roman" w:cs="Arial"/>
                <w:spacing w:val="-2"/>
                <w:sz w:val="14"/>
                <w:szCs w:val="18"/>
              </w:rPr>
              <w:t>7</w:t>
            </w:r>
            <w:r>
              <w:rPr>
                <w:rFonts w:eastAsia="Times New Roman" w:cs="Arial"/>
                <w:spacing w:val="-2"/>
                <w:sz w:val="14"/>
                <w:szCs w:val="18"/>
              </w:rPr>
              <w:t>4</w:t>
            </w:r>
            <w:r w:rsidRPr="00040CC8">
              <w:rPr>
                <w:rFonts w:eastAsia="Times New Roman" w:cs="Arial"/>
                <w:spacing w:val="-2"/>
                <w:sz w:val="14"/>
                <w:szCs w:val="18"/>
              </w:rPr>
              <w:t>5</w:t>
            </w:r>
          </w:p>
        </w:tc>
        <w:tc>
          <w:tcPr>
            <w:tcW w:w="1181" w:type="dxa"/>
            <w:tcBorders>
              <w:top w:val="nil"/>
              <w:bottom w:val="nil"/>
            </w:tcBorders>
            <w:shd w:val="clear" w:color="auto" w:fill="auto"/>
            <w:vAlign w:val="center"/>
          </w:tcPr>
          <w:p w14:paraId="19C1B0DA"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12</w:t>
            </w:r>
            <w:r>
              <w:rPr>
                <w:rFonts w:eastAsia="Times New Roman" w:cs="Arial"/>
                <w:color w:val="auto"/>
                <w:spacing w:val="-2"/>
                <w:sz w:val="14"/>
                <w:szCs w:val="18"/>
              </w:rPr>
              <w:t>,</w:t>
            </w:r>
            <w:r w:rsidRPr="00040CC8">
              <w:rPr>
                <w:rFonts w:eastAsia="Times New Roman" w:cs="Arial"/>
                <w:color w:val="auto"/>
                <w:spacing w:val="-2"/>
                <w:sz w:val="14"/>
                <w:szCs w:val="18"/>
              </w:rPr>
              <w:t>187</w:t>
            </w:r>
            <w:r>
              <w:rPr>
                <w:rFonts w:eastAsia="Times New Roman" w:cs="Arial"/>
                <w:color w:val="auto"/>
                <w:spacing w:val="-2"/>
                <w:sz w:val="14"/>
                <w:szCs w:val="18"/>
              </w:rPr>
              <w:t>,</w:t>
            </w:r>
            <w:r w:rsidRPr="00040CC8">
              <w:rPr>
                <w:rFonts w:eastAsia="Times New Roman" w:cs="Arial"/>
                <w:color w:val="auto"/>
                <w:spacing w:val="-2"/>
                <w:sz w:val="14"/>
                <w:szCs w:val="18"/>
              </w:rPr>
              <w:t>552</w:t>
            </w:r>
          </w:p>
        </w:tc>
        <w:tc>
          <w:tcPr>
            <w:tcW w:w="1181" w:type="dxa"/>
            <w:tcBorders>
              <w:top w:val="nil"/>
              <w:bottom w:val="nil"/>
            </w:tcBorders>
            <w:shd w:val="clear" w:color="auto" w:fill="auto"/>
            <w:vAlign w:val="center"/>
          </w:tcPr>
          <w:p w14:paraId="36AA57BD"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w:t>
            </w:r>
            <w:r>
              <w:rPr>
                <w:rFonts w:eastAsia="Times New Roman" w:cs="Arial"/>
                <w:spacing w:val="-2"/>
                <w:sz w:val="14"/>
                <w:szCs w:val="18"/>
              </w:rPr>
              <w:t>.</w:t>
            </w:r>
            <w:r w:rsidRPr="00040CC8">
              <w:rPr>
                <w:rFonts w:eastAsia="Times New Roman" w:cs="Arial"/>
                <w:spacing w:val="-2"/>
                <w:sz w:val="14"/>
                <w:szCs w:val="18"/>
              </w:rPr>
              <w:t>61</w:t>
            </w:r>
            <w:r>
              <w:rPr>
                <w:rFonts w:eastAsia="Times New Roman" w:cs="Arial"/>
                <w:spacing w:val="-2"/>
                <w:sz w:val="14"/>
                <w:szCs w:val="18"/>
              </w:rPr>
              <w:t xml:space="preserve">2 </w:t>
            </w:r>
            <w:r w:rsidRPr="00042200">
              <w:rPr>
                <w:rFonts w:eastAsia="Times New Roman" w:cs="Arial"/>
                <w:spacing w:val="-2"/>
                <w:sz w:val="14"/>
                <w:szCs w:val="18"/>
                <w:vertAlign w:val="superscript"/>
              </w:rPr>
              <w:t>(3)</w:t>
            </w:r>
          </w:p>
        </w:tc>
        <w:tc>
          <w:tcPr>
            <w:tcW w:w="1181" w:type="dxa"/>
            <w:tcBorders>
              <w:top w:val="nil"/>
              <w:bottom w:val="nil"/>
            </w:tcBorders>
            <w:shd w:val="clear" w:color="auto" w:fill="auto"/>
            <w:vAlign w:val="center"/>
          </w:tcPr>
          <w:p w14:paraId="3FF4BE82"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63</w:t>
            </w:r>
            <w:r>
              <w:rPr>
                <w:rFonts w:eastAsia="Times New Roman" w:cs="Arial"/>
                <w:color w:val="auto"/>
                <w:spacing w:val="-2"/>
                <w:sz w:val="14"/>
                <w:szCs w:val="18"/>
              </w:rPr>
              <w:t>,</w:t>
            </w:r>
            <w:r w:rsidRPr="00040CC8">
              <w:rPr>
                <w:rFonts w:eastAsia="Times New Roman" w:cs="Arial"/>
                <w:color w:val="auto"/>
                <w:spacing w:val="-2"/>
                <w:sz w:val="14"/>
                <w:szCs w:val="18"/>
              </w:rPr>
              <w:t>479</w:t>
            </w:r>
            <w:r>
              <w:rPr>
                <w:rFonts w:eastAsia="Times New Roman" w:cs="Arial"/>
                <w:color w:val="auto"/>
                <w:spacing w:val="-2"/>
                <w:sz w:val="14"/>
                <w:szCs w:val="18"/>
              </w:rPr>
              <w:t>,</w:t>
            </w:r>
            <w:r w:rsidRPr="00040CC8">
              <w:rPr>
                <w:rFonts w:eastAsia="Times New Roman" w:cs="Arial"/>
                <w:color w:val="auto"/>
                <w:spacing w:val="-2"/>
                <w:sz w:val="14"/>
                <w:szCs w:val="18"/>
              </w:rPr>
              <w:t>554</w:t>
            </w:r>
          </w:p>
        </w:tc>
        <w:tc>
          <w:tcPr>
            <w:tcW w:w="1182" w:type="dxa"/>
            <w:tcBorders>
              <w:top w:val="nil"/>
              <w:bottom w:val="nil"/>
            </w:tcBorders>
            <w:shd w:val="clear" w:color="auto" w:fill="auto"/>
            <w:vAlign w:val="center"/>
          </w:tcPr>
          <w:p w14:paraId="2B3D5AB1" w14:textId="77777777" w:rsidR="00931938" w:rsidRPr="00040CC8"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15</w:t>
            </w:r>
            <w:r>
              <w:rPr>
                <w:rFonts w:eastAsia="Times New Roman" w:cs="Arial"/>
                <w:spacing w:val="-2"/>
                <w:sz w:val="14"/>
                <w:szCs w:val="18"/>
              </w:rPr>
              <w:t>.</w:t>
            </w:r>
            <w:r w:rsidRPr="00040CC8">
              <w:rPr>
                <w:rFonts w:eastAsia="Times New Roman" w:cs="Arial"/>
                <w:spacing w:val="-2"/>
                <w:sz w:val="14"/>
                <w:szCs w:val="18"/>
              </w:rPr>
              <w:t>8</w:t>
            </w:r>
            <w:r>
              <w:rPr>
                <w:rFonts w:eastAsia="Times New Roman" w:cs="Arial"/>
                <w:spacing w:val="-2"/>
                <w:sz w:val="14"/>
                <w:szCs w:val="18"/>
              </w:rPr>
              <w:t>5</w:t>
            </w:r>
            <w:r w:rsidRPr="00040CC8">
              <w:rPr>
                <w:rFonts w:eastAsia="Times New Roman" w:cs="Arial"/>
                <w:spacing w:val="-2"/>
                <w:sz w:val="14"/>
                <w:szCs w:val="18"/>
              </w:rPr>
              <w:t>6</w:t>
            </w:r>
            <w:r>
              <w:rPr>
                <w:rFonts w:eastAsia="Times New Roman" w:cs="Arial"/>
                <w:spacing w:val="-2"/>
                <w:sz w:val="14"/>
                <w:szCs w:val="18"/>
              </w:rPr>
              <w:t xml:space="preserve"> </w:t>
            </w:r>
            <w:r w:rsidRPr="00042200">
              <w:rPr>
                <w:rFonts w:eastAsia="Times New Roman" w:cs="Arial"/>
                <w:spacing w:val="-2"/>
                <w:sz w:val="14"/>
                <w:szCs w:val="18"/>
                <w:vertAlign w:val="superscript"/>
              </w:rPr>
              <w:t>(3)</w:t>
            </w:r>
          </w:p>
        </w:tc>
      </w:tr>
      <w:tr w:rsidR="00931938" w:rsidRPr="00B05866" w14:paraId="08A235CE" w14:textId="77777777" w:rsidTr="00AA7FC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bottom"/>
          </w:tcPr>
          <w:p w14:paraId="348B88C5" w14:textId="77777777" w:rsidR="00931938" w:rsidRPr="00040CC8" w:rsidRDefault="00931938" w:rsidP="00AA7FC3">
            <w:pPr>
              <w:keepNext/>
              <w:keepLines/>
              <w:spacing w:before="40" w:after="40"/>
              <w:rPr>
                <w:rFonts w:eastAsia="Times New Roman" w:cs="Arial"/>
                <w:b w:val="0"/>
                <w:spacing w:val="-2"/>
                <w:sz w:val="14"/>
                <w:szCs w:val="18"/>
              </w:rPr>
            </w:pPr>
            <w:r>
              <w:rPr>
                <w:rFonts w:eastAsia="Times New Roman" w:cs="Arial"/>
                <w:b w:val="0"/>
                <w:sz w:val="14"/>
                <w:szCs w:val="14"/>
                <w:lang w:eastAsia="pt-BR"/>
              </w:rPr>
              <w:t>M</w:t>
            </w:r>
            <w:r w:rsidRPr="0042577F">
              <w:rPr>
                <w:rFonts w:eastAsia="Times New Roman" w:cs="Arial"/>
                <w:b w:val="0"/>
                <w:sz w:val="14"/>
                <w:szCs w:val="14"/>
                <w:lang w:eastAsia="pt-BR"/>
              </w:rPr>
              <w:t>inority</w:t>
            </w:r>
          </w:p>
        </w:tc>
        <w:tc>
          <w:tcPr>
            <w:tcW w:w="1181" w:type="dxa"/>
            <w:tcBorders>
              <w:top w:val="nil"/>
              <w:bottom w:val="nil"/>
            </w:tcBorders>
            <w:shd w:val="clear" w:color="auto" w:fill="auto"/>
            <w:vAlign w:val="center"/>
          </w:tcPr>
          <w:p w14:paraId="680AB9EB"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w:t>
            </w:r>
            <w:r>
              <w:rPr>
                <w:rFonts w:eastAsia="Times New Roman" w:cs="Arial"/>
                <w:color w:val="auto"/>
                <w:spacing w:val="-2"/>
                <w:sz w:val="14"/>
                <w:szCs w:val="18"/>
              </w:rPr>
              <w:t>,</w:t>
            </w:r>
            <w:r w:rsidRPr="00040CC8">
              <w:rPr>
                <w:rFonts w:eastAsia="Times New Roman" w:cs="Arial"/>
                <w:color w:val="auto"/>
                <w:spacing w:val="-2"/>
                <w:sz w:val="14"/>
                <w:szCs w:val="18"/>
              </w:rPr>
              <w:t>718</w:t>
            </w:r>
            <w:r>
              <w:rPr>
                <w:rFonts w:eastAsia="Times New Roman" w:cs="Arial"/>
                <w:color w:val="auto"/>
                <w:spacing w:val="-2"/>
                <w:sz w:val="14"/>
                <w:szCs w:val="18"/>
              </w:rPr>
              <w:t>,</w:t>
            </w:r>
            <w:r w:rsidRPr="00040CC8">
              <w:rPr>
                <w:rFonts w:eastAsia="Times New Roman" w:cs="Arial"/>
                <w:color w:val="auto"/>
                <w:spacing w:val="-2"/>
                <w:sz w:val="14"/>
                <w:szCs w:val="18"/>
              </w:rPr>
              <w:t>799</w:t>
            </w:r>
          </w:p>
        </w:tc>
        <w:tc>
          <w:tcPr>
            <w:tcW w:w="1181" w:type="dxa"/>
            <w:tcBorders>
              <w:top w:val="nil"/>
              <w:bottom w:val="nil"/>
            </w:tcBorders>
            <w:shd w:val="clear" w:color="auto" w:fill="auto"/>
            <w:vAlign w:val="center"/>
          </w:tcPr>
          <w:p w14:paraId="7E8B49BA"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w:t>
            </w:r>
            <w:r>
              <w:rPr>
                <w:rFonts w:eastAsia="Times New Roman" w:cs="Arial"/>
                <w:spacing w:val="-2"/>
                <w:sz w:val="14"/>
                <w:szCs w:val="18"/>
              </w:rPr>
              <w:t>.</w:t>
            </w:r>
            <w:r w:rsidRPr="00040CC8">
              <w:rPr>
                <w:rFonts w:eastAsia="Times New Roman" w:cs="Arial"/>
                <w:spacing w:val="-2"/>
                <w:sz w:val="14"/>
                <w:szCs w:val="18"/>
              </w:rPr>
              <w:t>2</w:t>
            </w:r>
            <w:r>
              <w:rPr>
                <w:rFonts w:eastAsia="Times New Roman" w:cs="Arial"/>
                <w:spacing w:val="-2"/>
                <w:sz w:val="14"/>
                <w:szCs w:val="18"/>
              </w:rPr>
              <w:t>59</w:t>
            </w:r>
          </w:p>
        </w:tc>
        <w:tc>
          <w:tcPr>
            <w:tcW w:w="1181" w:type="dxa"/>
            <w:tcBorders>
              <w:top w:val="nil"/>
              <w:bottom w:val="nil"/>
            </w:tcBorders>
            <w:shd w:val="clear" w:color="auto" w:fill="auto"/>
            <w:vAlign w:val="center"/>
          </w:tcPr>
          <w:p w14:paraId="40987136"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w:t>
            </w:r>
          </w:p>
        </w:tc>
        <w:tc>
          <w:tcPr>
            <w:tcW w:w="1181" w:type="dxa"/>
            <w:tcBorders>
              <w:top w:val="nil"/>
              <w:bottom w:val="nil"/>
            </w:tcBorders>
            <w:shd w:val="clear" w:color="auto" w:fill="auto"/>
            <w:vAlign w:val="center"/>
          </w:tcPr>
          <w:p w14:paraId="333BFC36"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w:t>
            </w:r>
          </w:p>
        </w:tc>
        <w:tc>
          <w:tcPr>
            <w:tcW w:w="1181" w:type="dxa"/>
            <w:tcBorders>
              <w:top w:val="nil"/>
              <w:bottom w:val="nil"/>
            </w:tcBorders>
            <w:shd w:val="clear" w:color="auto" w:fill="auto"/>
            <w:vAlign w:val="center"/>
          </w:tcPr>
          <w:p w14:paraId="1F47640F"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w:t>
            </w:r>
            <w:r>
              <w:rPr>
                <w:rFonts w:eastAsia="Times New Roman" w:cs="Arial"/>
                <w:color w:val="auto"/>
                <w:spacing w:val="-2"/>
                <w:sz w:val="14"/>
                <w:szCs w:val="18"/>
              </w:rPr>
              <w:t>,</w:t>
            </w:r>
            <w:r w:rsidRPr="00040CC8">
              <w:rPr>
                <w:rFonts w:eastAsia="Times New Roman" w:cs="Arial"/>
                <w:color w:val="auto"/>
                <w:spacing w:val="-2"/>
                <w:sz w:val="14"/>
                <w:szCs w:val="18"/>
              </w:rPr>
              <w:t>718</w:t>
            </w:r>
            <w:r>
              <w:rPr>
                <w:rFonts w:eastAsia="Times New Roman" w:cs="Arial"/>
                <w:color w:val="auto"/>
                <w:spacing w:val="-2"/>
                <w:sz w:val="14"/>
                <w:szCs w:val="18"/>
              </w:rPr>
              <w:t>,</w:t>
            </w:r>
            <w:r w:rsidRPr="00040CC8">
              <w:rPr>
                <w:rFonts w:eastAsia="Times New Roman" w:cs="Arial"/>
                <w:color w:val="auto"/>
                <w:spacing w:val="-2"/>
                <w:sz w:val="14"/>
                <w:szCs w:val="18"/>
              </w:rPr>
              <w:t>799</w:t>
            </w:r>
          </w:p>
        </w:tc>
        <w:tc>
          <w:tcPr>
            <w:tcW w:w="1182" w:type="dxa"/>
            <w:tcBorders>
              <w:top w:val="nil"/>
              <w:bottom w:val="nil"/>
            </w:tcBorders>
            <w:shd w:val="clear" w:color="auto" w:fill="auto"/>
            <w:vAlign w:val="center"/>
          </w:tcPr>
          <w:p w14:paraId="10D64F05" w14:textId="77777777" w:rsidR="00931938" w:rsidRPr="00040CC8" w:rsidRDefault="00931938" w:rsidP="00AA7FC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0</w:t>
            </w:r>
            <w:r>
              <w:rPr>
                <w:rFonts w:eastAsia="Times New Roman" w:cs="Arial"/>
                <w:spacing w:val="-2"/>
                <w:sz w:val="14"/>
                <w:szCs w:val="18"/>
              </w:rPr>
              <w:t>.</w:t>
            </w:r>
            <w:r w:rsidRPr="00040CC8">
              <w:rPr>
                <w:rFonts w:eastAsia="Times New Roman" w:cs="Arial"/>
                <w:spacing w:val="-2"/>
                <w:sz w:val="14"/>
                <w:szCs w:val="18"/>
              </w:rPr>
              <w:t>6</w:t>
            </w:r>
            <w:r>
              <w:rPr>
                <w:rFonts w:eastAsia="Times New Roman" w:cs="Arial"/>
                <w:spacing w:val="-2"/>
                <w:sz w:val="14"/>
                <w:szCs w:val="18"/>
              </w:rPr>
              <w:t>79</w:t>
            </w:r>
          </w:p>
        </w:tc>
      </w:tr>
      <w:tr w:rsidR="00931938" w:rsidRPr="00375AF3" w14:paraId="4B1D9239" w14:textId="77777777" w:rsidTr="00AA7FC3">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2" w:space="0" w:color="1F4E79" w:themeColor="accent1" w:themeShade="80"/>
            </w:tcBorders>
            <w:shd w:val="clear" w:color="auto" w:fill="auto"/>
            <w:vAlign w:val="center"/>
            <w:hideMark/>
          </w:tcPr>
          <w:p w14:paraId="51F6E226" w14:textId="77777777" w:rsidR="00931938" w:rsidRPr="00375AF3" w:rsidRDefault="00931938" w:rsidP="00AA7FC3">
            <w:pPr>
              <w:keepNext/>
              <w:keepLines/>
              <w:spacing w:before="40" w:after="40"/>
              <w:rPr>
                <w:rFonts w:eastAsia="Times New Roman" w:cs="Arial"/>
                <w:spacing w:val="-2"/>
                <w:sz w:val="14"/>
                <w:szCs w:val="14"/>
              </w:rPr>
            </w:pPr>
            <w:r w:rsidRPr="00375AF3">
              <w:rPr>
                <w:rFonts w:eastAsia="Times New Roman" w:cs="Arial"/>
                <w:spacing w:val="-2"/>
                <w:sz w:val="14"/>
                <w:szCs w:val="14"/>
              </w:rPr>
              <w:t>Total</w:t>
            </w:r>
          </w:p>
        </w:tc>
        <w:tc>
          <w:tcPr>
            <w:tcW w:w="1181" w:type="dxa"/>
            <w:tcBorders>
              <w:top w:val="nil"/>
              <w:bottom w:val="single" w:sz="2" w:space="0" w:color="1F4E79" w:themeColor="accent1" w:themeShade="80"/>
            </w:tcBorders>
            <w:shd w:val="clear" w:color="auto" w:fill="auto"/>
            <w:vAlign w:val="center"/>
            <w:hideMark/>
          </w:tcPr>
          <w:p w14:paraId="074E9C22" w14:textId="77777777" w:rsidR="00931938" w:rsidRPr="00375AF3"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131713">
              <w:rPr>
                <w:rFonts w:eastAsia="Times New Roman" w:cs="Arial"/>
                <w:b/>
                <w:bCs/>
                <w:color w:val="000000"/>
                <w:sz w:val="14"/>
                <w:szCs w:val="14"/>
                <w:lang w:eastAsia="pt-BR"/>
              </w:rPr>
              <w:t>216</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010</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804</w:t>
            </w:r>
          </w:p>
        </w:tc>
        <w:tc>
          <w:tcPr>
            <w:tcW w:w="1181" w:type="dxa"/>
            <w:tcBorders>
              <w:top w:val="nil"/>
              <w:bottom w:val="single" w:sz="2" w:space="0" w:color="1F4E79" w:themeColor="accent1" w:themeShade="80"/>
            </w:tcBorders>
            <w:shd w:val="clear" w:color="auto" w:fill="auto"/>
            <w:vAlign w:val="center"/>
            <w:hideMark/>
          </w:tcPr>
          <w:p w14:paraId="6DC86D09" w14:textId="77777777" w:rsidR="00931938" w:rsidRPr="00375AF3"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w:t>
            </w:r>
            <w:r>
              <w:rPr>
                <w:rFonts w:eastAsia="Times New Roman" w:cs="Arial"/>
                <w:b/>
                <w:spacing w:val="-2"/>
                <w:sz w:val="14"/>
                <w:szCs w:val="18"/>
              </w:rPr>
              <w:t>.</w:t>
            </w:r>
            <w:r w:rsidRPr="00375AF3">
              <w:rPr>
                <w:rFonts w:eastAsia="Times New Roman" w:cs="Arial"/>
                <w:b/>
                <w:spacing w:val="-2"/>
                <w:sz w:val="14"/>
                <w:szCs w:val="18"/>
              </w:rPr>
              <w:t>000</w:t>
            </w:r>
          </w:p>
        </w:tc>
        <w:tc>
          <w:tcPr>
            <w:tcW w:w="1181" w:type="dxa"/>
            <w:tcBorders>
              <w:top w:val="nil"/>
              <w:bottom w:val="single" w:sz="2" w:space="0" w:color="1F4E79" w:themeColor="accent1" w:themeShade="80"/>
            </w:tcBorders>
            <w:shd w:val="clear" w:color="auto" w:fill="auto"/>
            <w:vAlign w:val="center"/>
            <w:hideMark/>
          </w:tcPr>
          <w:p w14:paraId="3D0BE450" w14:textId="77777777" w:rsidR="00931938" w:rsidRPr="00375AF3"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131713">
              <w:rPr>
                <w:rFonts w:eastAsia="Times New Roman" w:cs="Arial"/>
                <w:b/>
                <w:bCs/>
                <w:color w:val="000000"/>
                <w:sz w:val="14"/>
                <w:szCs w:val="14"/>
                <w:lang w:eastAsia="pt-BR"/>
              </w:rPr>
              <w:t>184</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329</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196</w:t>
            </w:r>
          </w:p>
        </w:tc>
        <w:tc>
          <w:tcPr>
            <w:tcW w:w="1181" w:type="dxa"/>
            <w:tcBorders>
              <w:top w:val="nil"/>
              <w:bottom w:val="single" w:sz="2" w:space="0" w:color="1F4E79" w:themeColor="accent1" w:themeShade="80"/>
            </w:tcBorders>
            <w:shd w:val="clear" w:color="auto" w:fill="auto"/>
            <w:vAlign w:val="center"/>
            <w:hideMark/>
          </w:tcPr>
          <w:p w14:paraId="0C42963A" w14:textId="77777777" w:rsidR="00931938" w:rsidRPr="00375AF3"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w:t>
            </w:r>
            <w:r>
              <w:rPr>
                <w:rFonts w:eastAsia="Times New Roman" w:cs="Arial"/>
                <w:b/>
                <w:spacing w:val="-2"/>
                <w:sz w:val="14"/>
                <w:szCs w:val="18"/>
              </w:rPr>
              <w:t>.</w:t>
            </w:r>
            <w:r w:rsidRPr="00375AF3">
              <w:rPr>
                <w:rFonts w:eastAsia="Times New Roman" w:cs="Arial"/>
                <w:b/>
                <w:spacing w:val="-2"/>
                <w:sz w:val="14"/>
                <w:szCs w:val="18"/>
              </w:rPr>
              <w:t>000</w:t>
            </w:r>
          </w:p>
        </w:tc>
        <w:tc>
          <w:tcPr>
            <w:tcW w:w="1181" w:type="dxa"/>
            <w:tcBorders>
              <w:top w:val="nil"/>
              <w:bottom w:val="single" w:sz="2" w:space="0" w:color="1F4E79" w:themeColor="accent1" w:themeShade="80"/>
            </w:tcBorders>
            <w:shd w:val="clear" w:color="auto" w:fill="auto"/>
            <w:vAlign w:val="center"/>
            <w:hideMark/>
          </w:tcPr>
          <w:p w14:paraId="7189D548" w14:textId="77777777" w:rsidR="00931938" w:rsidRPr="00375AF3"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131713">
              <w:rPr>
                <w:rFonts w:eastAsia="Times New Roman" w:cs="Arial"/>
                <w:b/>
                <w:bCs/>
                <w:color w:val="000000"/>
                <w:sz w:val="14"/>
                <w:szCs w:val="14"/>
                <w:lang w:eastAsia="pt-BR"/>
              </w:rPr>
              <w:t>400</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340</w:t>
            </w:r>
            <w:r>
              <w:rPr>
                <w:rFonts w:eastAsia="Times New Roman" w:cs="Arial"/>
                <w:b/>
                <w:bCs/>
                <w:color w:val="000000"/>
                <w:sz w:val="14"/>
                <w:szCs w:val="14"/>
                <w:lang w:eastAsia="pt-BR"/>
              </w:rPr>
              <w:t>,</w:t>
            </w:r>
            <w:r w:rsidRPr="00131713">
              <w:rPr>
                <w:rFonts w:eastAsia="Times New Roman" w:cs="Arial"/>
                <w:b/>
                <w:bCs/>
                <w:color w:val="000000"/>
                <w:sz w:val="14"/>
                <w:szCs w:val="14"/>
                <w:lang w:eastAsia="pt-BR"/>
              </w:rPr>
              <w:t>000</w:t>
            </w:r>
          </w:p>
        </w:tc>
        <w:tc>
          <w:tcPr>
            <w:tcW w:w="1182" w:type="dxa"/>
            <w:tcBorders>
              <w:top w:val="nil"/>
              <w:bottom w:val="single" w:sz="2" w:space="0" w:color="1F4E79" w:themeColor="accent1" w:themeShade="80"/>
            </w:tcBorders>
            <w:shd w:val="clear" w:color="auto" w:fill="auto"/>
            <w:vAlign w:val="center"/>
            <w:hideMark/>
          </w:tcPr>
          <w:p w14:paraId="4FC81D6C" w14:textId="77777777" w:rsidR="00931938" w:rsidRPr="00375AF3" w:rsidRDefault="00931938" w:rsidP="00AA7FC3">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w:t>
            </w:r>
            <w:r>
              <w:rPr>
                <w:rFonts w:eastAsia="Times New Roman" w:cs="Arial"/>
                <w:b/>
                <w:spacing w:val="-2"/>
                <w:sz w:val="14"/>
                <w:szCs w:val="18"/>
              </w:rPr>
              <w:t>.</w:t>
            </w:r>
            <w:r w:rsidRPr="00375AF3">
              <w:rPr>
                <w:rFonts w:eastAsia="Times New Roman" w:cs="Arial"/>
                <w:b/>
                <w:spacing w:val="-2"/>
                <w:sz w:val="14"/>
                <w:szCs w:val="18"/>
              </w:rPr>
              <w:t>000</w:t>
            </w:r>
          </w:p>
        </w:tc>
      </w:tr>
    </w:tbl>
    <w:p w14:paraId="487F7451" w14:textId="77777777" w:rsidR="00931938" w:rsidRPr="00931938" w:rsidRDefault="00931938" w:rsidP="00E06161">
      <w:pPr>
        <w:pStyle w:val="07-Legenda"/>
        <w:rPr>
          <w:lang w:val="en-US"/>
        </w:rPr>
      </w:pPr>
      <w:r w:rsidRPr="00931938">
        <w:rPr>
          <w:lang w:val="en-US"/>
        </w:rPr>
        <w:t>(1)</w:t>
      </w:r>
      <w:r w:rsidRPr="00931938">
        <w:rPr>
          <w:lang w:val="en-US"/>
        </w:rPr>
        <w:tab/>
        <w:t>86.192% of preferred shares and 66.660% of the Total, on Dec 31, 2021.</w:t>
      </w:r>
    </w:p>
    <w:p w14:paraId="5C9E1892" w14:textId="77777777" w:rsidR="00931938" w:rsidRPr="00931938" w:rsidRDefault="00931938" w:rsidP="00E06161">
      <w:pPr>
        <w:pStyle w:val="07-Legenda"/>
        <w:rPr>
          <w:lang w:val="en-US"/>
        </w:rPr>
      </w:pPr>
      <w:r w:rsidRPr="00931938">
        <w:rPr>
          <w:lang w:val="en-US"/>
        </w:rPr>
        <w:t>(2)</w:t>
      </w:r>
      <w:r w:rsidRPr="00931938">
        <w:rPr>
          <w:lang w:val="en-US"/>
        </w:rPr>
        <w:tab/>
        <w:t>7.082% of preferred shares and 16.752% of the Total, on Dec 31, 2021.</w:t>
      </w:r>
    </w:p>
    <w:p w14:paraId="38218E61" w14:textId="77777777" w:rsidR="00931938" w:rsidRPr="00931938" w:rsidRDefault="00931938" w:rsidP="00E06161">
      <w:pPr>
        <w:pStyle w:val="07-Legenda"/>
        <w:rPr>
          <w:lang w:val="en-US"/>
        </w:rPr>
      </w:pPr>
      <w:r w:rsidRPr="00931938">
        <w:rPr>
          <w:lang w:val="en-US"/>
        </w:rPr>
        <w:t>(3)</w:t>
      </w:r>
      <w:r w:rsidRPr="00931938">
        <w:rPr>
          <w:lang w:val="en-US"/>
        </w:rPr>
        <w:tab/>
        <w:t>6.726% of preferred shares and 15.909% of the Total, on Dec 31, 2021.</w:t>
      </w:r>
    </w:p>
    <w:p w14:paraId="7A5FE3F2" w14:textId="77777777" w:rsidR="00931938" w:rsidRPr="00931938" w:rsidRDefault="00931938" w:rsidP="00D1698F">
      <w:pPr>
        <w:pStyle w:val="05-Textonormal"/>
        <w:rPr>
          <w:lang w:val="en-US"/>
        </w:rPr>
      </w:pPr>
    </w:p>
    <w:p w14:paraId="120F174D" w14:textId="07142F13" w:rsidR="005357C6" w:rsidRPr="00D3472F" w:rsidRDefault="005357C6" w:rsidP="00FC4475">
      <w:pPr>
        <w:pStyle w:val="Ttulo1"/>
      </w:pPr>
      <w:bookmarkStart w:id="24" w:name="_Toc126781094"/>
      <w:bookmarkStart w:id="25" w:name="OLE_LINK1"/>
      <w:r w:rsidRPr="00D3472F">
        <w:t>3 – PRESENTATION OF FINANCIAL STATEMENTS</w:t>
      </w:r>
      <w:bookmarkEnd w:id="24"/>
    </w:p>
    <w:p w14:paraId="67FDA7E2" w14:textId="77777777" w:rsidR="005357C6" w:rsidRPr="00181C9B" w:rsidRDefault="005357C6" w:rsidP="0046511C">
      <w:pPr>
        <w:pStyle w:val="03-SubttulodeNota"/>
        <w:rPr>
          <w:color w:val="1F4E79" w:themeColor="accent1" w:themeShade="80"/>
          <w:sz w:val="18"/>
          <w:lang w:val="en-US"/>
        </w:rPr>
      </w:pPr>
      <w:r w:rsidRPr="00181C9B">
        <w:rPr>
          <w:color w:val="1F4E79" w:themeColor="accent1" w:themeShade="80"/>
          <w:sz w:val="18"/>
          <w:lang w:val="en-US"/>
        </w:rPr>
        <w:t>a) Statement of Compliance</w:t>
      </w:r>
    </w:p>
    <w:p w14:paraId="091E6AD0" w14:textId="77777777" w:rsidR="005357C6" w:rsidRPr="000F6F5F" w:rsidRDefault="005357C6" w:rsidP="005E5527">
      <w:pPr>
        <w:pStyle w:val="05-Textonormal"/>
        <w:rPr>
          <w:lang w:val="en-US"/>
        </w:rPr>
      </w:pPr>
      <w:r w:rsidRPr="009D7FD0">
        <w:rPr>
          <w:lang w:val="en-US"/>
        </w:rPr>
        <w:t xml:space="preserve">The individual financial statements have been prepared in accordance with the accounting guidelines derived from Brazilian corporation law and are </w:t>
      </w:r>
      <w:r w:rsidRPr="000F6F5F">
        <w:rPr>
          <w:lang w:val="en-US"/>
        </w:rPr>
        <w:t>presented in compliance with accounting practices adopted in Brazil, including pronouncements issued by the Comitê de Pronunciamentos Contábeis – CPC (Accounting Pronouncements Committee), approved by Conselho Federal de Contabilidade – CFC (Federal Accounting Council)</w:t>
      </w:r>
      <w:r>
        <w:rPr>
          <w:lang w:val="en-US"/>
        </w:rPr>
        <w:t>.</w:t>
      </w:r>
    </w:p>
    <w:p w14:paraId="6EF45BA4" w14:textId="77777777" w:rsidR="005357C6" w:rsidRPr="000F6F5F" w:rsidRDefault="005357C6" w:rsidP="005E5527">
      <w:pPr>
        <w:pStyle w:val="05-Textonormal"/>
        <w:rPr>
          <w:lang w:val="en-US"/>
        </w:rPr>
      </w:pPr>
      <w:r w:rsidRPr="000F6F5F">
        <w:rPr>
          <w:lang w:val="en-US"/>
        </w:rPr>
        <w:t>The consolidated financial statements have been prepared in accordance with International Financial Reporting Standards (IFRS), issued by the International Accounting Standards Board (IASB)</w:t>
      </w:r>
      <w:r>
        <w:rPr>
          <w:lang w:val="en-US"/>
        </w:rPr>
        <w:t>.</w:t>
      </w:r>
    </w:p>
    <w:p w14:paraId="2F6C979E" w14:textId="77777777" w:rsidR="005357C6" w:rsidRPr="009D7FD0" w:rsidRDefault="005357C6" w:rsidP="00CB214C">
      <w:pPr>
        <w:pStyle w:val="05-Textonormal"/>
        <w:keepNext/>
        <w:keepLines/>
        <w:rPr>
          <w:lang w:val="en-US"/>
        </w:rPr>
      </w:pPr>
      <w:r w:rsidRPr="000F6F5F">
        <w:rPr>
          <w:lang w:val="en-US"/>
        </w:rPr>
        <w:t>There are no divergences in accounting practices adopted for these individual and consolidated financial statements, given that the conformity between of the accounting standards adopted in Brazil and those issued by the IASB</w:t>
      </w:r>
      <w:r>
        <w:rPr>
          <w:lang w:val="en-US"/>
        </w:rPr>
        <w:t>.</w:t>
      </w:r>
    </w:p>
    <w:p w14:paraId="740157BF" w14:textId="77777777" w:rsidR="005357C6" w:rsidRPr="00E06C01" w:rsidRDefault="005357C6" w:rsidP="00E656CD">
      <w:pPr>
        <w:pStyle w:val="05-Textonormal"/>
        <w:keepNext/>
        <w:keepLines/>
        <w:rPr>
          <w:lang w:val="en-US"/>
        </w:rPr>
      </w:pPr>
      <w:r w:rsidRPr="000F6F5F">
        <w:rPr>
          <w:lang w:val="en-US"/>
        </w:rPr>
        <w:t xml:space="preserve">All the relevant information specific to the financial statements are evidenced and correspond to those used by Management </w:t>
      </w:r>
      <w:r w:rsidRPr="00E06C01">
        <w:rPr>
          <w:lang w:val="en-US"/>
        </w:rPr>
        <w:t>in its management</w:t>
      </w:r>
      <w:r>
        <w:rPr>
          <w:lang w:val="en-US"/>
        </w:rPr>
        <w:t>.</w:t>
      </w:r>
    </w:p>
    <w:p w14:paraId="729021EF" w14:textId="77777777" w:rsidR="005357C6" w:rsidRDefault="005357C6" w:rsidP="00CB214C">
      <w:pPr>
        <w:pStyle w:val="05-Textonormal"/>
        <w:keepNext/>
        <w:keepLines/>
        <w:rPr>
          <w:lang w:val="en-US"/>
        </w:rPr>
      </w:pPr>
      <w:r w:rsidRPr="00E06C01">
        <w:rPr>
          <w:lang w:val="en-US"/>
        </w:rPr>
        <w:t xml:space="preserve">These financial statements were approved and authorized by BB Seguridade's Board of Directors on </w:t>
      </w:r>
      <w:r w:rsidRPr="00977656">
        <w:rPr>
          <w:lang w:val="en-US"/>
        </w:rPr>
        <w:t>February</w:t>
      </w:r>
      <w:r>
        <w:rPr>
          <w:lang w:val="en-US"/>
        </w:rPr>
        <w:t xml:space="preserve"> 08</w:t>
      </w:r>
      <w:r w:rsidRPr="00E06C01">
        <w:rPr>
          <w:lang w:val="en-US"/>
        </w:rPr>
        <w:t>, 202</w:t>
      </w:r>
      <w:r>
        <w:rPr>
          <w:lang w:val="en-US"/>
        </w:rPr>
        <w:t>3.</w:t>
      </w:r>
    </w:p>
    <w:p w14:paraId="1E72CF3A" w14:textId="77777777" w:rsidR="005357C6" w:rsidRPr="00181C9B" w:rsidRDefault="005357C6" w:rsidP="0046511C">
      <w:pPr>
        <w:pStyle w:val="03-SubttulodeNota"/>
        <w:rPr>
          <w:color w:val="1F4E79" w:themeColor="accent1" w:themeShade="80"/>
          <w:sz w:val="18"/>
          <w:szCs w:val="18"/>
          <w:lang w:val="en-US"/>
        </w:rPr>
      </w:pPr>
      <w:r w:rsidRPr="00181C9B">
        <w:rPr>
          <w:color w:val="1F4E79" w:themeColor="accent1" w:themeShade="80"/>
          <w:sz w:val="18"/>
          <w:szCs w:val="18"/>
          <w:lang w:val="en-US"/>
        </w:rPr>
        <w:t>b) Continuity</w:t>
      </w:r>
    </w:p>
    <w:p w14:paraId="3584B239" w14:textId="77777777" w:rsidR="005357C6" w:rsidRPr="00715A04" w:rsidRDefault="005357C6" w:rsidP="00CB214C">
      <w:pPr>
        <w:pStyle w:val="05-Textonormal1"/>
        <w:rPr>
          <w:lang w:val="en-US"/>
        </w:rPr>
      </w:pPr>
      <w:r w:rsidRPr="000158CB">
        <w:rPr>
          <w:lang w:val="en-US"/>
        </w:rPr>
        <w:t xml:space="preserve">Management evaluated the capacity of BB Seguridade to continue normally operating </w:t>
      </w:r>
      <w:r>
        <w:rPr>
          <w:rStyle w:val="tlid-translation"/>
          <w:lang w:val="en"/>
        </w:rPr>
        <w:t>and it is convinced that it has the resources to continue its business in the future,</w:t>
      </w:r>
      <w:r w:rsidRPr="000158CB">
        <w:rPr>
          <w:lang w:val="en-US"/>
        </w:rPr>
        <w:t xml:space="preserve"> </w:t>
      </w:r>
      <w:r>
        <w:rPr>
          <w:rStyle w:val="tlid-translation"/>
          <w:lang w:val="en"/>
        </w:rPr>
        <w:t>In addition, Management is not aware of any material uncertainties that could generate significant doubts about its ability to continue operating, Accordingly, these consolidated and individual financial statements were prepared based on the assumption of operating continuity.</w:t>
      </w:r>
    </w:p>
    <w:p w14:paraId="3EB5F97E" w14:textId="77777777" w:rsidR="005357C6" w:rsidRPr="00181C9B" w:rsidRDefault="005357C6" w:rsidP="0046511C">
      <w:pPr>
        <w:pStyle w:val="03-SubttulodeNota"/>
        <w:rPr>
          <w:color w:val="1F4E79" w:themeColor="accent1" w:themeShade="80"/>
          <w:sz w:val="18"/>
          <w:szCs w:val="18"/>
          <w:lang w:val="en-US"/>
        </w:rPr>
      </w:pPr>
      <w:r w:rsidRPr="00181C9B">
        <w:rPr>
          <w:color w:val="1F4E79" w:themeColor="accent1" w:themeShade="80"/>
          <w:sz w:val="18"/>
          <w:szCs w:val="18"/>
          <w:lang w:val="en-US"/>
        </w:rPr>
        <w:t>c) Measurement Basis of Assets and Liabilities</w:t>
      </w:r>
    </w:p>
    <w:p w14:paraId="663126DF" w14:textId="77777777" w:rsidR="005357C6" w:rsidRPr="00B15324" w:rsidRDefault="005357C6" w:rsidP="00CB214C">
      <w:pPr>
        <w:pStyle w:val="05-Textonormal"/>
        <w:rPr>
          <w:lang w:val="en-US"/>
        </w:rPr>
      </w:pPr>
      <w:r w:rsidRPr="00001B11">
        <w:rPr>
          <w:lang w:val="en-US"/>
        </w:rPr>
        <w:t>These individual and consolidated financial statements have been prepared using historical cost as the measurement basis, except for financial assets measured at fair value through profit or loss</w:t>
      </w:r>
      <w:r>
        <w:rPr>
          <w:lang w:val="en-US"/>
        </w:rPr>
        <w:t>.</w:t>
      </w:r>
    </w:p>
    <w:p w14:paraId="02CEB779" w14:textId="77777777" w:rsidR="001A2EC3" w:rsidRDefault="001A2EC3" w:rsidP="0046511C">
      <w:pPr>
        <w:pStyle w:val="03-SubttulodeNota"/>
        <w:rPr>
          <w:color w:val="1F4E79" w:themeColor="accent1" w:themeShade="80"/>
          <w:sz w:val="18"/>
          <w:szCs w:val="18"/>
          <w:lang w:val="en-US"/>
        </w:rPr>
      </w:pPr>
    </w:p>
    <w:p w14:paraId="06AD1986" w14:textId="15769F6C" w:rsidR="005357C6" w:rsidRPr="00181C9B" w:rsidRDefault="005357C6" w:rsidP="0046511C">
      <w:pPr>
        <w:pStyle w:val="03-SubttulodeNota"/>
        <w:rPr>
          <w:color w:val="1F4E79" w:themeColor="accent1" w:themeShade="80"/>
          <w:sz w:val="18"/>
          <w:szCs w:val="18"/>
          <w:lang w:val="en-US"/>
        </w:rPr>
      </w:pPr>
      <w:r w:rsidRPr="00181C9B">
        <w:rPr>
          <w:color w:val="1F4E79" w:themeColor="accent1" w:themeShade="80"/>
          <w:sz w:val="18"/>
          <w:szCs w:val="18"/>
          <w:lang w:val="en-US"/>
        </w:rPr>
        <w:lastRenderedPageBreak/>
        <w:t>d) Functional and Presentation Currency</w:t>
      </w:r>
    </w:p>
    <w:p w14:paraId="39B8DB5C" w14:textId="77777777" w:rsidR="005357C6" w:rsidRPr="00181C9B" w:rsidRDefault="005357C6" w:rsidP="0046511C">
      <w:pPr>
        <w:pStyle w:val="03-SubttulodeNota"/>
        <w:rPr>
          <w:b w:val="0"/>
          <w:sz w:val="18"/>
          <w:szCs w:val="18"/>
          <w:lang w:val="en-US"/>
        </w:rPr>
      </w:pPr>
      <w:r w:rsidRPr="00181C9B">
        <w:rPr>
          <w:b w:val="0"/>
          <w:sz w:val="18"/>
          <w:szCs w:val="18"/>
          <w:lang w:val="en-US"/>
        </w:rPr>
        <w:t>The financial statements are presented in Brazilian Reais (R$), the functional and presentation currency of BB Seguridade</w:t>
      </w:r>
      <w:r>
        <w:rPr>
          <w:b w:val="0"/>
          <w:sz w:val="18"/>
          <w:szCs w:val="18"/>
          <w:lang w:val="en-US"/>
        </w:rPr>
        <w:t>,</w:t>
      </w:r>
      <w:r w:rsidRPr="00181C9B">
        <w:rPr>
          <w:b w:val="0"/>
          <w:sz w:val="18"/>
          <w:szCs w:val="18"/>
          <w:lang w:val="en-US"/>
        </w:rPr>
        <w:t xml:space="preserve"> BB Seguridade and subsidiaries did not carry out operations in foreign currency</w:t>
      </w:r>
      <w:r>
        <w:rPr>
          <w:b w:val="0"/>
          <w:sz w:val="18"/>
          <w:szCs w:val="18"/>
          <w:lang w:val="en-US"/>
        </w:rPr>
        <w:t>.</w:t>
      </w:r>
    </w:p>
    <w:p w14:paraId="03C41C50" w14:textId="77777777" w:rsidR="005357C6" w:rsidRPr="00181C9B" w:rsidRDefault="005357C6" w:rsidP="0046511C">
      <w:pPr>
        <w:pStyle w:val="03-SubttulodeNota"/>
        <w:rPr>
          <w:color w:val="1F4E79" w:themeColor="accent1" w:themeShade="80"/>
          <w:sz w:val="18"/>
          <w:szCs w:val="18"/>
          <w:lang w:val="en-US"/>
        </w:rPr>
      </w:pPr>
      <w:r w:rsidRPr="00181C9B">
        <w:rPr>
          <w:color w:val="1F4E79" w:themeColor="accent1" w:themeShade="80"/>
          <w:sz w:val="18"/>
          <w:szCs w:val="18"/>
          <w:lang w:val="en-US"/>
        </w:rPr>
        <w:t>e) Consolidation Basis</w:t>
      </w:r>
    </w:p>
    <w:p w14:paraId="157ECBE8" w14:textId="77777777" w:rsidR="005357C6" w:rsidRDefault="005357C6" w:rsidP="00CB214C">
      <w:pPr>
        <w:pStyle w:val="05-Textonormal"/>
        <w:rPr>
          <w:lang w:val="en-US"/>
        </w:rPr>
      </w:pPr>
      <w:r w:rsidRPr="00B15324">
        <w:rPr>
          <w:lang w:val="en-US"/>
        </w:rPr>
        <w:t xml:space="preserve">The consolidated financial statements of the </w:t>
      </w:r>
      <w:r>
        <w:rPr>
          <w:lang w:val="en-US"/>
        </w:rPr>
        <w:t xml:space="preserve">BB Seguridade and </w:t>
      </w:r>
      <w:r w:rsidRPr="00A01BD8">
        <w:rPr>
          <w:lang w:val="en-US"/>
        </w:rPr>
        <w:t>subsidiaries</w:t>
      </w:r>
      <w:r>
        <w:rPr>
          <w:lang w:val="en-US"/>
        </w:rPr>
        <w:t xml:space="preserve"> are</w:t>
      </w:r>
      <w:r w:rsidRPr="00B15324">
        <w:rPr>
          <w:lang w:val="en-US"/>
        </w:rPr>
        <w:t xml:space="preserve"> include</w:t>
      </w:r>
      <w:r>
        <w:rPr>
          <w:lang w:val="en-US"/>
        </w:rPr>
        <w:t>d</w:t>
      </w:r>
      <w:r w:rsidRPr="00B15324">
        <w:rPr>
          <w:lang w:val="en-US"/>
        </w:rPr>
        <w:t xml:space="preserve"> the consolidation of assets and </w:t>
      </w:r>
      <w:r>
        <w:rPr>
          <w:lang w:val="en-US"/>
        </w:rPr>
        <w:t xml:space="preserve">liabilities from BB Seguridade </w:t>
      </w:r>
      <w:r w:rsidRPr="00B15324">
        <w:rPr>
          <w:lang w:val="en-US"/>
        </w:rPr>
        <w:t xml:space="preserve">and </w:t>
      </w:r>
      <w:r>
        <w:rPr>
          <w:lang w:val="en-US"/>
        </w:rPr>
        <w:t>its</w:t>
      </w:r>
      <w:r w:rsidRPr="00B15324">
        <w:rPr>
          <w:lang w:val="en-US"/>
        </w:rPr>
        <w:t xml:space="preserve"> controlled entities, as follows:</w:t>
      </w:r>
    </w:p>
    <w:tbl>
      <w:tblPr>
        <w:tblStyle w:val="TabeladeLista6Colorida-nfase5"/>
        <w:tblW w:w="9640" w:type="dxa"/>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3698"/>
        <w:gridCol w:w="604"/>
        <w:gridCol w:w="1085"/>
        <w:gridCol w:w="1276"/>
        <w:gridCol w:w="283"/>
        <w:gridCol w:w="1276"/>
        <w:gridCol w:w="1418"/>
      </w:tblGrid>
      <w:tr w:rsidR="005357C6" w:rsidRPr="0048242D" w14:paraId="11678635" w14:textId="77777777" w:rsidTr="00D41EA2">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698" w:type="dxa"/>
            <w:vMerge w:val="restart"/>
            <w:tcBorders>
              <w:bottom w:val="none" w:sz="0" w:space="0" w:color="auto"/>
            </w:tcBorders>
            <w:shd w:val="clear" w:color="auto" w:fill="auto"/>
            <w:vAlign w:val="center"/>
          </w:tcPr>
          <w:p w14:paraId="3C614884" w14:textId="77777777" w:rsidR="005357C6" w:rsidRPr="0048242D" w:rsidRDefault="005357C6" w:rsidP="00C33728">
            <w:pPr>
              <w:pStyle w:val="08-Tabelageral"/>
              <w:jc w:val="left"/>
              <w:rPr>
                <w:rFonts w:cs="Arial"/>
                <w:b w:val="0"/>
                <w:color w:val="auto"/>
                <w:sz w:val="18"/>
              </w:rPr>
            </w:pPr>
            <w:r>
              <w:rPr>
                <w:rFonts w:cs="Arial"/>
                <w:color w:val="auto"/>
              </w:rPr>
              <w:t>Company</w:t>
            </w:r>
          </w:p>
        </w:tc>
        <w:tc>
          <w:tcPr>
            <w:tcW w:w="604" w:type="dxa"/>
            <w:tcBorders>
              <w:bottom w:val="nil"/>
            </w:tcBorders>
            <w:shd w:val="clear" w:color="auto" w:fill="auto"/>
          </w:tcPr>
          <w:p w14:paraId="7B27C37F" w14:textId="77777777" w:rsidR="005357C6" w:rsidRPr="0048242D" w:rsidRDefault="005357C6" w:rsidP="00C33728">
            <w:pPr>
              <w:jc w:val="center"/>
              <w:cnfStyle w:val="100000000000" w:firstRow="1" w:lastRow="0" w:firstColumn="0" w:lastColumn="0" w:oddVBand="0" w:evenVBand="0" w:oddHBand="0" w:evenHBand="0" w:firstRowFirstColumn="0" w:firstRowLastColumn="0" w:lastRowFirstColumn="0" w:lastRowLastColumn="0"/>
              <w:rPr>
                <w:rFonts w:cs="Arial"/>
                <w:b w:val="0"/>
                <w:color w:val="auto"/>
                <w:szCs w:val="18"/>
              </w:rPr>
            </w:pPr>
          </w:p>
        </w:tc>
        <w:tc>
          <w:tcPr>
            <w:tcW w:w="1085" w:type="dxa"/>
            <w:vMerge w:val="restart"/>
            <w:tcBorders>
              <w:bottom w:val="none" w:sz="0" w:space="0" w:color="auto"/>
            </w:tcBorders>
            <w:shd w:val="clear" w:color="auto" w:fill="auto"/>
            <w:vAlign w:val="center"/>
          </w:tcPr>
          <w:p w14:paraId="3F83CD48" w14:textId="77777777" w:rsidR="005357C6" w:rsidRPr="0048242D" w:rsidRDefault="005357C6" w:rsidP="0046511C">
            <w:pPr>
              <w:pStyle w:val="08-Tabelageral"/>
              <w:cnfStyle w:val="100000000000" w:firstRow="1" w:lastRow="0" w:firstColumn="0" w:lastColumn="0" w:oddVBand="0" w:evenVBand="0" w:oddHBand="0" w:evenHBand="0" w:firstRowFirstColumn="0" w:firstRowLastColumn="0" w:lastRowFirstColumn="0" w:lastRowLastColumn="0"/>
              <w:rPr>
                <w:rFonts w:cs="Arial"/>
                <w:bCs w:val="0"/>
                <w:color w:val="auto"/>
              </w:rPr>
            </w:pPr>
            <w:r>
              <w:rPr>
                <w:rFonts w:cs="Arial"/>
                <w:color w:val="auto"/>
              </w:rPr>
              <w:t>Activity</w:t>
            </w:r>
          </w:p>
        </w:tc>
        <w:tc>
          <w:tcPr>
            <w:tcW w:w="1276" w:type="dxa"/>
            <w:vMerge w:val="restart"/>
            <w:tcBorders>
              <w:bottom w:val="none" w:sz="0" w:space="0" w:color="auto"/>
            </w:tcBorders>
            <w:shd w:val="clear" w:color="auto" w:fill="auto"/>
            <w:vAlign w:val="center"/>
          </w:tcPr>
          <w:p w14:paraId="3E671D98" w14:textId="77777777" w:rsidR="005357C6" w:rsidRPr="0048242D" w:rsidRDefault="005357C6" w:rsidP="0046511C">
            <w:pPr>
              <w:pStyle w:val="08-Tabelageral"/>
              <w:cnfStyle w:val="100000000000" w:firstRow="1" w:lastRow="0" w:firstColumn="0" w:lastColumn="0" w:oddVBand="0" w:evenVBand="0" w:oddHBand="0" w:evenHBand="0" w:firstRowFirstColumn="0" w:firstRowLastColumn="0" w:lastRowFirstColumn="0" w:lastRowLastColumn="0"/>
              <w:rPr>
                <w:rFonts w:cs="Arial"/>
                <w:color w:val="auto"/>
              </w:rPr>
            </w:pPr>
            <w:r w:rsidRPr="00E756D3">
              <w:t>Country of constitution</w:t>
            </w:r>
          </w:p>
        </w:tc>
        <w:tc>
          <w:tcPr>
            <w:tcW w:w="283" w:type="dxa"/>
            <w:tcBorders>
              <w:bottom w:val="nil"/>
            </w:tcBorders>
            <w:shd w:val="clear" w:color="auto" w:fill="auto"/>
          </w:tcPr>
          <w:p w14:paraId="14E73347" w14:textId="77777777" w:rsidR="005357C6" w:rsidRPr="0048242D" w:rsidRDefault="005357C6" w:rsidP="00C33728">
            <w:pPr>
              <w:jc w:val="center"/>
              <w:cnfStyle w:val="100000000000" w:firstRow="1" w:lastRow="0" w:firstColumn="0" w:lastColumn="0" w:oddVBand="0" w:evenVBand="0" w:oddHBand="0" w:evenHBand="0" w:firstRowFirstColumn="0" w:firstRowLastColumn="0" w:lastRowFirstColumn="0" w:lastRowLastColumn="0"/>
              <w:rPr>
                <w:rFonts w:cs="Arial"/>
                <w:color w:val="auto"/>
                <w:szCs w:val="18"/>
              </w:rPr>
            </w:pPr>
          </w:p>
        </w:tc>
        <w:tc>
          <w:tcPr>
            <w:tcW w:w="2694" w:type="dxa"/>
            <w:gridSpan w:val="2"/>
            <w:tcBorders>
              <w:bottom w:val="nil"/>
            </w:tcBorders>
            <w:shd w:val="clear" w:color="auto" w:fill="auto"/>
            <w:vAlign w:val="center"/>
          </w:tcPr>
          <w:p w14:paraId="04A6E338" w14:textId="77777777" w:rsidR="005357C6" w:rsidRPr="0048242D" w:rsidRDefault="005357C6" w:rsidP="00CB214C">
            <w:pPr>
              <w:jc w:val="center"/>
              <w:cnfStyle w:val="100000000000" w:firstRow="1" w:lastRow="0" w:firstColumn="0" w:lastColumn="0" w:oddVBand="0" w:evenVBand="0" w:oddHBand="0" w:evenHBand="0" w:firstRowFirstColumn="0" w:firstRowLastColumn="0" w:lastRowFirstColumn="0" w:lastRowLastColumn="0"/>
              <w:rPr>
                <w:rFonts w:cs="Arial"/>
                <w:color w:val="auto"/>
                <w:szCs w:val="18"/>
              </w:rPr>
            </w:pPr>
            <w:r w:rsidRPr="0048242D">
              <w:rPr>
                <w:rFonts w:cs="Arial"/>
                <w:color w:val="auto"/>
                <w:sz w:val="14"/>
                <w:szCs w:val="18"/>
              </w:rPr>
              <w:t xml:space="preserve">% </w:t>
            </w:r>
            <w:r>
              <w:rPr>
                <w:rFonts w:cs="Arial"/>
                <w:color w:val="auto"/>
                <w:sz w:val="14"/>
                <w:szCs w:val="18"/>
              </w:rPr>
              <w:t>Share</w:t>
            </w:r>
          </w:p>
        </w:tc>
      </w:tr>
      <w:tr w:rsidR="005357C6" w:rsidRPr="0048242D" w14:paraId="5239F5A2" w14:textId="77777777" w:rsidTr="00D41EA2">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vMerge/>
            <w:tcBorders>
              <w:bottom w:val="single" w:sz="2" w:space="0" w:color="1F4E79" w:themeColor="accent1" w:themeShade="80"/>
            </w:tcBorders>
            <w:shd w:val="clear" w:color="auto" w:fill="auto"/>
          </w:tcPr>
          <w:p w14:paraId="4B944ED5" w14:textId="77777777" w:rsidR="005357C6" w:rsidRPr="0048242D" w:rsidRDefault="005357C6" w:rsidP="00C33728">
            <w:pPr>
              <w:pStyle w:val="08-Tabelageral"/>
              <w:jc w:val="left"/>
              <w:rPr>
                <w:rFonts w:cs="Arial"/>
                <w:color w:val="auto"/>
              </w:rPr>
            </w:pPr>
          </w:p>
        </w:tc>
        <w:tc>
          <w:tcPr>
            <w:tcW w:w="604" w:type="dxa"/>
            <w:tcBorders>
              <w:top w:val="nil"/>
              <w:bottom w:val="single" w:sz="2" w:space="0" w:color="1F4E79" w:themeColor="accent1" w:themeShade="80"/>
            </w:tcBorders>
            <w:shd w:val="clear" w:color="auto" w:fill="auto"/>
          </w:tcPr>
          <w:p w14:paraId="13A12855" w14:textId="77777777" w:rsidR="005357C6" w:rsidRPr="0048242D" w:rsidRDefault="005357C6" w:rsidP="00C33728">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085" w:type="dxa"/>
            <w:vMerge/>
            <w:tcBorders>
              <w:bottom w:val="single" w:sz="2" w:space="0" w:color="1F4E79" w:themeColor="accent1" w:themeShade="80"/>
            </w:tcBorders>
            <w:shd w:val="clear" w:color="auto" w:fill="auto"/>
          </w:tcPr>
          <w:p w14:paraId="28950E63" w14:textId="77777777" w:rsidR="005357C6" w:rsidRPr="0048242D" w:rsidRDefault="005357C6" w:rsidP="00C33728">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vMerge/>
            <w:tcBorders>
              <w:bottom w:val="single" w:sz="2" w:space="0" w:color="1F4E79" w:themeColor="accent1" w:themeShade="80"/>
            </w:tcBorders>
            <w:shd w:val="clear" w:color="auto" w:fill="auto"/>
          </w:tcPr>
          <w:p w14:paraId="7955A6B5" w14:textId="77777777" w:rsidR="005357C6" w:rsidRPr="0048242D" w:rsidRDefault="005357C6" w:rsidP="00C33728">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283" w:type="dxa"/>
            <w:tcBorders>
              <w:top w:val="nil"/>
              <w:bottom w:val="single" w:sz="2" w:space="0" w:color="1F4E79" w:themeColor="accent1" w:themeShade="80"/>
            </w:tcBorders>
            <w:shd w:val="clear" w:color="auto" w:fill="auto"/>
          </w:tcPr>
          <w:p w14:paraId="65E9572D" w14:textId="77777777" w:rsidR="005357C6" w:rsidRPr="0048242D" w:rsidRDefault="005357C6" w:rsidP="00C33728">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tcBorders>
              <w:top w:val="nil"/>
              <w:bottom w:val="single" w:sz="2" w:space="0" w:color="1F4E79" w:themeColor="accent1" w:themeShade="80"/>
            </w:tcBorders>
            <w:shd w:val="clear" w:color="auto" w:fill="auto"/>
          </w:tcPr>
          <w:p w14:paraId="43C24911" w14:textId="77777777" w:rsidR="005357C6" w:rsidRPr="0048242D" w:rsidRDefault="005357C6" w:rsidP="0093278D">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Dec 31, 2022</w:t>
            </w:r>
          </w:p>
        </w:tc>
        <w:tc>
          <w:tcPr>
            <w:tcW w:w="1418" w:type="dxa"/>
            <w:tcBorders>
              <w:top w:val="nil"/>
              <w:bottom w:val="single" w:sz="2" w:space="0" w:color="1F4E79" w:themeColor="accent1" w:themeShade="80"/>
            </w:tcBorders>
            <w:shd w:val="clear" w:color="auto" w:fill="auto"/>
          </w:tcPr>
          <w:p w14:paraId="0F79E459" w14:textId="77777777" w:rsidR="005357C6" w:rsidRPr="0048242D" w:rsidRDefault="005357C6" w:rsidP="0093278D">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Dec 31, 2021</w:t>
            </w:r>
          </w:p>
        </w:tc>
      </w:tr>
      <w:tr w:rsidR="005357C6" w:rsidRPr="0048242D" w14:paraId="68F25F51" w14:textId="77777777" w:rsidTr="00D41EA2">
        <w:trPr>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bottom w:val="nil"/>
            </w:tcBorders>
            <w:shd w:val="clear" w:color="auto" w:fill="auto"/>
          </w:tcPr>
          <w:p w14:paraId="149136C0" w14:textId="77777777" w:rsidR="005357C6" w:rsidRPr="0048242D" w:rsidRDefault="005357C6" w:rsidP="00C33728">
            <w:pPr>
              <w:pStyle w:val="08-Tabelageral"/>
              <w:jc w:val="left"/>
              <w:rPr>
                <w:rFonts w:cs="Arial"/>
                <w:b w:val="0"/>
                <w:bCs w:val="0"/>
                <w:color w:val="auto"/>
                <w:szCs w:val="14"/>
              </w:rPr>
            </w:pPr>
            <w:r w:rsidRPr="0048242D">
              <w:rPr>
                <w:rFonts w:cs="Arial"/>
                <w:b w:val="0"/>
                <w:color w:val="auto"/>
                <w:szCs w:val="14"/>
              </w:rPr>
              <w:t>BB Seguros</w:t>
            </w:r>
            <w:r>
              <w:rPr>
                <w:rFonts w:cs="Arial"/>
                <w:b w:val="0"/>
                <w:color w:val="auto"/>
                <w:szCs w:val="14"/>
              </w:rPr>
              <w:t xml:space="preserve"> Participações S.A.</w:t>
            </w:r>
          </w:p>
        </w:tc>
        <w:tc>
          <w:tcPr>
            <w:tcW w:w="604" w:type="dxa"/>
            <w:tcBorders>
              <w:bottom w:val="nil"/>
            </w:tcBorders>
            <w:shd w:val="clear" w:color="auto" w:fill="auto"/>
            <w:vAlign w:val="center"/>
          </w:tcPr>
          <w:p w14:paraId="21EE10A2" w14:textId="77777777" w:rsidR="005357C6" w:rsidRPr="0048242D" w:rsidRDefault="005357C6" w:rsidP="00C33728">
            <w:pPr>
              <w:pStyle w:val="08-Tabelageral"/>
              <w:jc w:val="center"/>
              <w:cnfStyle w:val="000000000000" w:firstRow="0" w:lastRow="0" w:firstColumn="0" w:lastColumn="0" w:oddVBand="0" w:evenVBand="0" w:oddHBand="0" w:evenHBand="0" w:firstRowFirstColumn="0" w:firstRowLastColumn="0" w:lastRowFirstColumn="0" w:lastRowLastColumn="0"/>
              <w:rPr>
                <w:rFonts w:cs="Arial"/>
                <w:color w:val="auto"/>
                <w:szCs w:val="14"/>
              </w:rPr>
            </w:pPr>
          </w:p>
        </w:tc>
        <w:tc>
          <w:tcPr>
            <w:tcW w:w="1085" w:type="dxa"/>
            <w:tcBorders>
              <w:bottom w:val="nil"/>
            </w:tcBorders>
            <w:shd w:val="clear" w:color="auto" w:fill="auto"/>
            <w:vAlign w:val="center"/>
          </w:tcPr>
          <w:p w14:paraId="4500E91F" w14:textId="77777777" w:rsidR="005357C6" w:rsidRPr="0048242D" w:rsidRDefault="005357C6" w:rsidP="00C33728">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48242D">
              <w:rPr>
                <w:rFonts w:cs="Arial"/>
                <w:color w:val="auto"/>
                <w:szCs w:val="14"/>
              </w:rPr>
              <w:t>Holding</w:t>
            </w:r>
          </w:p>
        </w:tc>
        <w:tc>
          <w:tcPr>
            <w:tcW w:w="1276" w:type="dxa"/>
            <w:tcBorders>
              <w:bottom w:val="nil"/>
            </w:tcBorders>
            <w:shd w:val="clear" w:color="auto" w:fill="auto"/>
            <w:vAlign w:val="center"/>
          </w:tcPr>
          <w:p w14:paraId="4EFC3509" w14:textId="77777777" w:rsidR="005357C6" w:rsidRPr="0048242D" w:rsidRDefault="005357C6" w:rsidP="00C33728">
            <w:pPr>
              <w:pStyle w:val="08-Tabelageral"/>
              <w:cnfStyle w:val="000000000000" w:firstRow="0" w:lastRow="0" w:firstColumn="0" w:lastColumn="0" w:oddVBand="0" w:evenVBand="0" w:oddHBand="0" w:evenHBand="0" w:firstRowFirstColumn="0" w:firstRowLastColumn="0" w:lastRowFirstColumn="0" w:lastRowLastColumn="0"/>
              <w:rPr>
                <w:rFonts w:cs="Arial"/>
                <w:color w:val="auto"/>
              </w:rPr>
            </w:pPr>
            <w:r>
              <w:rPr>
                <w:rFonts w:cs="Arial"/>
                <w:color w:val="auto"/>
              </w:rPr>
              <w:t>Braz</w:t>
            </w:r>
            <w:r w:rsidRPr="0048242D">
              <w:rPr>
                <w:rFonts w:cs="Arial"/>
                <w:color w:val="auto"/>
              </w:rPr>
              <w:t>il</w:t>
            </w:r>
          </w:p>
        </w:tc>
        <w:tc>
          <w:tcPr>
            <w:tcW w:w="283" w:type="dxa"/>
            <w:tcBorders>
              <w:bottom w:val="nil"/>
            </w:tcBorders>
            <w:shd w:val="clear" w:color="auto" w:fill="auto"/>
            <w:vAlign w:val="center"/>
          </w:tcPr>
          <w:p w14:paraId="3C8B6DE4" w14:textId="77777777" w:rsidR="005357C6" w:rsidRPr="0048242D" w:rsidRDefault="005357C6" w:rsidP="00C33728">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p>
        </w:tc>
        <w:tc>
          <w:tcPr>
            <w:tcW w:w="1276" w:type="dxa"/>
            <w:tcBorders>
              <w:bottom w:val="nil"/>
            </w:tcBorders>
            <w:shd w:val="clear" w:color="auto" w:fill="auto"/>
            <w:vAlign w:val="center"/>
          </w:tcPr>
          <w:p w14:paraId="4C039294" w14:textId="77777777" w:rsidR="005357C6" w:rsidRPr="0048242D" w:rsidRDefault="005357C6" w:rsidP="0046511C">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48242D">
              <w:rPr>
                <w:rFonts w:cs="Arial"/>
                <w:color w:val="auto"/>
                <w:szCs w:val="14"/>
              </w:rPr>
              <w:t xml:space="preserve">100% </w:t>
            </w:r>
          </w:p>
        </w:tc>
        <w:tc>
          <w:tcPr>
            <w:tcW w:w="1418" w:type="dxa"/>
            <w:tcBorders>
              <w:bottom w:val="nil"/>
            </w:tcBorders>
            <w:shd w:val="clear" w:color="auto" w:fill="auto"/>
            <w:vAlign w:val="center"/>
          </w:tcPr>
          <w:p w14:paraId="401B0DEF" w14:textId="77777777" w:rsidR="005357C6" w:rsidRPr="0048242D" w:rsidRDefault="005357C6" w:rsidP="0046511C">
            <w:pPr>
              <w:pStyle w:val="08-Tabelageral"/>
              <w:cnfStyle w:val="000000000000" w:firstRow="0" w:lastRow="0" w:firstColumn="0" w:lastColumn="0" w:oddVBand="0" w:evenVBand="0" w:oddHBand="0" w:evenHBand="0" w:firstRowFirstColumn="0" w:firstRowLastColumn="0" w:lastRowFirstColumn="0" w:lastRowLastColumn="0"/>
              <w:rPr>
                <w:rFonts w:cs="Arial"/>
                <w:color w:val="auto"/>
              </w:rPr>
            </w:pPr>
            <w:r w:rsidRPr="0048242D">
              <w:rPr>
                <w:rFonts w:cs="Arial"/>
                <w:color w:val="auto"/>
              </w:rPr>
              <w:t>100%</w:t>
            </w:r>
          </w:p>
        </w:tc>
      </w:tr>
      <w:tr w:rsidR="005357C6" w:rsidRPr="0048242D" w14:paraId="19A79B1D" w14:textId="77777777" w:rsidTr="00D41EA2">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698" w:type="dxa"/>
            <w:tcBorders>
              <w:top w:val="nil"/>
            </w:tcBorders>
            <w:shd w:val="clear" w:color="auto" w:fill="auto"/>
          </w:tcPr>
          <w:p w14:paraId="353F89EE" w14:textId="77777777" w:rsidR="005357C6" w:rsidRPr="0048242D" w:rsidRDefault="005357C6" w:rsidP="00C33728">
            <w:pPr>
              <w:pStyle w:val="08-Tabelageral"/>
              <w:jc w:val="left"/>
              <w:rPr>
                <w:rFonts w:cs="Arial"/>
                <w:b w:val="0"/>
                <w:color w:val="auto"/>
              </w:rPr>
            </w:pPr>
            <w:r w:rsidRPr="0048242D">
              <w:rPr>
                <w:rFonts w:cs="Arial"/>
                <w:b w:val="0"/>
                <w:color w:val="auto"/>
              </w:rPr>
              <w:t>BB Corretora</w:t>
            </w:r>
            <w:r>
              <w:rPr>
                <w:rFonts w:cs="Arial"/>
                <w:b w:val="0"/>
                <w:color w:val="auto"/>
              </w:rPr>
              <w:t xml:space="preserve"> de Seguros e Administradora de Bens S.A.</w:t>
            </w:r>
          </w:p>
          <w:p w14:paraId="619B51B1" w14:textId="77777777" w:rsidR="005357C6" w:rsidRPr="0048242D" w:rsidRDefault="005357C6" w:rsidP="00C33728">
            <w:pPr>
              <w:pStyle w:val="08-Tabelageral"/>
              <w:jc w:val="left"/>
              <w:rPr>
                <w:rFonts w:cs="Arial"/>
                <w:b w:val="0"/>
                <w:color w:val="auto"/>
                <w:szCs w:val="14"/>
              </w:rPr>
            </w:pPr>
          </w:p>
        </w:tc>
        <w:tc>
          <w:tcPr>
            <w:tcW w:w="604" w:type="dxa"/>
            <w:tcBorders>
              <w:top w:val="nil"/>
            </w:tcBorders>
            <w:shd w:val="clear" w:color="auto" w:fill="auto"/>
            <w:vAlign w:val="center"/>
          </w:tcPr>
          <w:p w14:paraId="1E99D22A" w14:textId="77777777" w:rsidR="005357C6" w:rsidRPr="0048242D" w:rsidRDefault="005357C6" w:rsidP="00CB214C">
            <w:pPr>
              <w:pStyle w:val="08-Tabelageral"/>
              <w:ind w:left="-119" w:firstLine="119"/>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85" w:type="dxa"/>
            <w:tcBorders>
              <w:top w:val="nil"/>
            </w:tcBorders>
            <w:shd w:val="clear" w:color="auto" w:fill="auto"/>
            <w:vAlign w:val="center"/>
          </w:tcPr>
          <w:p w14:paraId="0E204717" w14:textId="77777777" w:rsidR="005357C6" w:rsidRPr="0048242D" w:rsidRDefault="005357C6" w:rsidP="00C33728">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CB214C">
              <w:rPr>
                <w:rFonts w:cs="Arial"/>
                <w:color w:val="auto"/>
                <w:szCs w:val="14"/>
              </w:rPr>
              <w:t>Brokerage</w:t>
            </w:r>
          </w:p>
        </w:tc>
        <w:tc>
          <w:tcPr>
            <w:tcW w:w="1276" w:type="dxa"/>
            <w:tcBorders>
              <w:top w:val="nil"/>
            </w:tcBorders>
            <w:shd w:val="clear" w:color="auto" w:fill="auto"/>
            <w:vAlign w:val="center"/>
          </w:tcPr>
          <w:p w14:paraId="0753E8D1" w14:textId="77777777" w:rsidR="005357C6" w:rsidRPr="0048242D" w:rsidRDefault="005357C6" w:rsidP="00C33728">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Pr>
                <w:rFonts w:cs="Arial"/>
                <w:color w:val="auto"/>
              </w:rPr>
              <w:t>Braz</w:t>
            </w:r>
            <w:r w:rsidRPr="0048242D">
              <w:rPr>
                <w:rFonts w:cs="Arial"/>
                <w:color w:val="auto"/>
              </w:rPr>
              <w:t>il</w:t>
            </w:r>
          </w:p>
        </w:tc>
        <w:tc>
          <w:tcPr>
            <w:tcW w:w="283" w:type="dxa"/>
            <w:tcBorders>
              <w:top w:val="nil"/>
            </w:tcBorders>
            <w:shd w:val="clear" w:color="auto" w:fill="auto"/>
            <w:vAlign w:val="center"/>
          </w:tcPr>
          <w:p w14:paraId="39175AE4" w14:textId="77777777" w:rsidR="005357C6" w:rsidRPr="0048242D" w:rsidRDefault="005357C6" w:rsidP="00C33728">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276" w:type="dxa"/>
            <w:tcBorders>
              <w:top w:val="nil"/>
            </w:tcBorders>
            <w:shd w:val="clear" w:color="auto" w:fill="auto"/>
            <w:vAlign w:val="center"/>
          </w:tcPr>
          <w:p w14:paraId="5006A2CF" w14:textId="77777777" w:rsidR="005357C6" w:rsidRPr="0048242D" w:rsidRDefault="005357C6" w:rsidP="0046511C">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48242D">
              <w:rPr>
                <w:rFonts w:cs="Arial"/>
                <w:color w:val="auto"/>
                <w:szCs w:val="14"/>
              </w:rPr>
              <w:t>100%</w:t>
            </w:r>
          </w:p>
        </w:tc>
        <w:tc>
          <w:tcPr>
            <w:tcW w:w="1418" w:type="dxa"/>
            <w:tcBorders>
              <w:top w:val="nil"/>
            </w:tcBorders>
            <w:shd w:val="clear" w:color="auto" w:fill="auto"/>
            <w:vAlign w:val="center"/>
          </w:tcPr>
          <w:p w14:paraId="29A0D211" w14:textId="77777777" w:rsidR="005357C6" w:rsidRPr="0048242D" w:rsidRDefault="005357C6" w:rsidP="0046511C">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48242D">
              <w:rPr>
                <w:rFonts w:cs="Arial"/>
                <w:color w:val="auto"/>
              </w:rPr>
              <w:t>100%</w:t>
            </w:r>
          </w:p>
        </w:tc>
      </w:tr>
    </w:tbl>
    <w:p w14:paraId="4DF65F35" w14:textId="77777777" w:rsidR="005357C6" w:rsidRDefault="005357C6" w:rsidP="00CB214C">
      <w:pPr>
        <w:pStyle w:val="05-Textonormal"/>
        <w:rPr>
          <w:lang w:val="en-US"/>
        </w:rPr>
      </w:pPr>
      <w:r w:rsidRPr="00B15324">
        <w:rPr>
          <w:lang w:val="en-US"/>
        </w:rPr>
        <w:t>The intra-group balances and transactions,</w:t>
      </w:r>
      <w:r>
        <w:rPr>
          <w:lang w:val="en-US"/>
        </w:rPr>
        <w:t xml:space="preserve"> such</w:t>
      </w:r>
      <w:r w:rsidRPr="00B15324">
        <w:rPr>
          <w:lang w:val="en-US"/>
        </w:rPr>
        <w:t xml:space="preserve"> as any unrealized income or expenses on transactions between companies</w:t>
      </w:r>
      <w:r>
        <w:rPr>
          <w:lang w:val="en-US"/>
        </w:rPr>
        <w:t xml:space="preserve"> </w:t>
      </w:r>
      <w:r w:rsidRPr="00F30DA7">
        <w:rPr>
          <w:lang w:val="en-US"/>
        </w:rPr>
        <w:t>of the consolidated</w:t>
      </w:r>
      <w:r w:rsidRPr="00B15324">
        <w:rPr>
          <w:lang w:val="en-US"/>
        </w:rPr>
        <w:t>, are eliminated in preparing the consolidated financial statements</w:t>
      </w:r>
      <w:r>
        <w:rPr>
          <w:lang w:val="en-US"/>
        </w:rPr>
        <w:t>.</w:t>
      </w:r>
    </w:p>
    <w:p w14:paraId="7FAF4C84" w14:textId="77777777" w:rsidR="005357C6" w:rsidRPr="00126209" w:rsidRDefault="005357C6" w:rsidP="0046511C">
      <w:pPr>
        <w:pStyle w:val="03-SubttulodeNota"/>
        <w:keepNext/>
        <w:rPr>
          <w:color w:val="1F4E79" w:themeColor="accent1" w:themeShade="80"/>
          <w:sz w:val="18"/>
          <w:szCs w:val="18"/>
          <w:lang w:val="en-US"/>
        </w:rPr>
      </w:pPr>
      <w:r w:rsidRPr="00126209">
        <w:rPr>
          <w:color w:val="1F4E79" w:themeColor="accent1" w:themeShade="80"/>
          <w:sz w:val="18"/>
          <w:szCs w:val="18"/>
          <w:lang w:val="en-US"/>
        </w:rPr>
        <w:t>f) Seasonality of Operations</w:t>
      </w:r>
    </w:p>
    <w:p w14:paraId="0317631C" w14:textId="77777777" w:rsidR="005357C6" w:rsidRDefault="005357C6" w:rsidP="00CB214C">
      <w:pPr>
        <w:pStyle w:val="05-Textonormal"/>
        <w:rPr>
          <w:szCs w:val="22"/>
          <w:lang w:val="en"/>
        </w:rPr>
      </w:pPr>
      <w:r w:rsidRPr="00B15324">
        <w:rPr>
          <w:lang w:val="en-US"/>
        </w:rPr>
        <w:t xml:space="preserve">BB Seguridade and its </w:t>
      </w:r>
      <w:r w:rsidRPr="00F30DA7">
        <w:rPr>
          <w:lang w:val="en-US"/>
        </w:rPr>
        <w:t xml:space="preserve">owned </w:t>
      </w:r>
      <w:r w:rsidRPr="00B15324">
        <w:rPr>
          <w:lang w:val="en-US"/>
        </w:rPr>
        <w:t xml:space="preserve">subsidiaries consider the nature of </w:t>
      </w:r>
      <w:r>
        <w:rPr>
          <w:lang w:val="en-US"/>
        </w:rPr>
        <w:t>their</w:t>
      </w:r>
      <w:r w:rsidRPr="00B15324">
        <w:rPr>
          <w:lang w:val="en-US"/>
        </w:rPr>
        <w:t xml:space="preserve"> transactions as non-seasonal and </w:t>
      </w:r>
      <w:r>
        <w:rPr>
          <w:lang w:val="en-US"/>
        </w:rPr>
        <w:t>non-</w:t>
      </w:r>
      <w:r w:rsidRPr="00B15324">
        <w:rPr>
          <w:lang w:val="en-US"/>
        </w:rPr>
        <w:t>cyclical, taking into account the activities carried out by the Group</w:t>
      </w:r>
      <w:r>
        <w:rPr>
          <w:lang w:val="en-US"/>
        </w:rPr>
        <w:t>,</w:t>
      </w:r>
      <w:r w:rsidRPr="00B15324">
        <w:rPr>
          <w:lang w:val="en-US"/>
        </w:rPr>
        <w:t xml:space="preserve"> Consequently, no specific disclosures are provided in these notes</w:t>
      </w:r>
      <w:r>
        <w:rPr>
          <w:lang w:val="en-US"/>
        </w:rPr>
        <w:t>.</w:t>
      </w:r>
    </w:p>
    <w:p w14:paraId="3341E617" w14:textId="77777777" w:rsidR="005357C6" w:rsidRPr="00181C9B" w:rsidRDefault="005357C6" w:rsidP="0046511C">
      <w:pPr>
        <w:pStyle w:val="03-SubttulodeNota"/>
        <w:keepNext/>
        <w:rPr>
          <w:color w:val="1F4E79" w:themeColor="accent1" w:themeShade="80"/>
          <w:sz w:val="18"/>
          <w:szCs w:val="18"/>
          <w:lang w:val="en-US"/>
        </w:rPr>
      </w:pPr>
      <w:r w:rsidRPr="00181C9B">
        <w:rPr>
          <w:color w:val="1F4E79" w:themeColor="accent1" w:themeShade="80"/>
          <w:sz w:val="18"/>
          <w:szCs w:val="18"/>
          <w:lang w:val="en-US"/>
        </w:rPr>
        <w:t>g) Main Judgments and Accouting Estimates</w:t>
      </w:r>
    </w:p>
    <w:p w14:paraId="0224CDB0" w14:textId="77777777" w:rsidR="005357C6" w:rsidRPr="008573F3" w:rsidRDefault="005357C6" w:rsidP="00CB214C">
      <w:pPr>
        <w:pStyle w:val="05-Textonormal"/>
        <w:keepNext/>
        <w:keepLines/>
        <w:rPr>
          <w:lang w:val="en-US"/>
        </w:rPr>
      </w:pPr>
      <w:r w:rsidRPr="008573F3">
        <w:rPr>
          <w:lang w:val="en-US"/>
        </w:rPr>
        <w:t xml:space="preserve">The preparation of the financial statements in </w:t>
      </w:r>
      <w:r w:rsidRPr="002D4376">
        <w:rPr>
          <w:lang w:val="en-US"/>
        </w:rPr>
        <w:t>accordance with CPCs and IFRS requires</w:t>
      </w:r>
      <w:r w:rsidRPr="008573F3">
        <w:rPr>
          <w:lang w:val="en-US"/>
        </w:rPr>
        <w:t xml:space="preserve"> that the Management make judgments and estimates affecting the recognized amounts referring to assets, liabilities, income and expenses</w:t>
      </w:r>
      <w:r>
        <w:rPr>
          <w:lang w:val="en-US"/>
        </w:rPr>
        <w:t>,</w:t>
      </w:r>
      <w:r w:rsidRPr="008573F3">
        <w:rPr>
          <w:lang w:val="en-US"/>
        </w:rPr>
        <w:t xml:space="preserve"> Estimates and assumptions adopted are</w:t>
      </w:r>
      <w:r>
        <w:rPr>
          <w:lang w:val="en-US"/>
        </w:rPr>
        <w:t xml:space="preserve"> </w:t>
      </w:r>
      <w:r w:rsidRPr="008573F3">
        <w:rPr>
          <w:lang w:val="en-US"/>
        </w:rPr>
        <w:t>analyzed on a continuous basis, and revisions are carried out and recognized in the period in which the estimate is reevaluated, with prospective effects</w:t>
      </w:r>
      <w:r>
        <w:rPr>
          <w:lang w:val="en-US"/>
        </w:rPr>
        <w:t>,</w:t>
      </w:r>
      <w:r w:rsidRPr="008573F3">
        <w:rPr>
          <w:lang w:val="en-US"/>
        </w:rPr>
        <w:t xml:space="preserve"> The actual results obtained may be different from estimates used herein</w:t>
      </w:r>
      <w:r>
        <w:rPr>
          <w:lang w:val="en-US"/>
        </w:rPr>
        <w:t>.</w:t>
      </w:r>
    </w:p>
    <w:p w14:paraId="58F38E6F" w14:textId="77777777" w:rsidR="005357C6" w:rsidRPr="008573F3" w:rsidRDefault="005357C6" w:rsidP="00CB214C">
      <w:pPr>
        <w:pStyle w:val="05-Textonormal"/>
        <w:rPr>
          <w:lang w:val="en-US"/>
        </w:rPr>
      </w:pPr>
      <w:r w:rsidRPr="008573F3">
        <w:rPr>
          <w:lang w:val="en-US"/>
        </w:rPr>
        <w:t xml:space="preserve">Taking into consideration that there are certain alternatives to accounting treatments, the results </w:t>
      </w:r>
      <w:r>
        <w:rPr>
          <w:lang w:val="en-US"/>
        </w:rPr>
        <w:t xml:space="preserve">that </w:t>
      </w:r>
      <w:r w:rsidRPr="008573F3">
        <w:rPr>
          <w:lang w:val="en-US"/>
        </w:rPr>
        <w:t>are disclosed</w:t>
      </w:r>
      <w:r w:rsidRPr="008573F3">
        <w:rPr>
          <w:rFonts w:cs="Arial"/>
          <w:lang w:val="en-US"/>
        </w:rPr>
        <w:t xml:space="preserve"> </w:t>
      </w:r>
      <w:r w:rsidRPr="008573F3">
        <w:rPr>
          <w:lang w:val="en-US"/>
        </w:rPr>
        <w:t>could be different, in the event a different treatment</w:t>
      </w:r>
      <w:r>
        <w:rPr>
          <w:lang w:val="en-US"/>
        </w:rPr>
        <w:t xml:space="preserve"> had</w:t>
      </w:r>
      <w:r w:rsidRPr="00D83A01">
        <w:rPr>
          <w:color w:val="FF0000"/>
          <w:lang w:val="en-US"/>
        </w:rPr>
        <w:t xml:space="preserve"> </w:t>
      </w:r>
      <w:r>
        <w:rPr>
          <w:lang w:val="en-US"/>
        </w:rPr>
        <w:t>b</w:t>
      </w:r>
      <w:r w:rsidRPr="008573F3">
        <w:rPr>
          <w:lang w:val="en-US"/>
        </w:rPr>
        <w:t>een chosen</w:t>
      </w:r>
      <w:r>
        <w:rPr>
          <w:lang w:val="en-US"/>
        </w:rPr>
        <w:t>,</w:t>
      </w:r>
      <w:r w:rsidRPr="008573F3">
        <w:rPr>
          <w:lang w:val="en-US"/>
        </w:rPr>
        <w:t xml:space="preserve"> Management considers that the choices made are appropriate and that the financial statements fairly present the consolidated financial position of BB Seguridade and the result of its operations in all material aspects</w:t>
      </w:r>
      <w:r>
        <w:rPr>
          <w:lang w:val="en-US"/>
        </w:rPr>
        <w:t>.</w:t>
      </w:r>
    </w:p>
    <w:p w14:paraId="12AC2CB1" w14:textId="77777777" w:rsidR="005357C6" w:rsidRDefault="005357C6" w:rsidP="00001B11">
      <w:pPr>
        <w:pStyle w:val="05-Textonormal"/>
        <w:rPr>
          <w:lang w:val="en-US"/>
        </w:rPr>
      </w:pPr>
      <w:r w:rsidRPr="008573F3">
        <w:rPr>
          <w:lang w:val="en-US"/>
        </w:rPr>
        <w:t xml:space="preserve">Significant assets and liabilities subject to these estimates and assumptions encompass items for which </w:t>
      </w:r>
      <w:r>
        <w:rPr>
          <w:lang w:val="en-US"/>
        </w:rPr>
        <w:t>an evaluation</w:t>
      </w:r>
      <w:r w:rsidRPr="008573F3">
        <w:rPr>
          <w:lang w:val="en-US"/>
        </w:rPr>
        <w:t xml:space="preserve"> at fair value is necessary</w:t>
      </w:r>
      <w:r>
        <w:rPr>
          <w:lang w:val="en-US"/>
        </w:rPr>
        <w:t>,</w:t>
      </w:r>
      <w:r w:rsidRPr="008573F3">
        <w:rPr>
          <w:lang w:val="en-US"/>
        </w:rPr>
        <w:t xml:space="preserve"> The most relevant applications of the exercise on estimates judgments and usage occur in:</w:t>
      </w:r>
      <w:r>
        <w:rPr>
          <w:lang w:val="en-US"/>
        </w:rPr>
        <w:t xml:space="preserve"> </w:t>
      </w:r>
      <w:r w:rsidRPr="00D83A01">
        <w:rPr>
          <w:lang w:val="en-US"/>
        </w:rPr>
        <w:t xml:space="preserve">Fair </w:t>
      </w:r>
      <w:r>
        <w:rPr>
          <w:lang w:val="en-US"/>
        </w:rPr>
        <w:t>v</w:t>
      </w:r>
      <w:r w:rsidRPr="00D83A01">
        <w:rPr>
          <w:lang w:val="en-US"/>
        </w:rPr>
        <w:t xml:space="preserve">alue of </w:t>
      </w:r>
      <w:r>
        <w:rPr>
          <w:lang w:val="en-US"/>
        </w:rPr>
        <w:t>F</w:t>
      </w:r>
      <w:r w:rsidRPr="00D83A01">
        <w:rPr>
          <w:lang w:val="en-US"/>
        </w:rPr>
        <w:t xml:space="preserve">inancial </w:t>
      </w:r>
      <w:r>
        <w:rPr>
          <w:lang w:val="en-US"/>
        </w:rPr>
        <w:t>I</w:t>
      </w:r>
      <w:r w:rsidRPr="00D83A01">
        <w:rPr>
          <w:lang w:val="en-US"/>
        </w:rPr>
        <w:t>nstruments</w:t>
      </w:r>
      <w:r>
        <w:rPr>
          <w:lang w:val="en-US"/>
        </w:rPr>
        <w:t xml:space="preserve">, </w:t>
      </w:r>
      <w:r w:rsidRPr="00D83A01">
        <w:rPr>
          <w:lang w:val="en-US"/>
        </w:rPr>
        <w:t xml:space="preserve">Impairment of </w:t>
      </w:r>
      <w:r>
        <w:rPr>
          <w:lang w:val="en-US"/>
        </w:rPr>
        <w:t>F</w:t>
      </w:r>
      <w:r w:rsidRPr="00D83A01">
        <w:rPr>
          <w:lang w:val="en-US"/>
        </w:rPr>
        <w:t xml:space="preserve">inancial </w:t>
      </w:r>
      <w:r>
        <w:rPr>
          <w:lang w:val="en-US"/>
        </w:rPr>
        <w:t>A</w:t>
      </w:r>
      <w:r w:rsidRPr="00D83A01">
        <w:rPr>
          <w:lang w:val="en-US"/>
        </w:rPr>
        <w:t>ssets</w:t>
      </w:r>
      <w:r>
        <w:rPr>
          <w:lang w:val="en-US"/>
        </w:rPr>
        <w:t xml:space="preserve">, </w:t>
      </w:r>
      <w:r w:rsidRPr="00D83A01">
        <w:rPr>
          <w:lang w:val="en-US"/>
        </w:rPr>
        <w:t xml:space="preserve">Impairment of </w:t>
      </w:r>
      <w:r>
        <w:rPr>
          <w:lang w:val="en-US"/>
        </w:rPr>
        <w:t>No</w:t>
      </w:r>
      <w:r w:rsidRPr="00D83A01">
        <w:rPr>
          <w:lang w:val="en-US"/>
        </w:rPr>
        <w:t>n-</w:t>
      </w:r>
      <w:r>
        <w:rPr>
          <w:lang w:val="en-US"/>
        </w:rPr>
        <w:t>F</w:t>
      </w:r>
      <w:r w:rsidRPr="00D83A01">
        <w:rPr>
          <w:lang w:val="en-US"/>
        </w:rPr>
        <w:t xml:space="preserve">inancial </w:t>
      </w:r>
      <w:r>
        <w:rPr>
          <w:lang w:val="en-US"/>
        </w:rPr>
        <w:t>A</w:t>
      </w:r>
      <w:r w:rsidRPr="00D83A01">
        <w:rPr>
          <w:lang w:val="en-US"/>
        </w:rPr>
        <w:t>ssets</w:t>
      </w:r>
      <w:r>
        <w:rPr>
          <w:lang w:val="en-US"/>
        </w:rPr>
        <w:t xml:space="preserve">, </w:t>
      </w:r>
      <w:r w:rsidRPr="00D83A01">
        <w:rPr>
          <w:lang w:val="en-US"/>
        </w:rPr>
        <w:t xml:space="preserve">Income </w:t>
      </w:r>
      <w:r>
        <w:rPr>
          <w:lang w:val="en-US"/>
        </w:rPr>
        <w:t>T</w:t>
      </w:r>
      <w:r w:rsidRPr="00D83A01">
        <w:rPr>
          <w:lang w:val="en-US"/>
        </w:rPr>
        <w:t>axes</w:t>
      </w:r>
      <w:r>
        <w:rPr>
          <w:lang w:val="en-US"/>
        </w:rPr>
        <w:t xml:space="preserve">, </w:t>
      </w:r>
      <w:r w:rsidRPr="00D83A01">
        <w:rPr>
          <w:lang w:val="en-US"/>
        </w:rPr>
        <w:t xml:space="preserve">Deferred </w:t>
      </w:r>
      <w:r>
        <w:rPr>
          <w:lang w:val="en-US"/>
        </w:rPr>
        <w:t>T</w:t>
      </w:r>
      <w:r w:rsidRPr="00D83A01">
        <w:rPr>
          <w:lang w:val="en-US"/>
        </w:rPr>
        <w:t>axes</w:t>
      </w:r>
      <w:r>
        <w:rPr>
          <w:lang w:val="en-US"/>
        </w:rPr>
        <w:t xml:space="preserve"> and </w:t>
      </w:r>
      <w:r w:rsidRPr="0055525C">
        <w:rPr>
          <w:lang w:val="en-US"/>
        </w:rPr>
        <w:t>Provisions and Contingent Liabilities</w:t>
      </w:r>
      <w:bookmarkEnd w:id="25"/>
      <w:r>
        <w:rPr>
          <w:lang w:val="en-US"/>
        </w:rPr>
        <w:t>.</w:t>
      </w:r>
    </w:p>
    <w:p w14:paraId="723B5026" w14:textId="77777777" w:rsidR="005357C6" w:rsidRDefault="005357C6" w:rsidP="00001B11">
      <w:pPr>
        <w:pStyle w:val="05-Textonormal"/>
        <w:rPr>
          <w:lang w:val="en-US"/>
        </w:rPr>
      </w:pPr>
    </w:p>
    <w:p w14:paraId="687EB771" w14:textId="77777777" w:rsidR="005357C6" w:rsidRPr="00126209" w:rsidRDefault="005357C6" w:rsidP="00001324">
      <w:pPr>
        <w:pStyle w:val="03-SubttulodeNota"/>
        <w:keepNext/>
        <w:rPr>
          <w:color w:val="1F4E79" w:themeColor="accent1" w:themeShade="80"/>
          <w:sz w:val="18"/>
          <w:szCs w:val="18"/>
          <w:lang w:val="en-US"/>
        </w:rPr>
      </w:pPr>
      <w:r w:rsidRPr="00126209">
        <w:rPr>
          <w:color w:val="1F4E79" w:themeColor="accent1" w:themeShade="80"/>
          <w:sz w:val="18"/>
          <w:szCs w:val="18"/>
          <w:lang w:val="en-US"/>
        </w:rPr>
        <w:t>h) Restatement of the statement of added value for comparability purposes</w:t>
      </w:r>
    </w:p>
    <w:p w14:paraId="60504AC8" w14:textId="77777777" w:rsidR="005357C6" w:rsidRPr="00126209" w:rsidRDefault="005357C6" w:rsidP="00001324">
      <w:pPr>
        <w:pStyle w:val="03-SubttulodeNota"/>
        <w:keepNext/>
        <w:rPr>
          <w:color w:val="1F4E79" w:themeColor="accent1" w:themeShade="80"/>
          <w:sz w:val="18"/>
          <w:szCs w:val="18"/>
          <w:lang w:val="en-US"/>
        </w:rPr>
      </w:pPr>
      <w:r w:rsidRPr="00126209">
        <w:rPr>
          <w:color w:val="1F4E79" w:themeColor="accent1" w:themeShade="80"/>
          <w:sz w:val="18"/>
          <w:szCs w:val="18"/>
          <w:lang w:val="en-US"/>
        </w:rPr>
        <w:t>Statement of Added Value</w:t>
      </w:r>
    </w:p>
    <w:p w14:paraId="0351C79B" w14:textId="77777777" w:rsidR="005357C6" w:rsidRDefault="005357C6" w:rsidP="00AD7090">
      <w:pPr>
        <w:pStyle w:val="05-Textonormal"/>
        <w:keepNext/>
        <w:keepLines/>
        <w:rPr>
          <w:lang w:val="en-US"/>
        </w:rPr>
      </w:pPr>
      <w:r w:rsidRPr="00171389">
        <w:rPr>
          <w:lang w:val="en-US"/>
        </w:rPr>
        <w:t>In order to better adapt to the disclosure requirements of Technical Pronouncement CPC 09 - Added Value Statement and to comply with Official Letter No. 105/2022/CVM/SEP/GEA-5, of October 14, 2022, in Fiscal Year 2022, certain reclassifications in the presentation of the value added statement with the corresponding reclassifications for comparison purposes.</w:t>
      </w:r>
    </w:p>
    <w:p w14:paraId="73633CD4" w14:textId="77777777" w:rsidR="005357C6" w:rsidRPr="00AD7090" w:rsidRDefault="005357C6" w:rsidP="00AD7090">
      <w:pPr>
        <w:pStyle w:val="05-Textonormal"/>
        <w:keepNext/>
        <w:keepLines/>
        <w:rPr>
          <w:lang w:val="en-US"/>
        </w:rPr>
      </w:pPr>
      <w:r w:rsidRPr="00AD7090">
        <w:rPr>
          <w:lang w:val="en-US"/>
        </w:rPr>
        <w:t>In the controller's statement, new components were opened in the distribution of added value and reclassifications of administrative and personnel expenses, as shown below.</w:t>
      </w:r>
    </w:p>
    <w:p w14:paraId="412181B6" w14:textId="77777777" w:rsidR="005357C6" w:rsidRPr="00AD7090" w:rsidRDefault="005357C6" w:rsidP="005357C6">
      <w:pPr>
        <w:pStyle w:val="05-Textonormal"/>
        <w:keepNext/>
        <w:keepLines/>
        <w:numPr>
          <w:ilvl w:val="0"/>
          <w:numId w:val="33"/>
        </w:numPr>
        <w:rPr>
          <w:lang w:val="en-US"/>
        </w:rPr>
      </w:pPr>
      <w:r w:rsidRPr="00AD7090">
        <w:rPr>
          <w:lang w:val="en-US"/>
        </w:rPr>
        <w:t xml:space="preserve">Administrative expenses for rentals (R$ </w:t>
      </w:r>
      <w:r>
        <w:rPr>
          <w:lang w:val="en-US"/>
        </w:rPr>
        <w:t>643</w:t>
      </w:r>
      <w:r w:rsidRPr="00AD7090">
        <w:rPr>
          <w:lang w:val="en-US"/>
        </w:rPr>
        <w:t xml:space="preserve"> thousand);</w:t>
      </w:r>
    </w:p>
    <w:p w14:paraId="3D79F4DD" w14:textId="77777777" w:rsidR="005357C6" w:rsidRDefault="005357C6" w:rsidP="005357C6">
      <w:pPr>
        <w:pStyle w:val="05-Textonormal"/>
        <w:keepNext/>
        <w:keepLines/>
        <w:numPr>
          <w:ilvl w:val="0"/>
          <w:numId w:val="33"/>
        </w:numPr>
        <w:rPr>
          <w:lang w:val="en-US"/>
        </w:rPr>
      </w:pPr>
      <w:r w:rsidRPr="00AD7090">
        <w:rPr>
          <w:lang w:val="en-US"/>
        </w:rPr>
        <w:t xml:space="preserve">Personnel expenses (INSS) for federal taxes (R$ </w:t>
      </w:r>
      <w:r>
        <w:rPr>
          <w:lang w:val="en-US"/>
        </w:rPr>
        <w:t>1,652</w:t>
      </w:r>
      <w:r w:rsidRPr="00AD7090">
        <w:rPr>
          <w:lang w:val="en-US"/>
        </w:rPr>
        <w:t xml:space="preserve"> thousand).</w:t>
      </w:r>
    </w:p>
    <w:p w14:paraId="0AB3A2A6" w14:textId="77777777" w:rsidR="005357C6" w:rsidRDefault="005357C6" w:rsidP="00AC04CA">
      <w:pPr>
        <w:pStyle w:val="05-Textonormal"/>
        <w:keepNext/>
        <w:keepLines/>
        <w:ind w:left="360"/>
        <w:rPr>
          <w:lang w:val="en-US"/>
        </w:rPr>
      </w:pPr>
    </w:p>
    <w:p w14:paraId="28735E0C" w14:textId="77777777" w:rsidR="005357C6" w:rsidRPr="00AC04CA" w:rsidRDefault="005357C6" w:rsidP="00CF37DA">
      <w:pPr>
        <w:pStyle w:val="05-Textonormal"/>
        <w:keepNext/>
        <w:keepLines/>
        <w:pageBreakBefore/>
        <w:spacing w:after="0"/>
        <w:ind w:left="357"/>
        <w:jc w:val="right"/>
        <w:rPr>
          <w:b/>
          <w:bCs/>
          <w:sz w:val="14"/>
          <w:szCs w:val="14"/>
          <w:lang w:val="en-US"/>
        </w:rPr>
      </w:pPr>
      <w:r w:rsidRPr="00AC04CA">
        <w:rPr>
          <w:b/>
          <w:bCs/>
          <w:sz w:val="14"/>
          <w:szCs w:val="14"/>
          <w:lang w:val="en-US"/>
        </w:rPr>
        <w:lastRenderedPageBreak/>
        <w:t>R$ thousand</w:t>
      </w:r>
    </w:p>
    <w:tbl>
      <w:tblPr>
        <w:tblStyle w:val="TabeladeLista6Colorida-nfase5"/>
        <w:tblW w:w="9639" w:type="dxa"/>
        <w:jc w:val="center"/>
        <w:tblLayout w:type="fixed"/>
        <w:tblLook w:val="04A0" w:firstRow="1" w:lastRow="0" w:firstColumn="1" w:lastColumn="0" w:noHBand="0" w:noVBand="1"/>
      </w:tblPr>
      <w:tblGrid>
        <w:gridCol w:w="3970"/>
        <w:gridCol w:w="1889"/>
        <w:gridCol w:w="1890"/>
        <w:gridCol w:w="1890"/>
      </w:tblGrid>
      <w:tr w:rsidR="005357C6" w14:paraId="7570D5FF" w14:textId="77777777" w:rsidTr="00286D7A">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6CEBBE7C" w14:textId="77777777" w:rsidR="005357C6" w:rsidRPr="00126209" w:rsidRDefault="005357C6" w:rsidP="00286D7A">
            <w:pPr>
              <w:jc w:val="center"/>
              <w:rPr>
                <w:rFonts w:cs="Arial"/>
                <w:b w:val="0"/>
                <w:sz w:val="14"/>
                <w:szCs w:val="14"/>
                <w:lang w:val="en-US"/>
              </w:rPr>
            </w:pPr>
          </w:p>
        </w:tc>
        <w:tc>
          <w:tcPr>
            <w:tcW w:w="5669" w:type="dxa"/>
            <w:gridSpan w:val="3"/>
            <w:tcBorders>
              <w:top w:val="single" w:sz="2" w:space="0" w:color="1F4E79" w:themeColor="accent1" w:themeShade="80"/>
              <w:bottom w:val="single" w:sz="2" w:space="0" w:color="1F4E79" w:themeColor="accent1" w:themeShade="80"/>
            </w:tcBorders>
            <w:shd w:val="clear" w:color="auto" w:fill="auto"/>
            <w:vAlign w:val="center"/>
          </w:tcPr>
          <w:p w14:paraId="2AF789DE" w14:textId="77777777" w:rsidR="005357C6" w:rsidRPr="00D84B8A" w:rsidRDefault="005357C6" w:rsidP="002B79AA">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126209">
              <w:rPr>
                <w:rFonts w:cs="Arial"/>
                <w:sz w:val="14"/>
                <w:szCs w:val="14"/>
              </w:rPr>
              <w:t>Parent</w:t>
            </w:r>
            <w:r w:rsidRPr="00126209" w:rsidDel="00126209">
              <w:rPr>
                <w:rFonts w:cs="Arial"/>
                <w:sz w:val="14"/>
                <w:szCs w:val="14"/>
              </w:rPr>
              <w:t xml:space="preserve"> </w:t>
            </w:r>
            <w:r>
              <w:rPr>
                <w:rFonts w:cs="Arial"/>
                <w:sz w:val="14"/>
                <w:szCs w:val="14"/>
              </w:rPr>
              <w:t>– 2021</w:t>
            </w:r>
          </w:p>
        </w:tc>
      </w:tr>
      <w:tr w:rsidR="005357C6" w:rsidRPr="001D6BE8" w14:paraId="7895F0F8" w14:textId="77777777" w:rsidTr="00286D7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single" w:sz="2" w:space="0" w:color="1F4E79" w:themeColor="accent1" w:themeShade="80"/>
            </w:tcBorders>
            <w:shd w:val="clear" w:color="auto" w:fill="auto"/>
            <w:vAlign w:val="center"/>
          </w:tcPr>
          <w:p w14:paraId="04CE9B5D" w14:textId="77777777" w:rsidR="005357C6" w:rsidRPr="00D84B8A" w:rsidRDefault="005357C6" w:rsidP="00286D7A">
            <w:pPr>
              <w:pStyle w:val="08-Tabelageral"/>
              <w:jc w:val="left"/>
              <w:rPr>
                <w:rFonts w:cs="Arial"/>
                <w:b w:val="0"/>
                <w:szCs w:val="14"/>
              </w:rPr>
            </w:pPr>
          </w:p>
        </w:tc>
        <w:tc>
          <w:tcPr>
            <w:tcW w:w="1889" w:type="dxa"/>
            <w:tcBorders>
              <w:top w:val="single" w:sz="2" w:space="0" w:color="1F4E79" w:themeColor="accent1" w:themeShade="80"/>
              <w:bottom w:val="single" w:sz="2" w:space="0" w:color="1F4E79" w:themeColor="accent1" w:themeShade="80"/>
            </w:tcBorders>
            <w:shd w:val="clear" w:color="auto" w:fill="auto"/>
            <w:vAlign w:val="center"/>
          </w:tcPr>
          <w:p w14:paraId="052AFEDA" w14:textId="77777777" w:rsidR="005357C6" w:rsidRPr="00D11906" w:rsidRDefault="005357C6" w:rsidP="0000132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 w:val="14"/>
                <w:szCs w:val="14"/>
              </w:rPr>
              <w:t>Previous Disclosure</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5D7FB049" w14:textId="77777777" w:rsidR="005357C6" w:rsidRPr="00D11906" w:rsidRDefault="005357C6" w:rsidP="0000132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D11906">
              <w:rPr>
                <w:rFonts w:cs="Arial"/>
                <w:b/>
                <w:bCs/>
                <w:sz w:val="14"/>
                <w:szCs w:val="14"/>
              </w:rPr>
              <w:t>Reclassifica</w:t>
            </w:r>
            <w:r>
              <w:rPr>
                <w:rFonts w:cs="Arial"/>
                <w:b/>
                <w:bCs/>
                <w:sz w:val="14"/>
                <w:szCs w:val="14"/>
              </w:rPr>
              <w:t>tions</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069AB81D" w14:textId="77777777" w:rsidR="005357C6" w:rsidRPr="00D11906" w:rsidRDefault="005357C6" w:rsidP="00286D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 w:val="14"/>
                <w:szCs w:val="14"/>
              </w:rPr>
              <w:t>Current Disclosure</w:t>
            </w:r>
          </w:p>
        </w:tc>
      </w:tr>
      <w:tr w:rsidR="005357C6" w:rsidRPr="00AD7090" w14:paraId="4103C6CD" w14:textId="77777777" w:rsidTr="00286D7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2B4A6264" w14:textId="77777777" w:rsidR="005357C6" w:rsidRPr="00AD7090" w:rsidRDefault="005357C6" w:rsidP="00AC04CA">
            <w:pPr>
              <w:pStyle w:val="08-Tabelageral"/>
              <w:jc w:val="left"/>
              <w:rPr>
                <w:szCs w:val="14"/>
              </w:rPr>
            </w:pPr>
            <w:r w:rsidRPr="00AD7090">
              <w:rPr>
                <w:rFonts w:cs="Arial"/>
                <w:szCs w:val="14"/>
              </w:rPr>
              <w:t>Income</w:t>
            </w:r>
          </w:p>
        </w:tc>
        <w:tc>
          <w:tcPr>
            <w:tcW w:w="1889" w:type="dxa"/>
            <w:tcBorders>
              <w:top w:val="single" w:sz="2" w:space="0" w:color="1F4E79" w:themeColor="accent1" w:themeShade="80"/>
              <w:bottom w:val="nil"/>
            </w:tcBorders>
            <w:shd w:val="clear" w:color="auto" w:fill="auto"/>
            <w:vAlign w:val="center"/>
          </w:tcPr>
          <w:p w14:paraId="5FAD5963"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highlight w:val="yellow"/>
              </w:rPr>
            </w:pPr>
            <w:r w:rsidRPr="00AC04CA">
              <w:rPr>
                <w:rFonts w:cs="Arial"/>
                <w:b/>
                <w:bCs/>
                <w:color w:val="000000"/>
                <w:szCs w:val="14"/>
              </w:rPr>
              <w:t>9</w:t>
            </w:r>
            <w:r>
              <w:rPr>
                <w:rFonts w:cs="Arial"/>
                <w:b/>
                <w:bCs/>
                <w:color w:val="000000"/>
                <w:szCs w:val="14"/>
              </w:rPr>
              <w:t>,</w:t>
            </w:r>
            <w:r w:rsidRPr="00AC04CA">
              <w:rPr>
                <w:rFonts w:cs="Arial"/>
                <w:b/>
                <w:bCs/>
                <w:color w:val="000000"/>
                <w:szCs w:val="14"/>
              </w:rPr>
              <w:t>024</w:t>
            </w:r>
          </w:p>
        </w:tc>
        <w:tc>
          <w:tcPr>
            <w:tcW w:w="1890" w:type="dxa"/>
            <w:tcBorders>
              <w:top w:val="single" w:sz="2" w:space="0" w:color="1F4E79" w:themeColor="accent1" w:themeShade="80"/>
              <w:bottom w:val="nil"/>
            </w:tcBorders>
            <w:shd w:val="clear" w:color="auto" w:fill="auto"/>
            <w:vAlign w:val="center"/>
          </w:tcPr>
          <w:p w14:paraId="184B1A9C"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color w:val="auto"/>
                <w:szCs w:val="14"/>
              </w:rPr>
              <w:t>--</w:t>
            </w:r>
          </w:p>
        </w:tc>
        <w:tc>
          <w:tcPr>
            <w:tcW w:w="1890" w:type="dxa"/>
            <w:tcBorders>
              <w:top w:val="single" w:sz="2" w:space="0" w:color="1F4E79" w:themeColor="accent1" w:themeShade="80"/>
              <w:bottom w:val="nil"/>
            </w:tcBorders>
            <w:shd w:val="clear" w:color="auto" w:fill="auto"/>
            <w:vAlign w:val="center"/>
          </w:tcPr>
          <w:p w14:paraId="14489EE0"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color w:val="auto"/>
                <w:szCs w:val="14"/>
              </w:rPr>
              <w:t>9</w:t>
            </w:r>
            <w:r>
              <w:rPr>
                <w:rFonts w:cs="Arial"/>
                <w:b/>
                <w:bCs/>
                <w:color w:val="auto"/>
                <w:szCs w:val="14"/>
              </w:rPr>
              <w:t>,</w:t>
            </w:r>
            <w:r w:rsidRPr="00AC04CA">
              <w:rPr>
                <w:rFonts w:cs="Arial"/>
                <w:b/>
                <w:bCs/>
                <w:color w:val="auto"/>
                <w:szCs w:val="14"/>
              </w:rPr>
              <w:t>024</w:t>
            </w:r>
          </w:p>
        </w:tc>
      </w:tr>
      <w:tr w:rsidR="005357C6" w:rsidRPr="00AD7090" w14:paraId="366794CD" w14:textId="77777777" w:rsidTr="00286D7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8EE6EA1" w14:textId="77777777" w:rsidR="005357C6" w:rsidRPr="00AD7090" w:rsidRDefault="005357C6" w:rsidP="00AC04CA">
            <w:pPr>
              <w:pStyle w:val="08-Tabelageral"/>
              <w:jc w:val="left"/>
              <w:rPr>
                <w:szCs w:val="14"/>
                <w:lang w:val="en-US"/>
              </w:rPr>
            </w:pPr>
            <w:r w:rsidRPr="00AD7090">
              <w:rPr>
                <w:rFonts w:cs="Arial"/>
                <w:szCs w:val="14"/>
                <w:lang w:val="en-US"/>
              </w:rPr>
              <w:t>Input Acquired from Third Parties</w:t>
            </w:r>
          </w:p>
        </w:tc>
        <w:tc>
          <w:tcPr>
            <w:tcW w:w="1889" w:type="dxa"/>
            <w:tcBorders>
              <w:top w:val="nil"/>
              <w:bottom w:val="nil"/>
            </w:tcBorders>
            <w:shd w:val="clear" w:color="auto" w:fill="auto"/>
            <w:vAlign w:val="center"/>
          </w:tcPr>
          <w:p w14:paraId="7E16ED40"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highlight w:val="yellow"/>
              </w:rPr>
            </w:pPr>
            <w:r w:rsidRPr="00AC04CA">
              <w:rPr>
                <w:rFonts w:cs="Arial"/>
                <w:b/>
                <w:bCs/>
                <w:szCs w:val="14"/>
              </w:rPr>
              <w:t>(3</w:t>
            </w:r>
            <w:r>
              <w:rPr>
                <w:rFonts w:cs="Arial"/>
                <w:b/>
                <w:bCs/>
                <w:szCs w:val="14"/>
              </w:rPr>
              <w:t>,</w:t>
            </w:r>
            <w:r w:rsidRPr="00AC04CA">
              <w:rPr>
                <w:rFonts w:cs="Arial"/>
                <w:b/>
                <w:bCs/>
                <w:szCs w:val="14"/>
              </w:rPr>
              <w:t>196)</w:t>
            </w:r>
          </w:p>
        </w:tc>
        <w:tc>
          <w:tcPr>
            <w:tcW w:w="1890" w:type="dxa"/>
            <w:tcBorders>
              <w:top w:val="nil"/>
              <w:bottom w:val="nil"/>
            </w:tcBorders>
            <w:shd w:val="clear" w:color="auto" w:fill="auto"/>
            <w:vAlign w:val="center"/>
          </w:tcPr>
          <w:p w14:paraId="5098BD7D"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bCs/>
                <w:color w:val="auto"/>
                <w:szCs w:val="14"/>
              </w:rPr>
              <w:t>643</w:t>
            </w:r>
          </w:p>
        </w:tc>
        <w:tc>
          <w:tcPr>
            <w:tcW w:w="1890" w:type="dxa"/>
            <w:tcBorders>
              <w:top w:val="nil"/>
              <w:bottom w:val="nil"/>
            </w:tcBorders>
            <w:shd w:val="clear" w:color="auto" w:fill="auto"/>
            <w:vAlign w:val="center"/>
          </w:tcPr>
          <w:p w14:paraId="0EAA4D63"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bCs/>
                <w:szCs w:val="14"/>
              </w:rPr>
              <w:t>(2</w:t>
            </w:r>
            <w:r>
              <w:rPr>
                <w:rFonts w:cs="Arial"/>
                <w:b/>
                <w:bCs/>
                <w:szCs w:val="14"/>
              </w:rPr>
              <w:t>,</w:t>
            </w:r>
            <w:r w:rsidRPr="00AC04CA">
              <w:rPr>
                <w:rFonts w:cs="Arial"/>
                <w:b/>
                <w:bCs/>
                <w:szCs w:val="14"/>
              </w:rPr>
              <w:t>553)</w:t>
            </w:r>
          </w:p>
        </w:tc>
      </w:tr>
      <w:tr w:rsidR="005357C6" w:rsidRPr="004D58A9" w14:paraId="62A6BBB2" w14:textId="77777777" w:rsidTr="00286D7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EC43B0A" w14:textId="77777777" w:rsidR="005357C6" w:rsidRPr="004D58A9" w:rsidRDefault="005357C6" w:rsidP="00AC04CA">
            <w:pPr>
              <w:pStyle w:val="08-Tabelageral"/>
              <w:ind w:left="113"/>
              <w:jc w:val="left"/>
              <w:rPr>
                <w:b w:val="0"/>
                <w:szCs w:val="14"/>
              </w:rPr>
            </w:pPr>
            <w:r w:rsidRPr="009768B6">
              <w:rPr>
                <w:b w:val="0"/>
              </w:rPr>
              <w:t>Administrative expenses diverse</w:t>
            </w:r>
          </w:p>
        </w:tc>
        <w:tc>
          <w:tcPr>
            <w:tcW w:w="1889" w:type="dxa"/>
            <w:tcBorders>
              <w:top w:val="nil"/>
              <w:bottom w:val="nil"/>
            </w:tcBorders>
            <w:shd w:val="clear" w:color="auto" w:fill="auto"/>
            <w:vAlign w:val="center"/>
          </w:tcPr>
          <w:p w14:paraId="0919BBD0"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highlight w:val="yellow"/>
              </w:rPr>
            </w:pPr>
            <w:r w:rsidRPr="00AC04CA">
              <w:rPr>
                <w:rFonts w:cs="Arial"/>
                <w:bCs/>
                <w:szCs w:val="14"/>
              </w:rPr>
              <w:t>(3</w:t>
            </w:r>
            <w:r>
              <w:rPr>
                <w:rFonts w:cs="Arial"/>
                <w:bCs/>
                <w:szCs w:val="14"/>
              </w:rPr>
              <w:t>,</w:t>
            </w:r>
            <w:r w:rsidRPr="00AC04CA">
              <w:rPr>
                <w:rFonts w:cs="Arial"/>
                <w:bCs/>
                <w:szCs w:val="14"/>
              </w:rPr>
              <w:t>152)</w:t>
            </w:r>
          </w:p>
        </w:tc>
        <w:tc>
          <w:tcPr>
            <w:tcW w:w="1890" w:type="dxa"/>
            <w:tcBorders>
              <w:top w:val="nil"/>
              <w:bottom w:val="nil"/>
            </w:tcBorders>
            <w:shd w:val="clear" w:color="auto" w:fill="auto"/>
            <w:vAlign w:val="center"/>
          </w:tcPr>
          <w:p w14:paraId="3B46D17C"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AC04CA">
              <w:rPr>
                <w:rFonts w:cs="Arial"/>
                <w:bCs/>
                <w:color w:val="auto"/>
                <w:szCs w:val="14"/>
              </w:rPr>
              <w:t>643</w:t>
            </w:r>
          </w:p>
        </w:tc>
        <w:tc>
          <w:tcPr>
            <w:tcW w:w="1890" w:type="dxa"/>
            <w:tcBorders>
              <w:top w:val="nil"/>
              <w:bottom w:val="nil"/>
            </w:tcBorders>
            <w:shd w:val="clear" w:color="auto" w:fill="auto"/>
            <w:vAlign w:val="center"/>
          </w:tcPr>
          <w:p w14:paraId="26DF615C"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AC04CA">
              <w:rPr>
                <w:rFonts w:cs="Arial"/>
                <w:bCs/>
                <w:szCs w:val="14"/>
              </w:rPr>
              <w:t>(2</w:t>
            </w:r>
            <w:r>
              <w:rPr>
                <w:rFonts w:cs="Arial"/>
                <w:bCs/>
                <w:szCs w:val="14"/>
              </w:rPr>
              <w:t>,</w:t>
            </w:r>
            <w:r w:rsidRPr="00AC04CA">
              <w:rPr>
                <w:rFonts w:cs="Arial"/>
                <w:bCs/>
                <w:szCs w:val="14"/>
              </w:rPr>
              <w:t>509)</w:t>
            </w:r>
          </w:p>
        </w:tc>
      </w:tr>
      <w:tr w:rsidR="005357C6" w:rsidRPr="004D58A9" w14:paraId="2C253CB1" w14:textId="77777777" w:rsidTr="00286D7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17B7B20" w14:textId="77777777" w:rsidR="005357C6" w:rsidRPr="004D58A9" w:rsidRDefault="005357C6" w:rsidP="00AC04CA">
            <w:pPr>
              <w:pStyle w:val="08-Tabelageral"/>
              <w:ind w:left="113"/>
              <w:jc w:val="left"/>
              <w:rPr>
                <w:b w:val="0"/>
                <w:szCs w:val="14"/>
                <w:highlight w:val="cyan"/>
              </w:rPr>
            </w:pPr>
            <w:r w:rsidRPr="009768B6">
              <w:rPr>
                <w:b w:val="0"/>
              </w:rPr>
              <w:t xml:space="preserve">Other </w:t>
            </w:r>
            <w:r>
              <w:rPr>
                <w:b w:val="0"/>
              </w:rPr>
              <w:t>expenses</w:t>
            </w:r>
          </w:p>
        </w:tc>
        <w:tc>
          <w:tcPr>
            <w:tcW w:w="1889" w:type="dxa"/>
            <w:tcBorders>
              <w:top w:val="nil"/>
              <w:bottom w:val="nil"/>
            </w:tcBorders>
            <w:shd w:val="clear" w:color="auto" w:fill="auto"/>
            <w:vAlign w:val="center"/>
          </w:tcPr>
          <w:p w14:paraId="692F3DD5"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highlight w:val="cyan"/>
              </w:rPr>
            </w:pPr>
            <w:r w:rsidRPr="00AC04CA">
              <w:rPr>
                <w:rFonts w:cs="Arial"/>
                <w:bCs/>
                <w:szCs w:val="14"/>
              </w:rPr>
              <w:t>(44)</w:t>
            </w:r>
          </w:p>
        </w:tc>
        <w:tc>
          <w:tcPr>
            <w:tcW w:w="1890" w:type="dxa"/>
            <w:tcBorders>
              <w:top w:val="nil"/>
              <w:bottom w:val="nil"/>
            </w:tcBorders>
            <w:shd w:val="clear" w:color="auto" w:fill="auto"/>
            <w:vAlign w:val="center"/>
          </w:tcPr>
          <w:p w14:paraId="546411F5"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highlight w:val="cyan"/>
              </w:rPr>
            </w:pPr>
            <w:r w:rsidRPr="00AC04CA">
              <w:rPr>
                <w:rFonts w:cs="Arial"/>
                <w:bCs/>
                <w:color w:val="auto"/>
                <w:szCs w:val="14"/>
              </w:rPr>
              <w:t>--</w:t>
            </w:r>
          </w:p>
        </w:tc>
        <w:tc>
          <w:tcPr>
            <w:tcW w:w="1890" w:type="dxa"/>
            <w:tcBorders>
              <w:top w:val="nil"/>
              <w:bottom w:val="nil"/>
            </w:tcBorders>
            <w:shd w:val="clear" w:color="auto" w:fill="auto"/>
            <w:vAlign w:val="center"/>
          </w:tcPr>
          <w:p w14:paraId="1E11CE54"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AC04CA">
              <w:rPr>
                <w:rFonts w:cs="Arial"/>
                <w:bCs/>
                <w:szCs w:val="14"/>
              </w:rPr>
              <w:t>(44)</w:t>
            </w:r>
          </w:p>
        </w:tc>
      </w:tr>
      <w:tr w:rsidR="005357C6" w:rsidRPr="00AD7090" w14:paraId="0CDB3453" w14:textId="77777777" w:rsidTr="00286D7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B96136A" w14:textId="77777777" w:rsidR="005357C6" w:rsidRPr="00AD7090" w:rsidRDefault="005357C6" w:rsidP="00AC04CA">
            <w:pPr>
              <w:pStyle w:val="08-Tabelageral"/>
              <w:jc w:val="left"/>
              <w:rPr>
                <w:szCs w:val="14"/>
              </w:rPr>
            </w:pPr>
            <w:r w:rsidRPr="00AD7090">
              <w:rPr>
                <w:rFonts w:cs="Arial"/>
                <w:szCs w:val="14"/>
              </w:rPr>
              <w:t>Gross Added Value</w:t>
            </w:r>
          </w:p>
        </w:tc>
        <w:tc>
          <w:tcPr>
            <w:tcW w:w="1889" w:type="dxa"/>
            <w:tcBorders>
              <w:top w:val="nil"/>
              <w:bottom w:val="nil"/>
            </w:tcBorders>
            <w:shd w:val="clear" w:color="auto" w:fill="auto"/>
            <w:vAlign w:val="center"/>
          </w:tcPr>
          <w:p w14:paraId="37739D6E"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szCs w:val="14"/>
              </w:rPr>
              <w:t>5</w:t>
            </w:r>
            <w:r>
              <w:rPr>
                <w:rFonts w:cs="Arial"/>
                <w:b/>
                <w:bCs/>
                <w:szCs w:val="14"/>
              </w:rPr>
              <w:t>,</w:t>
            </w:r>
            <w:r w:rsidRPr="00AC04CA">
              <w:rPr>
                <w:rFonts w:cs="Arial"/>
                <w:b/>
                <w:bCs/>
                <w:szCs w:val="14"/>
              </w:rPr>
              <w:t>828</w:t>
            </w:r>
          </w:p>
        </w:tc>
        <w:tc>
          <w:tcPr>
            <w:tcW w:w="1890" w:type="dxa"/>
            <w:tcBorders>
              <w:top w:val="nil"/>
              <w:bottom w:val="nil"/>
            </w:tcBorders>
            <w:shd w:val="clear" w:color="auto" w:fill="auto"/>
            <w:vAlign w:val="center"/>
          </w:tcPr>
          <w:p w14:paraId="696B4938"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color w:val="auto"/>
                <w:szCs w:val="14"/>
              </w:rPr>
              <w:t>643</w:t>
            </w:r>
          </w:p>
        </w:tc>
        <w:tc>
          <w:tcPr>
            <w:tcW w:w="1890" w:type="dxa"/>
            <w:tcBorders>
              <w:top w:val="nil"/>
              <w:bottom w:val="nil"/>
            </w:tcBorders>
            <w:shd w:val="clear" w:color="auto" w:fill="auto"/>
            <w:vAlign w:val="center"/>
          </w:tcPr>
          <w:p w14:paraId="53E4D564"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szCs w:val="14"/>
              </w:rPr>
              <w:t>6</w:t>
            </w:r>
            <w:r>
              <w:rPr>
                <w:rFonts w:cs="Arial"/>
                <w:b/>
                <w:bCs/>
                <w:szCs w:val="14"/>
              </w:rPr>
              <w:t>,</w:t>
            </w:r>
            <w:r w:rsidRPr="00AC04CA">
              <w:rPr>
                <w:rFonts w:cs="Arial"/>
                <w:b/>
                <w:bCs/>
                <w:szCs w:val="14"/>
              </w:rPr>
              <w:t>471</w:t>
            </w:r>
          </w:p>
        </w:tc>
      </w:tr>
      <w:tr w:rsidR="005357C6" w:rsidRPr="00AD7090" w14:paraId="6BDDAD5E" w14:textId="77777777" w:rsidTr="00286D7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0730335" w14:textId="77777777" w:rsidR="005357C6" w:rsidRPr="00AD7090" w:rsidRDefault="005357C6" w:rsidP="00AC04CA">
            <w:pPr>
              <w:pStyle w:val="08-Tabelageral"/>
              <w:jc w:val="left"/>
              <w:rPr>
                <w:szCs w:val="14"/>
              </w:rPr>
            </w:pPr>
            <w:r w:rsidRPr="00AD7090">
              <w:rPr>
                <w:rFonts w:cs="Arial"/>
                <w:szCs w:val="14"/>
              </w:rPr>
              <w:t>Depreciation and amortization</w:t>
            </w:r>
          </w:p>
        </w:tc>
        <w:tc>
          <w:tcPr>
            <w:tcW w:w="1889" w:type="dxa"/>
            <w:tcBorders>
              <w:top w:val="nil"/>
              <w:bottom w:val="nil"/>
            </w:tcBorders>
            <w:shd w:val="clear" w:color="auto" w:fill="auto"/>
            <w:vAlign w:val="center"/>
          </w:tcPr>
          <w:p w14:paraId="674EE4CA"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bCs/>
                <w:szCs w:val="14"/>
              </w:rPr>
              <w:t>(150)</w:t>
            </w:r>
          </w:p>
        </w:tc>
        <w:tc>
          <w:tcPr>
            <w:tcW w:w="1890" w:type="dxa"/>
            <w:tcBorders>
              <w:top w:val="nil"/>
              <w:bottom w:val="nil"/>
            </w:tcBorders>
            <w:shd w:val="clear" w:color="auto" w:fill="auto"/>
            <w:vAlign w:val="center"/>
          </w:tcPr>
          <w:p w14:paraId="58ABFFBC"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bCs/>
                <w:color w:val="auto"/>
                <w:szCs w:val="14"/>
              </w:rPr>
              <w:t>--</w:t>
            </w:r>
          </w:p>
        </w:tc>
        <w:tc>
          <w:tcPr>
            <w:tcW w:w="1890" w:type="dxa"/>
            <w:tcBorders>
              <w:top w:val="nil"/>
              <w:bottom w:val="nil"/>
            </w:tcBorders>
            <w:shd w:val="clear" w:color="auto" w:fill="auto"/>
            <w:vAlign w:val="center"/>
          </w:tcPr>
          <w:p w14:paraId="597EADC8"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bCs/>
                <w:color w:val="auto"/>
                <w:szCs w:val="14"/>
              </w:rPr>
              <w:t>(150)</w:t>
            </w:r>
          </w:p>
        </w:tc>
      </w:tr>
      <w:tr w:rsidR="005357C6" w:rsidRPr="00AD7090" w14:paraId="681FD671" w14:textId="77777777" w:rsidTr="00286D7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250D594" w14:textId="77777777" w:rsidR="005357C6" w:rsidRPr="00AD7090" w:rsidRDefault="005357C6" w:rsidP="00AC04CA">
            <w:pPr>
              <w:pStyle w:val="08-Tabelageral"/>
              <w:jc w:val="left"/>
              <w:rPr>
                <w:szCs w:val="14"/>
                <w:lang w:val="en-US"/>
              </w:rPr>
            </w:pPr>
            <w:r w:rsidRPr="00AD7090">
              <w:rPr>
                <w:rFonts w:cs="Arial"/>
                <w:szCs w:val="14"/>
                <w:lang w:val="en-US"/>
              </w:rPr>
              <w:t>Net Added Value Generated by the Entity</w:t>
            </w:r>
          </w:p>
        </w:tc>
        <w:tc>
          <w:tcPr>
            <w:tcW w:w="1889" w:type="dxa"/>
            <w:tcBorders>
              <w:top w:val="nil"/>
              <w:bottom w:val="nil"/>
            </w:tcBorders>
            <w:shd w:val="clear" w:color="auto" w:fill="auto"/>
            <w:vAlign w:val="center"/>
          </w:tcPr>
          <w:p w14:paraId="621E4DEE" w14:textId="77777777" w:rsidR="005357C6" w:rsidRPr="00AC04CA" w:rsidRDefault="005357C6" w:rsidP="00AC04CA">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14"/>
                <w:szCs w:val="14"/>
              </w:rPr>
            </w:pPr>
            <w:r w:rsidRPr="00AC04CA">
              <w:rPr>
                <w:rFonts w:cs="Arial"/>
                <w:b/>
                <w:bCs/>
                <w:sz w:val="14"/>
                <w:szCs w:val="14"/>
              </w:rPr>
              <w:t>5</w:t>
            </w:r>
            <w:r>
              <w:rPr>
                <w:rFonts w:cs="Arial"/>
                <w:b/>
                <w:bCs/>
                <w:sz w:val="14"/>
                <w:szCs w:val="14"/>
              </w:rPr>
              <w:t>,</w:t>
            </w:r>
            <w:r w:rsidRPr="00AC04CA">
              <w:rPr>
                <w:rFonts w:cs="Arial"/>
                <w:b/>
                <w:bCs/>
                <w:sz w:val="14"/>
                <w:szCs w:val="14"/>
              </w:rPr>
              <w:t>678</w:t>
            </w:r>
          </w:p>
        </w:tc>
        <w:tc>
          <w:tcPr>
            <w:tcW w:w="1890" w:type="dxa"/>
            <w:tcBorders>
              <w:top w:val="nil"/>
              <w:bottom w:val="nil"/>
            </w:tcBorders>
            <w:shd w:val="clear" w:color="auto" w:fill="auto"/>
            <w:vAlign w:val="center"/>
          </w:tcPr>
          <w:p w14:paraId="3FA08205"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color w:val="auto"/>
                <w:szCs w:val="14"/>
              </w:rPr>
              <w:t>643</w:t>
            </w:r>
          </w:p>
        </w:tc>
        <w:tc>
          <w:tcPr>
            <w:tcW w:w="1890" w:type="dxa"/>
            <w:tcBorders>
              <w:top w:val="nil"/>
              <w:bottom w:val="nil"/>
            </w:tcBorders>
            <w:shd w:val="clear" w:color="auto" w:fill="auto"/>
            <w:vAlign w:val="center"/>
          </w:tcPr>
          <w:p w14:paraId="0BA8DC80"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szCs w:val="14"/>
              </w:rPr>
              <w:t>6</w:t>
            </w:r>
            <w:r>
              <w:rPr>
                <w:rFonts w:cs="Arial"/>
                <w:b/>
                <w:bCs/>
                <w:szCs w:val="14"/>
              </w:rPr>
              <w:t>,</w:t>
            </w:r>
            <w:r w:rsidRPr="00AC04CA">
              <w:rPr>
                <w:rFonts w:cs="Arial"/>
                <w:b/>
                <w:bCs/>
                <w:szCs w:val="14"/>
              </w:rPr>
              <w:t>321</w:t>
            </w:r>
          </w:p>
        </w:tc>
      </w:tr>
      <w:tr w:rsidR="005357C6" w:rsidRPr="00AD7090" w14:paraId="0D20C5E2" w14:textId="77777777" w:rsidTr="00286D7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87292E1" w14:textId="77777777" w:rsidR="005357C6" w:rsidRPr="00AD7090" w:rsidRDefault="005357C6" w:rsidP="00AC04CA">
            <w:pPr>
              <w:pStyle w:val="08-Tabelageral"/>
              <w:jc w:val="left"/>
              <w:rPr>
                <w:szCs w:val="14"/>
                <w:lang w:val="en-US"/>
              </w:rPr>
            </w:pPr>
            <w:r w:rsidRPr="00AD7090">
              <w:rPr>
                <w:rFonts w:cs="Arial"/>
                <w:szCs w:val="14"/>
                <w:lang w:val="en-US"/>
              </w:rPr>
              <w:t>Added Value Received Through Transfer</w:t>
            </w:r>
          </w:p>
        </w:tc>
        <w:tc>
          <w:tcPr>
            <w:tcW w:w="1889" w:type="dxa"/>
            <w:tcBorders>
              <w:top w:val="nil"/>
              <w:bottom w:val="nil"/>
            </w:tcBorders>
            <w:shd w:val="clear" w:color="auto" w:fill="auto"/>
            <w:vAlign w:val="center"/>
          </w:tcPr>
          <w:p w14:paraId="4E7995CF" w14:textId="77777777" w:rsidR="005357C6" w:rsidRPr="00AC04CA" w:rsidRDefault="005357C6" w:rsidP="00AC04CA">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4"/>
                <w:szCs w:val="14"/>
              </w:rPr>
            </w:pPr>
            <w:r w:rsidRPr="00AC04CA">
              <w:rPr>
                <w:rFonts w:cs="Arial"/>
                <w:b/>
                <w:bCs/>
                <w:sz w:val="14"/>
                <w:szCs w:val="14"/>
              </w:rPr>
              <w:t>3</w:t>
            </w:r>
            <w:r>
              <w:rPr>
                <w:rFonts w:cs="Arial"/>
                <w:b/>
                <w:bCs/>
                <w:sz w:val="14"/>
                <w:szCs w:val="14"/>
              </w:rPr>
              <w:t>,</w:t>
            </w:r>
            <w:r w:rsidRPr="00AC04CA">
              <w:rPr>
                <w:rFonts w:cs="Arial"/>
                <w:b/>
                <w:bCs/>
                <w:sz w:val="14"/>
                <w:szCs w:val="14"/>
              </w:rPr>
              <w:t>950</w:t>
            </w:r>
            <w:r>
              <w:rPr>
                <w:rFonts w:cs="Arial"/>
                <w:b/>
                <w:bCs/>
                <w:sz w:val="14"/>
                <w:szCs w:val="14"/>
              </w:rPr>
              <w:t>,</w:t>
            </w:r>
            <w:r w:rsidRPr="00AC04CA">
              <w:rPr>
                <w:rFonts w:cs="Arial"/>
                <w:b/>
                <w:bCs/>
                <w:sz w:val="14"/>
                <w:szCs w:val="14"/>
              </w:rPr>
              <w:t>585</w:t>
            </w:r>
          </w:p>
        </w:tc>
        <w:tc>
          <w:tcPr>
            <w:tcW w:w="1890" w:type="dxa"/>
            <w:tcBorders>
              <w:top w:val="nil"/>
              <w:bottom w:val="nil"/>
            </w:tcBorders>
            <w:shd w:val="clear" w:color="auto" w:fill="auto"/>
            <w:vAlign w:val="center"/>
          </w:tcPr>
          <w:p w14:paraId="2974F866"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bCs/>
                <w:color w:val="auto"/>
                <w:szCs w:val="14"/>
              </w:rPr>
              <w:t>--</w:t>
            </w:r>
          </w:p>
        </w:tc>
        <w:tc>
          <w:tcPr>
            <w:tcW w:w="1890" w:type="dxa"/>
            <w:tcBorders>
              <w:top w:val="nil"/>
              <w:bottom w:val="nil"/>
            </w:tcBorders>
            <w:shd w:val="clear" w:color="auto" w:fill="auto"/>
            <w:vAlign w:val="center"/>
          </w:tcPr>
          <w:p w14:paraId="076A1E80"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bCs/>
                <w:szCs w:val="14"/>
              </w:rPr>
              <w:t>3</w:t>
            </w:r>
            <w:r>
              <w:rPr>
                <w:rFonts w:cs="Arial"/>
                <w:b/>
                <w:bCs/>
                <w:szCs w:val="14"/>
              </w:rPr>
              <w:t>,</w:t>
            </w:r>
            <w:r w:rsidRPr="00AC04CA">
              <w:rPr>
                <w:rFonts w:cs="Arial"/>
                <w:b/>
                <w:bCs/>
                <w:szCs w:val="14"/>
              </w:rPr>
              <w:t>950</w:t>
            </w:r>
            <w:r>
              <w:rPr>
                <w:rFonts w:cs="Arial"/>
                <w:b/>
                <w:bCs/>
                <w:szCs w:val="14"/>
              </w:rPr>
              <w:t>,</w:t>
            </w:r>
            <w:r w:rsidRPr="00AC04CA">
              <w:rPr>
                <w:rFonts w:cs="Arial"/>
                <w:b/>
                <w:bCs/>
                <w:szCs w:val="14"/>
              </w:rPr>
              <w:t>585</w:t>
            </w:r>
          </w:p>
        </w:tc>
      </w:tr>
      <w:tr w:rsidR="005357C6" w:rsidRPr="00AD7090" w14:paraId="124D5E13" w14:textId="77777777" w:rsidTr="00286D7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D54171D" w14:textId="77777777" w:rsidR="005357C6" w:rsidRPr="00AD7090" w:rsidRDefault="005357C6" w:rsidP="00AC04CA">
            <w:pPr>
              <w:pStyle w:val="08-Tabelageral"/>
              <w:jc w:val="left"/>
              <w:rPr>
                <w:szCs w:val="14"/>
                <w:lang w:val="en-US"/>
              </w:rPr>
            </w:pPr>
            <w:r w:rsidRPr="00AD7090">
              <w:rPr>
                <w:rFonts w:cs="Arial"/>
                <w:szCs w:val="14"/>
                <w:lang w:val="en-US"/>
              </w:rPr>
              <w:t>Total Added Value to Distribute</w:t>
            </w:r>
          </w:p>
        </w:tc>
        <w:tc>
          <w:tcPr>
            <w:tcW w:w="1889" w:type="dxa"/>
            <w:tcBorders>
              <w:top w:val="nil"/>
              <w:bottom w:val="nil"/>
            </w:tcBorders>
            <w:shd w:val="clear" w:color="auto" w:fill="auto"/>
            <w:vAlign w:val="center"/>
          </w:tcPr>
          <w:p w14:paraId="5E078D39" w14:textId="77777777" w:rsidR="005357C6" w:rsidRPr="00AC04CA" w:rsidRDefault="005357C6" w:rsidP="00AC04CA">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14"/>
                <w:szCs w:val="14"/>
              </w:rPr>
            </w:pPr>
            <w:r w:rsidRPr="00AC04CA">
              <w:rPr>
                <w:rFonts w:cs="Arial"/>
                <w:b/>
                <w:bCs/>
                <w:sz w:val="14"/>
                <w:szCs w:val="14"/>
              </w:rPr>
              <w:t>3</w:t>
            </w:r>
            <w:r>
              <w:rPr>
                <w:rFonts w:cs="Arial"/>
                <w:b/>
                <w:bCs/>
                <w:sz w:val="14"/>
                <w:szCs w:val="14"/>
              </w:rPr>
              <w:t>,</w:t>
            </w:r>
            <w:r w:rsidRPr="00AC04CA">
              <w:rPr>
                <w:rFonts w:cs="Arial"/>
                <w:b/>
                <w:bCs/>
                <w:sz w:val="14"/>
                <w:szCs w:val="14"/>
              </w:rPr>
              <w:t>956</w:t>
            </w:r>
            <w:r>
              <w:rPr>
                <w:rFonts w:cs="Arial"/>
                <w:b/>
                <w:bCs/>
                <w:sz w:val="14"/>
                <w:szCs w:val="14"/>
              </w:rPr>
              <w:t>,</w:t>
            </w:r>
            <w:r w:rsidRPr="00AC04CA">
              <w:rPr>
                <w:rFonts w:cs="Arial"/>
                <w:b/>
                <w:bCs/>
                <w:sz w:val="14"/>
                <w:szCs w:val="14"/>
              </w:rPr>
              <w:t>263</w:t>
            </w:r>
          </w:p>
        </w:tc>
        <w:tc>
          <w:tcPr>
            <w:tcW w:w="1890" w:type="dxa"/>
            <w:tcBorders>
              <w:top w:val="nil"/>
              <w:bottom w:val="nil"/>
            </w:tcBorders>
            <w:shd w:val="clear" w:color="auto" w:fill="auto"/>
            <w:vAlign w:val="center"/>
          </w:tcPr>
          <w:p w14:paraId="62C1ADCE"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color w:val="auto"/>
                <w:szCs w:val="14"/>
              </w:rPr>
              <w:t>643</w:t>
            </w:r>
          </w:p>
        </w:tc>
        <w:tc>
          <w:tcPr>
            <w:tcW w:w="1890" w:type="dxa"/>
            <w:tcBorders>
              <w:top w:val="nil"/>
              <w:bottom w:val="nil"/>
            </w:tcBorders>
            <w:shd w:val="clear" w:color="auto" w:fill="auto"/>
            <w:vAlign w:val="center"/>
          </w:tcPr>
          <w:p w14:paraId="3B359978"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szCs w:val="14"/>
              </w:rPr>
              <w:t>3</w:t>
            </w:r>
            <w:r>
              <w:rPr>
                <w:rFonts w:cs="Arial"/>
                <w:b/>
                <w:bCs/>
                <w:szCs w:val="14"/>
              </w:rPr>
              <w:t>,</w:t>
            </w:r>
            <w:r w:rsidRPr="00AC04CA">
              <w:rPr>
                <w:rFonts w:cs="Arial"/>
                <w:b/>
                <w:bCs/>
                <w:szCs w:val="14"/>
              </w:rPr>
              <w:t>956</w:t>
            </w:r>
            <w:r>
              <w:rPr>
                <w:rFonts w:cs="Arial"/>
                <w:b/>
                <w:bCs/>
                <w:szCs w:val="14"/>
              </w:rPr>
              <w:t>,</w:t>
            </w:r>
            <w:r w:rsidRPr="00AC04CA">
              <w:rPr>
                <w:rFonts w:cs="Arial"/>
                <w:b/>
                <w:bCs/>
                <w:szCs w:val="14"/>
              </w:rPr>
              <w:t>906</w:t>
            </w:r>
          </w:p>
        </w:tc>
      </w:tr>
      <w:tr w:rsidR="005357C6" w:rsidRPr="009016C7" w14:paraId="05B9E25B" w14:textId="77777777" w:rsidTr="00286D7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D1EAB56" w14:textId="77777777" w:rsidR="005357C6" w:rsidRPr="009016C7" w:rsidRDefault="005357C6" w:rsidP="00AC04CA">
            <w:pPr>
              <w:pStyle w:val="08-Tabelageral"/>
              <w:jc w:val="left"/>
              <w:rPr>
                <w:szCs w:val="14"/>
              </w:rPr>
            </w:pPr>
          </w:p>
        </w:tc>
        <w:tc>
          <w:tcPr>
            <w:tcW w:w="1889" w:type="dxa"/>
            <w:tcBorders>
              <w:top w:val="nil"/>
              <w:bottom w:val="nil"/>
            </w:tcBorders>
            <w:shd w:val="clear" w:color="auto" w:fill="auto"/>
            <w:vAlign w:val="center"/>
          </w:tcPr>
          <w:p w14:paraId="5C9FD111"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p>
        </w:tc>
        <w:tc>
          <w:tcPr>
            <w:tcW w:w="1890" w:type="dxa"/>
            <w:tcBorders>
              <w:top w:val="nil"/>
              <w:bottom w:val="nil"/>
            </w:tcBorders>
            <w:shd w:val="clear" w:color="auto" w:fill="auto"/>
            <w:vAlign w:val="center"/>
          </w:tcPr>
          <w:p w14:paraId="7A24564F"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p>
        </w:tc>
        <w:tc>
          <w:tcPr>
            <w:tcW w:w="1890" w:type="dxa"/>
            <w:tcBorders>
              <w:top w:val="nil"/>
              <w:bottom w:val="nil"/>
            </w:tcBorders>
            <w:shd w:val="clear" w:color="auto" w:fill="auto"/>
            <w:vAlign w:val="center"/>
          </w:tcPr>
          <w:p w14:paraId="5F100C6F"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p>
        </w:tc>
      </w:tr>
      <w:tr w:rsidR="005357C6" w:rsidRPr="00AD7090" w14:paraId="3207772A" w14:textId="77777777" w:rsidTr="00286D7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72D8357" w14:textId="77777777" w:rsidR="005357C6" w:rsidRPr="00AD7090" w:rsidRDefault="005357C6" w:rsidP="00AC04CA">
            <w:pPr>
              <w:pStyle w:val="08-Tabelageral"/>
              <w:jc w:val="left"/>
              <w:rPr>
                <w:szCs w:val="14"/>
              </w:rPr>
            </w:pPr>
            <w:r w:rsidRPr="00AD7090">
              <w:rPr>
                <w:rFonts w:cs="Arial"/>
                <w:szCs w:val="14"/>
              </w:rPr>
              <w:t>Distribution of Added Value</w:t>
            </w:r>
          </w:p>
        </w:tc>
        <w:tc>
          <w:tcPr>
            <w:tcW w:w="1889" w:type="dxa"/>
            <w:tcBorders>
              <w:top w:val="nil"/>
              <w:bottom w:val="nil"/>
            </w:tcBorders>
            <w:shd w:val="clear" w:color="auto" w:fill="auto"/>
            <w:vAlign w:val="center"/>
          </w:tcPr>
          <w:p w14:paraId="381488FB"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szCs w:val="14"/>
              </w:rPr>
              <w:t>3</w:t>
            </w:r>
            <w:r>
              <w:rPr>
                <w:rFonts w:cs="Arial"/>
                <w:b/>
                <w:bCs/>
                <w:szCs w:val="14"/>
              </w:rPr>
              <w:t>,</w:t>
            </w:r>
            <w:r w:rsidRPr="00AC04CA">
              <w:rPr>
                <w:rFonts w:cs="Arial"/>
                <w:b/>
                <w:bCs/>
                <w:szCs w:val="14"/>
              </w:rPr>
              <w:t>956</w:t>
            </w:r>
            <w:r>
              <w:rPr>
                <w:rFonts w:cs="Arial"/>
                <w:b/>
                <w:bCs/>
                <w:szCs w:val="14"/>
              </w:rPr>
              <w:t>,</w:t>
            </w:r>
            <w:r w:rsidRPr="00AC04CA">
              <w:rPr>
                <w:rFonts w:cs="Arial"/>
                <w:b/>
                <w:bCs/>
                <w:szCs w:val="14"/>
              </w:rPr>
              <w:t>263</w:t>
            </w:r>
          </w:p>
        </w:tc>
        <w:tc>
          <w:tcPr>
            <w:tcW w:w="1890" w:type="dxa"/>
            <w:tcBorders>
              <w:top w:val="nil"/>
              <w:bottom w:val="nil"/>
            </w:tcBorders>
            <w:shd w:val="clear" w:color="auto" w:fill="auto"/>
            <w:vAlign w:val="center"/>
          </w:tcPr>
          <w:p w14:paraId="06D7E000"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color w:val="auto"/>
                <w:szCs w:val="14"/>
              </w:rPr>
              <w:t>643</w:t>
            </w:r>
          </w:p>
        </w:tc>
        <w:tc>
          <w:tcPr>
            <w:tcW w:w="1890" w:type="dxa"/>
            <w:tcBorders>
              <w:top w:val="nil"/>
              <w:bottom w:val="nil"/>
            </w:tcBorders>
            <w:shd w:val="clear" w:color="auto" w:fill="auto"/>
            <w:vAlign w:val="center"/>
          </w:tcPr>
          <w:p w14:paraId="22B9192C"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szCs w:val="14"/>
              </w:rPr>
              <w:t>3</w:t>
            </w:r>
            <w:r>
              <w:rPr>
                <w:rFonts w:cs="Arial"/>
                <w:b/>
                <w:bCs/>
                <w:szCs w:val="14"/>
              </w:rPr>
              <w:t>,</w:t>
            </w:r>
            <w:r w:rsidRPr="00AC04CA">
              <w:rPr>
                <w:rFonts w:cs="Arial"/>
                <w:b/>
                <w:bCs/>
                <w:szCs w:val="14"/>
              </w:rPr>
              <w:t>956</w:t>
            </w:r>
            <w:r>
              <w:rPr>
                <w:rFonts w:cs="Arial"/>
                <w:b/>
                <w:bCs/>
                <w:szCs w:val="14"/>
              </w:rPr>
              <w:t>,</w:t>
            </w:r>
            <w:r w:rsidRPr="00AC04CA">
              <w:rPr>
                <w:rFonts w:cs="Arial"/>
                <w:b/>
                <w:bCs/>
                <w:szCs w:val="14"/>
              </w:rPr>
              <w:t>906</w:t>
            </w:r>
          </w:p>
        </w:tc>
      </w:tr>
      <w:tr w:rsidR="005357C6" w:rsidRPr="00AD7090" w14:paraId="50441AE6" w14:textId="77777777" w:rsidTr="00D64B0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6373595A" w14:textId="77777777" w:rsidR="005357C6" w:rsidRPr="00AD7090" w:rsidRDefault="005357C6" w:rsidP="00AC04CA">
            <w:pPr>
              <w:pStyle w:val="08-Tabelageral"/>
              <w:jc w:val="left"/>
              <w:rPr>
                <w:rFonts w:cs="Arial"/>
                <w:szCs w:val="14"/>
              </w:rPr>
            </w:pPr>
            <w:r w:rsidRPr="00AD7090">
              <w:t>Personnel</w:t>
            </w:r>
          </w:p>
        </w:tc>
        <w:tc>
          <w:tcPr>
            <w:tcW w:w="1889" w:type="dxa"/>
            <w:tcBorders>
              <w:top w:val="nil"/>
              <w:bottom w:val="nil"/>
            </w:tcBorders>
            <w:shd w:val="clear" w:color="auto" w:fill="auto"/>
            <w:vAlign w:val="center"/>
          </w:tcPr>
          <w:p w14:paraId="5B37BC64"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bCs/>
                <w:szCs w:val="14"/>
              </w:rPr>
              <w:t>12</w:t>
            </w:r>
            <w:r>
              <w:rPr>
                <w:rFonts w:cs="Arial"/>
                <w:b/>
                <w:bCs/>
                <w:szCs w:val="14"/>
              </w:rPr>
              <w:t>,</w:t>
            </w:r>
            <w:r w:rsidRPr="00AC04CA">
              <w:rPr>
                <w:rFonts w:cs="Arial"/>
                <w:b/>
                <w:bCs/>
                <w:szCs w:val="14"/>
              </w:rPr>
              <w:t>167</w:t>
            </w:r>
          </w:p>
        </w:tc>
        <w:tc>
          <w:tcPr>
            <w:tcW w:w="1890" w:type="dxa"/>
            <w:tcBorders>
              <w:top w:val="nil"/>
              <w:bottom w:val="nil"/>
            </w:tcBorders>
            <w:shd w:val="clear" w:color="auto" w:fill="auto"/>
            <w:vAlign w:val="center"/>
          </w:tcPr>
          <w:p w14:paraId="04433B59"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color w:val="000000"/>
                <w:szCs w:val="14"/>
              </w:rPr>
              <w:t>(1</w:t>
            </w:r>
            <w:r>
              <w:rPr>
                <w:rFonts w:cs="Arial"/>
                <w:b/>
                <w:color w:val="000000"/>
                <w:szCs w:val="14"/>
              </w:rPr>
              <w:t>,</w:t>
            </w:r>
            <w:r w:rsidRPr="00AC04CA">
              <w:rPr>
                <w:rFonts w:cs="Arial"/>
                <w:b/>
                <w:color w:val="000000"/>
                <w:szCs w:val="14"/>
              </w:rPr>
              <w:t>652)</w:t>
            </w:r>
          </w:p>
        </w:tc>
        <w:tc>
          <w:tcPr>
            <w:tcW w:w="1890" w:type="dxa"/>
            <w:tcBorders>
              <w:top w:val="nil"/>
              <w:bottom w:val="nil"/>
            </w:tcBorders>
            <w:shd w:val="clear" w:color="auto" w:fill="auto"/>
            <w:vAlign w:val="center"/>
          </w:tcPr>
          <w:p w14:paraId="224871D7"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bCs/>
                <w:color w:val="000000"/>
                <w:szCs w:val="14"/>
              </w:rPr>
              <w:t>10</w:t>
            </w:r>
            <w:r>
              <w:rPr>
                <w:rFonts w:cs="Arial"/>
                <w:b/>
                <w:bCs/>
                <w:color w:val="000000"/>
                <w:szCs w:val="14"/>
              </w:rPr>
              <w:t>,</w:t>
            </w:r>
            <w:r w:rsidRPr="00AC04CA">
              <w:rPr>
                <w:rFonts w:cs="Arial"/>
                <w:b/>
                <w:bCs/>
                <w:color w:val="000000"/>
                <w:szCs w:val="14"/>
              </w:rPr>
              <w:t>515</w:t>
            </w:r>
          </w:p>
        </w:tc>
      </w:tr>
      <w:tr w:rsidR="005357C6" w:rsidRPr="00D64B0C" w14:paraId="68103618" w14:textId="77777777" w:rsidTr="00D64B0C">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5FC8C291" w14:textId="77777777" w:rsidR="005357C6" w:rsidRPr="00D64B0C" w:rsidRDefault="005357C6" w:rsidP="00AC04CA">
            <w:pPr>
              <w:pStyle w:val="08-Tabelageral"/>
              <w:ind w:left="113"/>
              <w:jc w:val="left"/>
              <w:rPr>
                <w:rFonts w:cs="Arial"/>
                <w:b w:val="0"/>
                <w:bCs w:val="0"/>
                <w:szCs w:val="14"/>
                <w:lang w:val="en-US"/>
              </w:rPr>
            </w:pPr>
            <w:r w:rsidRPr="00D64B0C">
              <w:rPr>
                <w:b w:val="0"/>
                <w:bCs w:val="0"/>
                <w:lang w:val="en-US"/>
              </w:rPr>
              <w:t>Direct remuneration - Earnings and fees</w:t>
            </w:r>
          </w:p>
        </w:tc>
        <w:tc>
          <w:tcPr>
            <w:tcW w:w="1889" w:type="dxa"/>
            <w:tcBorders>
              <w:top w:val="nil"/>
              <w:bottom w:val="nil"/>
            </w:tcBorders>
            <w:shd w:val="clear" w:color="auto" w:fill="auto"/>
            <w:vAlign w:val="bottom"/>
          </w:tcPr>
          <w:p w14:paraId="33DD2CC9"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color w:val="auto"/>
                <w:szCs w:val="14"/>
              </w:rPr>
              <w:t>--</w:t>
            </w:r>
          </w:p>
        </w:tc>
        <w:tc>
          <w:tcPr>
            <w:tcW w:w="1890" w:type="dxa"/>
            <w:tcBorders>
              <w:top w:val="nil"/>
              <w:bottom w:val="nil"/>
            </w:tcBorders>
            <w:shd w:val="clear" w:color="auto" w:fill="auto"/>
            <w:vAlign w:val="center"/>
          </w:tcPr>
          <w:p w14:paraId="470BFB61"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szCs w:val="14"/>
              </w:rPr>
              <w:t>7</w:t>
            </w:r>
            <w:r>
              <w:rPr>
                <w:rFonts w:cs="Arial"/>
                <w:bCs/>
                <w:szCs w:val="14"/>
              </w:rPr>
              <w:t>,</w:t>
            </w:r>
            <w:r w:rsidRPr="00AC04CA">
              <w:rPr>
                <w:rFonts w:cs="Arial"/>
                <w:bCs/>
                <w:szCs w:val="14"/>
              </w:rPr>
              <w:t>876</w:t>
            </w:r>
          </w:p>
        </w:tc>
        <w:tc>
          <w:tcPr>
            <w:tcW w:w="1890" w:type="dxa"/>
            <w:tcBorders>
              <w:top w:val="nil"/>
              <w:bottom w:val="nil"/>
            </w:tcBorders>
            <w:shd w:val="clear" w:color="auto" w:fill="auto"/>
            <w:vAlign w:val="center"/>
          </w:tcPr>
          <w:p w14:paraId="31B78258"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szCs w:val="14"/>
              </w:rPr>
              <w:t>7</w:t>
            </w:r>
            <w:r>
              <w:rPr>
                <w:rFonts w:cs="Arial"/>
                <w:bCs/>
                <w:szCs w:val="14"/>
              </w:rPr>
              <w:t>,</w:t>
            </w:r>
            <w:r w:rsidRPr="00AC04CA">
              <w:rPr>
                <w:rFonts w:cs="Arial"/>
                <w:bCs/>
                <w:szCs w:val="14"/>
              </w:rPr>
              <w:t>876</w:t>
            </w:r>
          </w:p>
        </w:tc>
      </w:tr>
      <w:tr w:rsidR="005357C6" w:rsidRPr="00D64B0C" w14:paraId="0ACEEBC4" w14:textId="77777777" w:rsidTr="00D64B0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50F82589" w14:textId="77777777" w:rsidR="005357C6" w:rsidRPr="00D64B0C" w:rsidRDefault="005357C6" w:rsidP="00AC04CA">
            <w:pPr>
              <w:pStyle w:val="08-Tabelageral"/>
              <w:ind w:left="113"/>
              <w:jc w:val="left"/>
              <w:rPr>
                <w:rFonts w:cs="Arial"/>
                <w:b w:val="0"/>
                <w:bCs w:val="0"/>
                <w:szCs w:val="14"/>
              </w:rPr>
            </w:pPr>
            <w:r w:rsidRPr="00D64B0C">
              <w:rPr>
                <w:b w:val="0"/>
                <w:bCs w:val="0"/>
              </w:rPr>
              <w:t>Benefits and training</w:t>
            </w:r>
          </w:p>
        </w:tc>
        <w:tc>
          <w:tcPr>
            <w:tcW w:w="1889" w:type="dxa"/>
            <w:tcBorders>
              <w:top w:val="nil"/>
              <w:bottom w:val="nil"/>
            </w:tcBorders>
            <w:shd w:val="clear" w:color="auto" w:fill="auto"/>
            <w:vAlign w:val="bottom"/>
          </w:tcPr>
          <w:p w14:paraId="5AC4EB69"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AC04CA">
              <w:rPr>
                <w:rFonts w:cs="Arial"/>
                <w:bCs/>
                <w:color w:val="auto"/>
                <w:szCs w:val="14"/>
              </w:rPr>
              <w:t>--</w:t>
            </w:r>
          </w:p>
        </w:tc>
        <w:tc>
          <w:tcPr>
            <w:tcW w:w="1890" w:type="dxa"/>
            <w:tcBorders>
              <w:top w:val="nil"/>
              <w:bottom w:val="nil"/>
            </w:tcBorders>
            <w:shd w:val="clear" w:color="auto" w:fill="auto"/>
            <w:vAlign w:val="center"/>
          </w:tcPr>
          <w:p w14:paraId="4F87F189"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AC04CA">
              <w:rPr>
                <w:rFonts w:cs="Arial"/>
                <w:bCs/>
                <w:szCs w:val="14"/>
              </w:rPr>
              <w:t>1</w:t>
            </w:r>
            <w:r>
              <w:rPr>
                <w:rFonts w:cs="Arial"/>
                <w:bCs/>
                <w:szCs w:val="14"/>
              </w:rPr>
              <w:t>,</w:t>
            </w:r>
            <w:r w:rsidRPr="00AC04CA">
              <w:rPr>
                <w:rFonts w:cs="Arial"/>
                <w:bCs/>
                <w:szCs w:val="14"/>
              </w:rPr>
              <w:t>555</w:t>
            </w:r>
          </w:p>
        </w:tc>
        <w:tc>
          <w:tcPr>
            <w:tcW w:w="1890" w:type="dxa"/>
            <w:tcBorders>
              <w:top w:val="nil"/>
              <w:bottom w:val="nil"/>
            </w:tcBorders>
            <w:shd w:val="clear" w:color="auto" w:fill="auto"/>
            <w:vAlign w:val="center"/>
          </w:tcPr>
          <w:p w14:paraId="2D49FF2B"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AC04CA">
              <w:rPr>
                <w:rFonts w:cs="Arial"/>
                <w:bCs/>
                <w:szCs w:val="14"/>
              </w:rPr>
              <w:t>1</w:t>
            </w:r>
            <w:r>
              <w:rPr>
                <w:rFonts w:cs="Arial"/>
                <w:bCs/>
                <w:szCs w:val="14"/>
              </w:rPr>
              <w:t>,</w:t>
            </w:r>
            <w:r w:rsidRPr="00AC04CA">
              <w:rPr>
                <w:rFonts w:cs="Arial"/>
                <w:bCs/>
                <w:szCs w:val="14"/>
              </w:rPr>
              <w:t>555</w:t>
            </w:r>
          </w:p>
        </w:tc>
      </w:tr>
      <w:tr w:rsidR="005357C6" w:rsidRPr="00D64B0C" w14:paraId="31DFF79E" w14:textId="77777777" w:rsidTr="00D64B0C">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3F377B32" w14:textId="77777777" w:rsidR="005357C6" w:rsidRPr="00D64B0C" w:rsidRDefault="005357C6" w:rsidP="00AC04CA">
            <w:pPr>
              <w:pStyle w:val="08-Tabelageral"/>
              <w:ind w:left="113"/>
              <w:jc w:val="left"/>
              <w:rPr>
                <w:rFonts w:cs="Arial"/>
                <w:b w:val="0"/>
                <w:bCs w:val="0"/>
                <w:szCs w:val="14"/>
              </w:rPr>
            </w:pPr>
            <w:r w:rsidRPr="00D64B0C">
              <w:rPr>
                <w:b w:val="0"/>
                <w:bCs w:val="0"/>
              </w:rPr>
              <w:t>FGTS</w:t>
            </w:r>
          </w:p>
        </w:tc>
        <w:tc>
          <w:tcPr>
            <w:tcW w:w="1889" w:type="dxa"/>
            <w:tcBorders>
              <w:top w:val="nil"/>
              <w:bottom w:val="nil"/>
            </w:tcBorders>
            <w:shd w:val="clear" w:color="auto" w:fill="auto"/>
            <w:vAlign w:val="bottom"/>
          </w:tcPr>
          <w:p w14:paraId="4E7E0175"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color w:val="auto"/>
                <w:szCs w:val="14"/>
              </w:rPr>
              <w:t>--</w:t>
            </w:r>
          </w:p>
        </w:tc>
        <w:tc>
          <w:tcPr>
            <w:tcW w:w="1890" w:type="dxa"/>
            <w:tcBorders>
              <w:top w:val="nil"/>
              <w:bottom w:val="nil"/>
            </w:tcBorders>
            <w:shd w:val="clear" w:color="auto" w:fill="auto"/>
            <w:vAlign w:val="center"/>
          </w:tcPr>
          <w:p w14:paraId="530ACC9B"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szCs w:val="14"/>
              </w:rPr>
              <w:t>426</w:t>
            </w:r>
          </w:p>
        </w:tc>
        <w:tc>
          <w:tcPr>
            <w:tcW w:w="1890" w:type="dxa"/>
            <w:tcBorders>
              <w:top w:val="nil"/>
              <w:bottom w:val="nil"/>
            </w:tcBorders>
            <w:shd w:val="clear" w:color="auto" w:fill="auto"/>
            <w:vAlign w:val="center"/>
          </w:tcPr>
          <w:p w14:paraId="60582DC0"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szCs w:val="14"/>
              </w:rPr>
              <w:t>426</w:t>
            </w:r>
          </w:p>
        </w:tc>
      </w:tr>
      <w:tr w:rsidR="005357C6" w:rsidRPr="00D64B0C" w14:paraId="24B49704" w14:textId="77777777" w:rsidTr="00D64B0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782B2C35" w14:textId="77777777" w:rsidR="005357C6" w:rsidRPr="00D64B0C" w:rsidRDefault="005357C6" w:rsidP="00AC04CA">
            <w:pPr>
              <w:pStyle w:val="08-Tabelageral"/>
              <w:ind w:left="113"/>
              <w:jc w:val="left"/>
              <w:rPr>
                <w:rFonts w:cs="Arial"/>
                <w:b w:val="0"/>
                <w:bCs w:val="0"/>
                <w:szCs w:val="14"/>
              </w:rPr>
            </w:pPr>
            <w:r w:rsidRPr="00D64B0C">
              <w:rPr>
                <w:b w:val="0"/>
                <w:bCs w:val="0"/>
              </w:rPr>
              <w:t>Other charges</w:t>
            </w:r>
          </w:p>
        </w:tc>
        <w:tc>
          <w:tcPr>
            <w:tcW w:w="1889" w:type="dxa"/>
            <w:tcBorders>
              <w:top w:val="nil"/>
              <w:bottom w:val="nil"/>
            </w:tcBorders>
            <w:shd w:val="clear" w:color="auto" w:fill="auto"/>
            <w:vAlign w:val="bottom"/>
          </w:tcPr>
          <w:p w14:paraId="2B4BD5DB"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w:t>
            </w:r>
          </w:p>
        </w:tc>
        <w:tc>
          <w:tcPr>
            <w:tcW w:w="1890" w:type="dxa"/>
            <w:tcBorders>
              <w:top w:val="nil"/>
              <w:bottom w:val="nil"/>
            </w:tcBorders>
            <w:shd w:val="clear" w:color="auto" w:fill="auto"/>
            <w:vAlign w:val="center"/>
          </w:tcPr>
          <w:p w14:paraId="1757FBEB"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658</w:t>
            </w:r>
          </w:p>
        </w:tc>
        <w:tc>
          <w:tcPr>
            <w:tcW w:w="1890" w:type="dxa"/>
            <w:tcBorders>
              <w:top w:val="nil"/>
              <w:bottom w:val="nil"/>
            </w:tcBorders>
            <w:shd w:val="clear" w:color="auto" w:fill="auto"/>
            <w:vAlign w:val="center"/>
          </w:tcPr>
          <w:p w14:paraId="2568132E"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658</w:t>
            </w:r>
          </w:p>
        </w:tc>
      </w:tr>
      <w:tr w:rsidR="005357C6" w:rsidRPr="00AC04CA" w14:paraId="778410B0" w14:textId="77777777" w:rsidTr="00D64B0C">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3F123CFC" w14:textId="77777777" w:rsidR="005357C6" w:rsidRPr="00AC04CA" w:rsidRDefault="005357C6" w:rsidP="00AC04CA">
            <w:pPr>
              <w:pStyle w:val="08-Tabelageral"/>
              <w:jc w:val="left"/>
              <w:rPr>
                <w:szCs w:val="14"/>
                <w:highlight w:val="yellow"/>
              </w:rPr>
            </w:pPr>
            <w:r w:rsidRPr="00AC04CA">
              <w:t>Taxes, fees and contributions</w:t>
            </w:r>
          </w:p>
        </w:tc>
        <w:tc>
          <w:tcPr>
            <w:tcW w:w="1889" w:type="dxa"/>
            <w:tcBorders>
              <w:top w:val="nil"/>
              <w:bottom w:val="nil"/>
            </w:tcBorders>
            <w:shd w:val="clear" w:color="auto" w:fill="auto"/>
            <w:vAlign w:val="center"/>
          </w:tcPr>
          <w:p w14:paraId="39BA62CB"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szCs w:val="14"/>
              </w:rPr>
              <w:t>6</w:t>
            </w:r>
            <w:r>
              <w:rPr>
                <w:rFonts w:cs="Arial"/>
                <w:b/>
                <w:bCs/>
                <w:szCs w:val="14"/>
              </w:rPr>
              <w:t>,</w:t>
            </w:r>
            <w:r w:rsidRPr="00AC04CA">
              <w:rPr>
                <w:rFonts w:cs="Arial"/>
                <w:b/>
                <w:bCs/>
                <w:szCs w:val="14"/>
              </w:rPr>
              <w:t>788</w:t>
            </w:r>
          </w:p>
        </w:tc>
        <w:tc>
          <w:tcPr>
            <w:tcW w:w="1890" w:type="dxa"/>
            <w:tcBorders>
              <w:top w:val="nil"/>
              <w:bottom w:val="nil"/>
            </w:tcBorders>
            <w:shd w:val="clear" w:color="auto" w:fill="auto"/>
            <w:vAlign w:val="center"/>
          </w:tcPr>
          <w:p w14:paraId="3E6CD805"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color w:val="000000"/>
                <w:szCs w:val="14"/>
              </w:rPr>
              <w:t>1</w:t>
            </w:r>
            <w:r>
              <w:rPr>
                <w:rFonts w:cs="Arial"/>
                <w:b/>
                <w:bCs/>
                <w:color w:val="000000"/>
                <w:szCs w:val="14"/>
              </w:rPr>
              <w:t>,</w:t>
            </w:r>
            <w:r w:rsidRPr="00AC04CA">
              <w:rPr>
                <w:rFonts w:cs="Arial"/>
                <w:b/>
                <w:bCs/>
                <w:color w:val="000000"/>
                <w:szCs w:val="14"/>
              </w:rPr>
              <w:t>652</w:t>
            </w:r>
          </w:p>
        </w:tc>
        <w:tc>
          <w:tcPr>
            <w:tcW w:w="1890" w:type="dxa"/>
            <w:tcBorders>
              <w:top w:val="nil"/>
              <w:bottom w:val="nil"/>
            </w:tcBorders>
            <w:shd w:val="clear" w:color="auto" w:fill="auto"/>
            <w:vAlign w:val="center"/>
          </w:tcPr>
          <w:p w14:paraId="70A7FC39"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szCs w:val="14"/>
              </w:rPr>
              <w:t>8</w:t>
            </w:r>
            <w:r>
              <w:rPr>
                <w:rFonts w:cs="Arial"/>
                <w:b/>
                <w:bCs/>
                <w:szCs w:val="14"/>
              </w:rPr>
              <w:t>,</w:t>
            </w:r>
            <w:r w:rsidRPr="00AC04CA">
              <w:rPr>
                <w:rFonts w:cs="Arial"/>
                <w:b/>
                <w:bCs/>
                <w:szCs w:val="14"/>
              </w:rPr>
              <w:t>440</w:t>
            </w:r>
          </w:p>
        </w:tc>
      </w:tr>
      <w:tr w:rsidR="005357C6" w:rsidRPr="00D64B0C" w14:paraId="48FAE5AE" w14:textId="77777777" w:rsidTr="00D64B0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2081250D" w14:textId="77777777" w:rsidR="005357C6" w:rsidRPr="00D64B0C" w:rsidRDefault="005357C6" w:rsidP="00AC04CA">
            <w:pPr>
              <w:pStyle w:val="08-Tabelageral"/>
              <w:ind w:left="113"/>
              <w:jc w:val="left"/>
              <w:rPr>
                <w:rFonts w:cs="Arial"/>
                <w:b w:val="0"/>
                <w:bCs w:val="0"/>
                <w:szCs w:val="14"/>
              </w:rPr>
            </w:pPr>
            <w:r w:rsidRPr="00D64B0C">
              <w:rPr>
                <w:b w:val="0"/>
                <w:bCs w:val="0"/>
              </w:rPr>
              <w:t>Federal</w:t>
            </w:r>
          </w:p>
        </w:tc>
        <w:tc>
          <w:tcPr>
            <w:tcW w:w="1889" w:type="dxa"/>
            <w:tcBorders>
              <w:top w:val="nil"/>
              <w:bottom w:val="nil"/>
            </w:tcBorders>
            <w:shd w:val="clear" w:color="auto" w:fill="auto"/>
            <w:vAlign w:val="bottom"/>
          </w:tcPr>
          <w:p w14:paraId="157739F8"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w:t>
            </w:r>
          </w:p>
        </w:tc>
        <w:tc>
          <w:tcPr>
            <w:tcW w:w="1890" w:type="dxa"/>
            <w:tcBorders>
              <w:top w:val="nil"/>
              <w:bottom w:val="nil"/>
            </w:tcBorders>
            <w:shd w:val="clear" w:color="auto" w:fill="auto"/>
            <w:vAlign w:val="center"/>
          </w:tcPr>
          <w:p w14:paraId="19F79532"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8</w:t>
            </w:r>
            <w:r>
              <w:rPr>
                <w:rFonts w:cs="Arial"/>
                <w:bCs/>
                <w:szCs w:val="14"/>
              </w:rPr>
              <w:t>,</w:t>
            </w:r>
            <w:r w:rsidRPr="00AC04CA">
              <w:rPr>
                <w:rFonts w:cs="Arial"/>
                <w:bCs/>
                <w:szCs w:val="14"/>
              </w:rPr>
              <w:t>440</w:t>
            </w:r>
          </w:p>
        </w:tc>
        <w:tc>
          <w:tcPr>
            <w:tcW w:w="1890" w:type="dxa"/>
            <w:tcBorders>
              <w:top w:val="nil"/>
              <w:bottom w:val="nil"/>
            </w:tcBorders>
            <w:shd w:val="clear" w:color="auto" w:fill="auto"/>
            <w:vAlign w:val="center"/>
          </w:tcPr>
          <w:p w14:paraId="4A23582F"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8</w:t>
            </w:r>
            <w:r>
              <w:rPr>
                <w:rFonts w:cs="Arial"/>
                <w:bCs/>
                <w:szCs w:val="14"/>
              </w:rPr>
              <w:t>,</w:t>
            </w:r>
            <w:r w:rsidRPr="00AC04CA">
              <w:rPr>
                <w:rFonts w:cs="Arial"/>
                <w:bCs/>
                <w:szCs w:val="14"/>
              </w:rPr>
              <w:t>440</w:t>
            </w:r>
          </w:p>
        </w:tc>
      </w:tr>
      <w:tr w:rsidR="005357C6" w:rsidRPr="00AD7090" w14:paraId="4F9EE5B1" w14:textId="77777777" w:rsidTr="001C3F07">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5C4A1F8C" w14:textId="77777777" w:rsidR="005357C6" w:rsidRPr="00AD7090" w:rsidRDefault="005357C6" w:rsidP="00AC04CA">
            <w:pPr>
              <w:pStyle w:val="08-Tabelageral"/>
              <w:jc w:val="left"/>
              <w:rPr>
                <w:rFonts w:cs="Arial"/>
                <w:szCs w:val="14"/>
                <w:lang w:val="en-US"/>
              </w:rPr>
            </w:pPr>
            <w:r w:rsidRPr="00AD7090">
              <w:rPr>
                <w:lang w:val="en-US"/>
              </w:rPr>
              <w:t>Remuneration of third-party capital</w:t>
            </w:r>
          </w:p>
        </w:tc>
        <w:tc>
          <w:tcPr>
            <w:tcW w:w="1889" w:type="dxa"/>
            <w:tcBorders>
              <w:top w:val="nil"/>
              <w:bottom w:val="nil"/>
            </w:tcBorders>
            <w:shd w:val="clear" w:color="auto" w:fill="auto"/>
            <w:vAlign w:val="center"/>
          </w:tcPr>
          <w:p w14:paraId="22A927CF"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rPr>
            </w:pPr>
            <w:r w:rsidRPr="00AC04CA">
              <w:rPr>
                <w:rFonts w:cs="Arial"/>
                <w:b/>
                <w:szCs w:val="14"/>
              </w:rPr>
              <w:t>--</w:t>
            </w:r>
          </w:p>
        </w:tc>
        <w:tc>
          <w:tcPr>
            <w:tcW w:w="1890" w:type="dxa"/>
            <w:tcBorders>
              <w:top w:val="nil"/>
              <w:bottom w:val="nil"/>
            </w:tcBorders>
            <w:shd w:val="clear" w:color="auto" w:fill="auto"/>
            <w:vAlign w:val="center"/>
          </w:tcPr>
          <w:p w14:paraId="4E6903E5"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rPr>
            </w:pPr>
            <w:r w:rsidRPr="00AC04CA">
              <w:rPr>
                <w:rFonts w:cs="Arial"/>
                <w:b/>
                <w:bCs/>
                <w:szCs w:val="14"/>
              </w:rPr>
              <w:t>4</w:t>
            </w:r>
            <w:r>
              <w:rPr>
                <w:rFonts w:cs="Arial"/>
                <w:b/>
                <w:bCs/>
                <w:szCs w:val="14"/>
              </w:rPr>
              <w:t>,</w:t>
            </w:r>
            <w:r w:rsidRPr="00AC04CA">
              <w:rPr>
                <w:rFonts w:cs="Arial"/>
                <w:b/>
                <w:bCs/>
                <w:szCs w:val="14"/>
              </w:rPr>
              <w:t>734</w:t>
            </w:r>
          </w:p>
        </w:tc>
        <w:tc>
          <w:tcPr>
            <w:tcW w:w="1890" w:type="dxa"/>
            <w:tcBorders>
              <w:top w:val="nil"/>
              <w:bottom w:val="nil"/>
            </w:tcBorders>
            <w:shd w:val="clear" w:color="auto" w:fill="auto"/>
            <w:vAlign w:val="center"/>
          </w:tcPr>
          <w:p w14:paraId="2DC73DE9"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rPr>
            </w:pPr>
            <w:r w:rsidRPr="00AC04CA">
              <w:rPr>
                <w:rFonts w:cs="Arial"/>
                <w:b/>
                <w:bCs/>
                <w:szCs w:val="14"/>
              </w:rPr>
              <w:t>4</w:t>
            </w:r>
            <w:r>
              <w:rPr>
                <w:rFonts w:cs="Arial"/>
                <w:b/>
                <w:bCs/>
                <w:szCs w:val="14"/>
              </w:rPr>
              <w:t>,</w:t>
            </w:r>
            <w:r w:rsidRPr="00AC04CA">
              <w:rPr>
                <w:rFonts w:cs="Arial"/>
                <w:b/>
                <w:bCs/>
                <w:szCs w:val="14"/>
              </w:rPr>
              <w:t>734</w:t>
            </w:r>
          </w:p>
        </w:tc>
      </w:tr>
      <w:tr w:rsidR="005357C6" w:rsidRPr="00D64B0C" w14:paraId="46A1B288" w14:textId="77777777" w:rsidTr="00D64B0C">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1DDE8D2C" w14:textId="77777777" w:rsidR="005357C6" w:rsidRPr="00D64B0C" w:rsidRDefault="005357C6" w:rsidP="00AC04CA">
            <w:pPr>
              <w:pStyle w:val="08-Tabelageral"/>
              <w:ind w:left="113"/>
              <w:jc w:val="left"/>
              <w:rPr>
                <w:rFonts w:cs="Arial"/>
                <w:b w:val="0"/>
                <w:bCs w:val="0"/>
                <w:szCs w:val="14"/>
              </w:rPr>
            </w:pPr>
            <w:r w:rsidRPr="00D64B0C">
              <w:rPr>
                <w:b w:val="0"/>
                <w:bCs w:val="0"/>
              </w:rPr>
              <w:t>Interest</w:t>
            </w:r>
          </w:p>
        </w:tc>
        <w:tc>
          <w:tcPr>
            <w:tcW w:w="1889" w:type="dxa"/>
            <w:tcBorders>
              <w:top w:val="nil"/>
              <w:bottom w:val="nil"/>
            </w:tcBorders>
            <w:shd w:val="clear" w:color="auto" w:fill="auto"/>
            <w:vAlign w:val="bottom"/>
          </w:tcPr>
          <w:p w14:paraId="7DDA8A9A"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
                <w:bCs/>
                <w:szCs w:val="14"/>
              </w:rPr>
              <w:t>4</w:t>
            </w:r>
            <w:r>
              <w:rPr>
                <w:rFonts w:cs="Arial"/>
                <w:b/>
                <w:bCs/>
                <w:szCs w:val="14"/>
              </w:rPr>
              <w:t>,</w:t>
            </w:r>
            <w:r w:rsidRPr="00AC04CA">
              <w:rPr>
                <w:rFonts w:cs="Arial"/>
                <w:b/>
                <w:bCs/>
                <w:szCs w:val="14"/>
              </w:rPr>
              <w:t>091</w:t>
            </w:r>
          </w:p>
        </w:tc>
        <w:tc>
          <w:tcPr>
            <w:tcW w:w="1890" w:type="dxa"/>
            <w:tcBorders>
              <w:top w:val="nil"/>
              <w:bottom w:val="nil"/>
            </w:tcBorders>
            <w:shd w:val="clear" w:color="auto" w:fill="auto"/>
            <w:vAlign w:val="center"/>
          </w:tcPr>
          <w:p w14:paraId="440429EF"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w:t>
            </w:r>
          </w:p>
        </w:tc>
        <w:tc>
          <w:tcPr>
            <w:tcW w:w="1890" w:type="dxa"/>
            <w:tcBorders>
              <w:top w:val="nil"/>
              <w:bottom w:val="nil"/>
            </w:tcBorders>
            <w:shd w:val="clear" w:color="auto" w:fill="auto"/>
            <w:vAlign w:val="center"/>
          </w:tcPr>
          <w:p w14:paraId="6EC9968E"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
                <w:bCs/>
                <w:szCs w:val="14"/>
              </w:rPr>
              <w:t>4</w:t>
            </w:r>
            <w:r>
              <w:rPr>
                <w:rFonts w:cs="Arial"/>
                <w:b/>
                <w:bCs/>
                <w:szCs w:val="14"/>
              </w:rPr>
              <w:t>,</w:t>
            </w:r>
            <w:r w:rsidRPr="00AC04CA">
              <w:rPr>
                <w:rFonts w:cs="Arial"/>
                <w:b/>
                <w:bCs/>
                <w:szCs w:val="14"/>
              </w:rPr>
              <w:t>091</w:t>
            </w:r>
          </w:p>
        </w:tc>
      </w:tr>
      <w:tr w:rsidR="005357C6" w:rsidRPr="00D64B0C" w14:paraId="2644ECCC" w14:textId="77777777" w:rsidTr="001C3F07">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444AE971" w14:textId="77777777" w:rsidR="005357C6" w:rsidRPr="00D64B0C" w:rsidRDefault="005357C6" w:rsidP="00AC04CA">
            <w:pPr>
              <w:pStyle w:val="08-Tabelageral"/>
              <w:ind w:left="113"/>
              <w:jc w:val="left"/>
              <w:rPr>
                <w:rFonts w:cs="Arial"/>
                <w:b w:val="0"/>
                <w:bCs w:val="0"/>
                <w:szCs w:val="14"/>
              </w:rPr>
            </w:pPr>
            <w:r w:rsidRPr="00D64B0C">
              <w:rPr>
                <w:b w:val="0"/>
                <w:bCs w:val="0"/>
              </w:rPr>
              <w:t>Rents</w:t>
            </w:r>
          </w:p>
        </w:tc>
        <w:tc>
          <w:tcPr>
            <w:tcW w:w="1889" w:type="dxa"/>
            <w:tcBorders>
              <w:top w:val="nil"/>
              <w:bottom w:val="nil"/>
            </w:tcBorders>
            <w:shd w:val="clear" w:color="auto" w:fill="auto"/>
            <w:vAlign w:val="bottom"/>
          </w:tcPr>
          <w:p w14:paraId="08EA6C52"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w:t>
            </w:r>
          </w:p>
        </w:tc>
        <w:tc>
          <w:tcPr>
            <w:tcW w:w="1890" w:type="dxa"/>
            <w:tcBorders>
              <w:top w:val="nil"/>
              <w:bottom w:val="nil"/>
            </w:tcBorders>
            <w:shd w:val="clear" w:color="auto" w:fill="auto"/>
            <w:vAlign w:val="center"/>
          </w:tcPr>
          <w:p w14:paraId="244A3838"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643</w:t>
            </w:r>
          </w:p>
        </w:tc>
        <w:tc>
          <w:tcPr>
            <w:tcW w:w="1890" w:type="dxa"/>
            <w:tcBorders>
              <w:top w:val="nil"/>
              <w:bottom w:val="nil"/>
            </w:tcBorders>
            <w:shd w:val="clear" w:color="auto" w:fill="auto"/>
            <w:vAlign w:val="center"/>
          </w:tcPr>
          <w:p w14:paraId="4E5B792F"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643</w:t>
            </w:r>
          </w:p>
        </w:tc>
      </w:tr>
      <w:tr w:rsidR="005357C6" w:rsidRPr="00AD7090" w14:paraId="26D76710" w14:textId="77777777" w:rsidTr="001C3F0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3D3D1717" w14:textId="77777777" w:rsidR="005357C6" w:rsidRPr="00AD7090" w:rsidRDefault="005357C6" w:rsidP="00AC04CA">
            <w:pPr>
              <w:pStyle w:val="08-Tabelageral"/>
              <w:jc w:val="left"/>
              <w:rPr>
                <w:rFonts w:cs="Arial"/>
                <w:szCs w:val="14"/>
              </w:rPr>
            </w:pPr>
            <w:r w:rsidRPr="00AD7090">
              <w:t>Equity remuneration</w:t>
            </w:r>
          </w:p>
        </w:tc>
        <w:tc>
          <w:tcPr>
            <w:tcW w:w="1889" w:type="dxa"/>
            <w:tcBorders>
              <w:top w:val="nil"/>
              <w:bottom w:val="nil"/>
            </w:tcBorders>
            <w:shd w:val="clear" w:color="auto" w:fill="auto"/>
            <w:vAlign w:val="center"/>
          </w:tcPr>
          <w:p w14:paraId="6BABA40C"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bCs/>
                <w:szCs w:val="14"/>
              </w:rPr>
              <w:t>2</w:t>
            </w:r>
            <w:r>
              <w:rPr>
                <w:rFonts w:cs="Arial"/>
                <w:b/>
                <w:bCs/>
                <w:szCs w:val="14"/>
              </w:rPr>
              <w:t>,</w:t>
            </w:r>
            <w:r w:rsidRPr="00AC04CA">
              <w:rPr>
                <w:rFonts w:cs="Arial"/>
                <w:b/>
                <w:bCs/>
                <w:szCs w:val="14"/>
              </w:rPr>
              <w:t>871</w:t>
            </w:r>
            <w:r>
              <w:rPr>
                <w:rFonts w:cs="Arial"/>
                <w:b/>
                <w:bCs/>
                <w:szCs w:val="14"/>
              </w:rPr>
              <w:t>,</w:t>
            </w:r>
            <w:r w:rsidRPr="00AC04CA">
              <w:rPr>
                <w:rFonts w:cs="Arial"/>
                <w:b/>
                <w:bCs/>
                <w:szCs w:val="14"/>
              </w:rPr>
              <w:t>248</w:t>
            </w:r>
          </w:p>
        </w:tc>
        <w:tc>
          <w:tcPr>
            <w:tcW w:w="1890" w:type="dxa"/>
            <w:tcBorders>
              <w:top w:val="nil"/>
              <w:bottom w:val="nil"/>
            </w:tcBorders>
            <w:shd w:val="clear" w:color="auto" w:fill="auto"/>
            <w:vAlign w:val="center"/>
          </w:tcPr>
          <w:p w14:paraId="32C14045"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color w:val="000000"/>
                <w:szCs w:val="14"/>
              </w:rPr>
              <w:t>1</w:t>
            </w:r>
            <w:r>
              <w:rPr>
                <w:rFonts w:cs="Arial"/>
                <w:b/>
                <w:color w:val="000000"/>
                <w:szCs w:val="14"/>
              </w:rPr>
              <w:t>,</w:t>
            </w:r>
            <w:r w:rsidRPr="00AC04CA">
              <w:rPr>
                <w:rFonts w:cs="Arial"/>
                <w:b/>
                <w:color w:val="000000"/>
                <w:szCs w:val="14"/>
              </w:rPr>
              <w:t>061</w:t>
            </w:r>
            <w:r>
              <w:rPr>
                <w:rFonts w:cs="Arial"/>
                <w:b/>
                <w:color w:val="000000"/>
                <w:szCs w:val="14"/>
              </w:rPr>
              <w:t>,</w:t>
            </w:r>
            <w:r w:rsidRPr="00AC04CA">
              <w:rPr>
                <w:rFonts w:cs="Arial"/>
                <w:b/>
                <w:color w:val="000000"/>
                <w:szCs w:val="14"/>
              </w:rPr>
              <w:t>969</w:t>
            </w:r>
          </w:p>
        </w:tc>
        <w:tc>
          <w:tcPr>
            <w:tcW w:w="1890" w:type="dxa"/>
            <w:tcBorders>
              <w:top w:val="nil"/>
              <w:bottom w:val="nil"/>
            </w:tcBorders>
            <w:shd w:val="clear" w:color="auto" w:fill="auto"/>
            <w:vAlign w:val="center"/>
          </w:tcPr>
          <w:p w14:paraId="3ACB5DB9"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bCs/>
                <w:color w:val="000000"/>
                <w:szCs w:val="14"/>
              </w:rPr>
              <w:t>3</w:t>
            </w:r>
            <w:r>
              <w:rPr>
                <w:rFonts w:cs="Arial"/>
                <w:b/>
                <w:bCs/>
                <w:color w:val="000000"/>
                <w:szCs w:val="14"/>
              </w:rPr>
              <w:t>,</w:t>
            </w:r>
            <w:r w:rsidRPr="00AC04CA">
              <w:rPr>
                <w:rFonts w:cs="Arial"/>
                <w:b/>
                <w:bCs/>
                <w:color w:val="000000"/>
                <w:szCs w:val="14"/>
              </w:rPr>
              <w:t>933</w:t>
            </w:r>
            <w:r>
              <w:rPr>
                <w:rFonts w:cs="Arial"/>
                <w:b/>
                <w:bCs/>
                <w:color w:val="000000"/>
                <w:szCs w:val="14"/>
              </w:rPr>
              <w:t>,</w:t>
            </w:r>
            <w:r w:rsidRPr="00AC04CA">
              <w:rPr>
                <w:rFonts w:cs="Arial"/>
                <w:b/>
                <w:bCs/>
                <w:color w:val="000000"/>
                <w:szCs w:val="14"/>
              </w:rPr>
              <w:t>217</w:t>
            </w:r>
          </w:p>
        </w:tc>
      </w:tr>
      <w:tr w:rsidR="005357C6" w:rsidRPr="00D64B0C" w14:paraId="2935675D" w14:textId="77777777" w:rsidTr="001C3F07">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30999706" w14:textId="77777777" w:rsidR="005357C6" w:rsidRPr="00D64B0C" w:rsidRDefault="005357C6" w:rsidP="00AC04CA">
            <w:pPr>
              <w:pStyle w:val="08-Tabelageral"/>
              <w:ind w:left="113"/>
              <w:jc w:val="left"/>
              <w:rPr>
                <w:rFonts w:cs="Arial"/>
                <w:b w:val="0"/>
                <w:bCs w:val="0"/>
                <w:szCs w:val="14"/>
              </w:rPr>
            </w:pPr>
            <w:r w:rsidRPr="00D64B0C">
              <w:rPr>
                <w:b w:val="0"/>
                <w:bCs w:val="0"/>
              </w:rPr>
              <w:t>Dividends</w:t>
            </w:r>
          </w:p>
        </w:tc>
        <w:tc>
          <w:tcPr>
            <w:tcW w:w="1889" w:type="dxa"/>
            <w:tcBorders>
              <w:top w:val="nil"/>
              <w:bottom w:val="nil"/>
            </w:tcBorders>
            <w:shd w:val="clear" w:color="auto" w:fill="auto"/>
            <w:vAlign w:val="bottom"/>
          </w:tcPr>
          <w:p w14:paraId="0F437C3A"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w:t>
            </w:r>
          </w:p>
        </w:tc>
        <w:tc>
          <w:tcPr>
            <w:tcW w:w="1890" w:type="dxa"/>
            <w:tcBorders>
              <w:top w:val="nil"/>
              <w:bottom w:val="nil"/>
            </w:tcBorders>
            <w:shd w:val="clear" w:color="auto" w:fill="auto"/>
            <w:vAlign w:val="center"/>
          </w:tcPr>
          <w:p w14:paraId="2B0175A5"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2</w:t>
            </w:r>
            <w:r>
              <w:rPr>
                <w:rFonts w:cs="Arial"/>
                <w:bCs/>
                <w:szCs w:val="14"/>
              </w:rPr>
              <w:t>,</w:t>
            </w:r>
            <w:r w:rsidRPr="00AC04CA">
              <w:rPr>
                <w:rFonts w:cs="Arial"/>
                <w:bCs/>
                <w:szCs w:val="14"/>
              </w:rPr>
              <w:t>871</w:t>
            </w:r>
            <w:r>
              <w:rPr>
                <w:rFonts w:cs="Arial"/>
                <w:bCs/>
                <w:szCs w:val="14"/>
              </w:rPr>
              <w:t>,</w:t>
            </w:r>
            <w:r w:rsidRPr="00AC04CA">
              <w:rPr>
                <w:rFonts w:cs="Arial"/>
                <w:bCs/>
                <w:szCs w:val="14"/>
              </w:rPr>
              <w:t>248</w:t>
            </w:r>
          </w:p>
        </w:tc>
        <w:tc>
          <w:tcPr>
            <w:tcW w:w="1890" w:type="dxa"/>
            <w:tcBorders>
              <w:top w:val="nil"/>
              <w:bottom w:val="nil"/>
            </w:tcBorders>
            <w:shd w:val="clear" w:color="auto" w:fill="auto"/>
            <w:vAlign w:val="center"/>
          </w:tcPr>
          <w:p w14:paraId="720AF3BC"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2</w:t>
            </w:r>
            <w:r>
              <w:rPr>
                <w:rFonts w:cs="Arial"/>
                <w:bCs/>
                <w:szCs w:val="14"/>
              </w:rPr>
              <w:t>,</w:t>
            </w:r>
            <w:r w:rsidRPr="00AC04CA">
              <w:rPr>
                <w:rFonts w:cs="Arial"/>
                <w:bCs/>
                <w:szCs w:val="14"/>
              </w:rPr>
              <w:t>871</w:t>
            </w:r>
            <w:r>
              <w:rPr>
                <w:rFonts w:cs="Arial"/>
                <w:bCs/>
                <w:szCs w:val="14"/>
              </w:rPr>
              <w:t>,</w:t>
            </w:r>
            <w:r w:rsidRPr="00AC04CA">
              <w:rPr>
                <w:rFonts w:cs="Arial"/>
                <w:bCs/>
                <w:szCs w:val="14"/>
              </w:rPr>
              <w:t>248</w:t>
            </w:r>
          </w:p>
        </w:tc>
      </w:tr>
      <w:tr w:rsidR="005357C6" w:rsidRPr="00D64B0C" w14:paraId="7D4D9F36" w14:textId="77777777" w:rsidTr="00C32F97">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00CB1C34" w14:textId="77777777" w:rsidR="005357C6" w:rsidRPr="00D64B0C" w:rsidRDefault="005357C6" w:rsidP="00AC04CA">
            <w:pPr>
              <w:pStyle w:val="08-Tabelageral"/>
              <w:ind w:left="113"/>
              <w:jc w:val="left"/>
              <w:rPr>
                <w:rFonts w:cs="Arial"/>
                <w:b w:val="0"/>
                <w:bCs w:val="0"/>
                <w:szCs w:val="14"/>
                <w:lang w:val="en-US"/>
              </w:rPr>
            </w:pPr>
            <w:r w:rsidRPr="00D64B0C">
              <w:rPr>
                <w:b w:val="0"/>
                <w:bCs w:val="0"/>
                <w:lang w:val="en-US"/>
              </w:rPr>
              <w:t>Retained earnings for the period</w:t>
            </w:r>
          </w:p>
        </w:tc>
        <w:tc>
          <w:tcPr>
            <w:tcW w:w="1889" w:type="dxa"/>
            <w:tcBorders>
              <w:top w:val="nil"/>
              <w:bottom w:val="nil"/>
            </w:tcBorders>
            <w:shd w:val="clear" w:color="auto" w:fill="auto"/>
            <w:vAlign w:val="center"/>
          </w:tcPr>
          <w:p w14:paraId="0B0599F6"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C04CA">
              <w:rPr>
                <w:rFonts w:cs="Arial"/>
                <w:bCs/>
                <w:color w:val="000000"/>
                <w:szCs w:val="14"/>
              </w:rPr>
              <w:t>1</w:t>
            </w:r>
            <w:r>
              <w:rPr>
                <w:rFonts w:cs="Arial"/>
                <w:bCs/>
                <w:color w:val="000000"/>
                <w:szCs w:val="14"/>
              </w:rPr>
              <w:t>,</w:t>
            </w:r>
            <w:r w:rsidRPr="00AC04CA">
              <w:rPr>
                <w:rFonts w:cs="Arial"/>
                <w:bCs/>
                <w:color w:val="000000"/>
                <w:szCs w:val="14"/>
              </w:rPr>
              <w:t>061</w:t>
            </w:r>
            <w:r>
              <w:rPr>
                <w:rFonts w:cs="Arial"/>
                <w:bCs/>
                <w:color w:val="000000"/>
                <w:szCs w:val="14"/>
              </w:rPr>
              <w:t>,</w:t>
            </w:r>
            <w:r w:rsidRPr="00AC04CA">
              <w:rPr>
                <w:rFonts w:cs="Arial"/>
                <w:bCs/>
                <w:color w:val="000000"/>
                <w:szCs w:val="14"/>
              </w:rPr>
              <w:t>969</w:t>
            </w:r>
          </w:p>
        </w:tc>
        <w:tc>
          <w:tcPr>
            <w:tcW w:w="1890" w:type="dxa"/>
            <w:tcBorders>
              <w:top w:val="nil"/>
              <w:bottom w:val="nil"/>
            </w:tcBorders>
            <w:shd w:val="clear" w:color="auto" w:fill="auto"/>
            <w:vAlign w:val="center"/>
          </w:tcPr>
          <w:p w14:paraId="70F02624"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C04CA">
              <w:rPr>
                <w:rFonts w:cs="Arial"/>
                <w:bCs/>
                <w:color w:val="000000"/>
                <w:szCs w:val="14"/>
              </w:rPr>
              <w:t>--</w:t>
            </w:r>
          </w:p>
        </w:tc>
        <w:tc>
          <w:tcPr>
            <w:tcW w:w="1890" w:type="dxa"/>
            <w:tcBorders>
              <w:top w:val="nil"/>
              <w:bottom w:val="nil"/>
            </w:tcBorders>
            <w:shd w:val="clear" w:color="auto" w:fill="auto"/>
            <w:vAlign w:val="center"/>
          </w:tcPr>
          <w:p w14:paraId="47F42C20"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C04CA">
              <w:rPr>
                <w:rFonts w:cs="Arial"/>
                <w:bCs/>
                <w:color w:val="000000"/>
                <w:szCs w:val="14"/>
              </w:rPr>
              <w:t>1</w:t>
            </w:r>
            <w:r>
              <w:rPr>
                <w:rFonts w:cs="Arial"/>
                <w:bCs/>
                <w:color w:val="000000"/>
                <w:szCs w:val="14"/>
              </w:rPr>
              <w:t>,</w:t>
            </w:r>
            <w:r w:rsidRPr="00AC04CA">
              <w:rPr>
                <w:rFonts w:cs="Arial"/>
                <w:bCs/>
                <w:color w:val="000000"/>
                <w:szCs w:val="14"/>
              </w:rPr>
              <w:t>061</w:t>
            </w:r>
            <w:r>
              <w:rPr>
                <w:rFonts w:cs="Arial"/>
                <w:bCs/>
                <w:color w:val="000000"/>
                <w:szCs w:val="14"/>
              </w:rPr>
              <w:t>,</w:t>
            </w:r>
            <w:r w:rsidRPr="00AC04CA">
              <w:rPr>
                <w:rFonts w:cs="Arial"/>
                <w:bCs/>
                <w:color w:val="000000"/>
                <w:szCs w:val="14"/>
              </w:rPr>
              <w:t>969</w:t>
            </w:r>
          </w:p>
        </w:tc>
      </w:tr>
      <w:tr w:rsidR="005357C6" w:rsidRPr="00D64B0C" w14:paraId="5AB3FCFA" w14:textId="77777777" w:rsidTr="00286D7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1F4E79" w:themeColor="accent1" w:themeShade="80"/>
              <w:bottom w:val="nil"/>
            </w:tcBorders>
            <w:shd w:val="clear" w:color="auto" w:fill="auto"/>
            <w:vAlign w:val="center"/>
          </w:tcPr>
          <w:p w14:paraId="25E1E7C9" w14:textId="77777777" w:rsidR="005357C6" w:rsidRPr="00D64B0C" w:rsidRDefault="005357C6" w:rsidP="00AD7090">
            <w:pPr>
              <w:pStyle w:val="08-Tabelageral"/>
              <w:jc w:val="left"/>
              <w:rPr>
                <w:rFonts w:cs="Arial"/>
                <w:b w:val="0"/>
                <w:szCs w:val="14"/>
                <w:lang w:val="en-US"/>
              </w:rPr>
            </w:pPr>
          </w:p>
        </w:tc>
        <w:tc>
          <w:tcPr>
            <w:tcW w:w="1889" w:type="dxa"/>
            <w:tcBorders>
              <w:top w:val="single" w:sz="4" w:space="0" w:color="1F4E79" w:themeColor="accent1" w:themeShade="80"/>
              <w:bottom w:val="nil"/>
            </w:tcBorders>
            <w:shd w:val="clear" w:color="auto" w:fill="auto"/>
            <w:vAlign w:val="center"/>
          </w:tcPr>
          <w:p w14:paraId="6685C596" w14:textId="77777777" w:rsidR="005357C6" w:rsidRPr="00D64B0C" w:rsidRDefault="005357C6" w:rsidP="00D64B0C">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val="en-US"/>
              </w:rPr>
            </w:pPr>
          </w:p>
        </w:tc>
        <w:tc>
          <w:tcPr>
            <w:tcW w:w="1890" w:type="dxa"/>
            <w:tcBorders>
              <w:top w:val="single" w:sz="4" w:space="0" w:color="1F4E79" w:themeColor="accent1" w:themeShade="80"/>
              <w:bottom w:val="nil"/>
            </w:tcBorders>
            <w:shd w:val="clear" w:color="auto" w:fill="auto"/>
            <w:vAlign w:val="center"/>
          </w:tcPr>
          <w:p w14:paraId="34F9F4D8" w14:textId="77777777" w:rsidR="005357C6" w:rsidRPr="00D64B0C" w:rsidRDefault="005357C6" w:rsidP="00D64B0C">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val="en-US"/>
              </w:rPr>
            </w:pPr>
          </w:p>
        </w:tc>
        <w:tc>
          <w:tcPr>
            <w:tcW w:w="1890" w:type="dxa"/>
            <w:tcBorders>
              <w:top w:val="single" w:sz="4" w:space="0" w:color="1F4E79" w:themeColor="accent1" w:themeShade="80"/>
              <w:bottom w:val="nil"/>
            </w:tcBorders>
            <w:shd w:val="clear" w:color="auto" w:fill="auto"/>
            <w:vAlign w:val="center"/>
          </w:tcPr>
          <w:p w14:paraId="7432C4C7" w14:textId="77777777" w:rsidR="005357C6" w:rsidRPr="00D64B0C" w:rsidRDefault="005357C6" w:rsidP="00D64B0C">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val="en-US"/>
              </w:rPr>
            </w:pPr>
          </w:p>
        </w:tc>
      </w:tr>
    </w:tbl>
    <w:p w14:paraId="45FCF83C" w14:textId="77777777" w:rsidR="005357C6" w:rsidRPr="00AD7090" w:rsidRDefault="005357C6" w:rsidP="00AD7090">
      <w:pPr>
        <w:pStyle w:val="05-Textonormal"/>
        <w:rPr>
          <w:lang w:val="en-US"/>
        </w:rPr>
      </w:pPr>
      <w:r w:rsidRPr="00AD7090">
        <w:rPr>
          <w:lang w:val="en-US"/>
        </w:rPr>
        <w:t>In the consolidated statement, new components were opened in the distribution of value added and reclassifications of administrative and personnel expenses, as shown below.</w:t>
      </w:r>
    </w:p>
    <w:p w14:paraId="14CBE17A" w14:textId="77777777" w:rsidR="005357C6" w:rsidRPr="00AD7090" w:rsidRDefault="005357C6" w:rsidP="005357C6">
      <w:pPr>
        <w:pStyle w:val="05-Textonormal"/>
        <w:numPr>
          <w:ilvl w:val="0"/>
          <w:numId w:val="32"/>
        </w:numPr>
        <w:rPr>
          <w:lang w:val="en-US"/>
        </w:rPr>
      </w:pPr>
      <w:r w:rsidRPr="00AD7090">
        <w:rPr>
          <w:lang w:val="en-US"/>
        </w:rPr>
        <w:t xml:space="preserve">Administrative expenses for rentals (R$ </w:t>
      </w:r>
      <w:r>
        <w:rPr>
          <w:lang w:val="en-US"/>
        </w:rPr>
        <w:t>2,967</w:t>
      </w:r>
      <w:r w:rsidRPr="00AD7090">
        <w:rPr>
          <w:lang w:val="en-US"/>
        </w:rPr>
        <w:t xml:space="preserve"> thousand);</w:t>
      </w:r>
    </w:p>
    <w:p w14:paraId="6C95CA54" w14:textId="77777777" w:rsidR="005357C6" w:rsidRDefault="005357C6" w:rsidP="005357C6">
      <w:pPr>
        <w:pStyle w:val="05-Textonormal"/>
        <w:numPr>
          <w:ilvl w:val="0"/>
          <w:numId w:val="32"/>
        </w:numPr>
        <w:rPr>
          <w:lang w:val="en-US"/>
        </w:rPr>
      </w:pPr>
      <w:r w:rsidRPr="00AD7090">
        <w:rPr>
          <w:lang w:val="en-US"/>
        </w:rPr>
        <w:t xml:space="preserve">Personnel expenses (INSS) for federal taxes (R$ </w:t>
      </w:r>
      <w:r>
        <w:rPr>
          <w:lang w:val="en-US"/>
        </w:rPr>
        <w:t>8,220</w:t>
      </w:r>
      <w:r w:rsidRPr="00AD7090">
        <w:rPr>
          <w:lang w:val="en-US"/>
        </w:rPr>
        <w:t xml:space="preserve"> thousand).</w:t>
      </w:r>
    </w:p>
    <w:p w14:paraId="497FDD85" w14:textId="77777777" w:rsidR="005357C6" w:rsidRDefault="005357C6" w:rsidP="00001324">
      <w:pPr>
        <w:pStyle w:val="05-Textonormal"/>
        <w:rPr>
          <w:lang w:val="en-US"/>
        </w:rPr>
      </w:pPr>
    </w:p>
    <w:p w14:paraId="49620B76" w14:textId="77777777" w:rsidR="005357C6" w:rsidRDefault="005357C6" w:rsidP="00001324">
      <w:pPr>
        <w:pStyle w:val="05-Textonormal"/>
        <w:rPr>
          <w:lang w:val="en-US"/>
        </w:rPr>
      </w:pPr>
    </w:p>
    <w:p w14:paraId="515E8708" w14:textId="77777777" w:rsidR="005357C6" w:rsidRDefault="005357C6" w:rsidP="00001324">
      <w:pPr>
        <w:pStyle w:val="05-Textonormal"/>
        <w:rPr>
          <w:lang w:val="en-US"/>
        </w:rPr>
      </w:pPr>
    </w:p>
    <w:p w14:paraId="326F1D97" w14:textId="77777777" w:rsidR="005357C6" w:rsidRDefault="005357C6" w:rsidP="00001324">
      <w:pPr>
        <w:pStyle w:val="05-Textonormal"/>
        <w:rPr>
          <w:lang w:val="en-US"/>
        </w:rPr>
      </w:pPr>
    </w:p>
    <w:p w14:paraId="6BCF01F8" w14:textId="77777777" w:rsidR="005357C6" w:rsidRDefault="005357C6" w:rsidP="00001324">
      <w:pPr>
        <w:pStyle w:val="05-Textonormal"/>
        <w:rPr>
          <w:lang w:val="en-US"/>
        </w:rPr>
      </w:pPr>
    </w:p>
    <w:p w14:paraId="7F8B784F" w14:textId="77777777" w:rsidR="005357C6" w:rsidRDefault="005357C6" w:rsidP="00001324">
      <w:pPr>
        <w:pStyle w:val="05-Textonormal"/>
        <w:rPr>
          <w:lang w:val="en-US"/>
        </w:rPr>
      </w:pPr>
    </w:p>
    <w:p w14:paraId="24935A39" w14:textId="77777777" w:rsidR="005357C6" w:rsidRDefault="005357C6" w:rsidP="00001324">
      <w:pPr>
        <w:pStyle w:val="05-Textonormal"/>
        <w:rPr>
          <w:lang w:val="en-US"/>
        </w:rPr>
      </w:pPr>
    </w:p>
    <w:p w14:paraId="43F9095C" w14:textId="77777777" w:rsidR="005357C6" w:rsidRDefault="005357C6" w:rsidP="00001324">
      <w:pPr>
        <w:pStyle w:val="05-Textonormal"/>
        <w:rPr>
          <w:lang w:val="en-US"/>
        </w:rPr>
      </w:pPr>
    </w:p>
    <w:p w14:paraId="43E8E14B" w14:textId="77777777" w:rsidR="005357C6" w:rsidRDefault="005357C6" w:rsidP="00001324">
      <w:pPr>
        <w:pStyle w:val="05-Textonormal"/>
        <w:rPr>
          <w:lang w:val="en-US"/>
        </w:rPr>
      </w:pPr>
    </w:p>
    <w:p w14:paraId="5817D00A" w14:textId="77777777" w:rsidR="005357C6" w:rsidRPr="00AC04CA" w:rsidRDefault="005357C6" w:rsidP="00CF37DA">
      <w:pPr>
        <w:pStyle w:val="05-Textonormal"/>
        <w:keepNext/>
        <w:keepLines/>
        <w:pageBreakBefore/>
        <w:spacing w:after="0"/>
        <w:jc w:val="right"/>
        <w:rPr>
          <w:lang w:val="en-US"/>
        </w:rPr>
      </w:pPr>
      <w:r w:rsidRPr="00AC04CA">
        <w:rPr>
          <w:b/>
          <w:bCs/>
          <w:sz w:val="14"/>
          <w:szCs w:val="14"/>
          <w:lang w:val="en-US"/>
        </w:rPr>
        <w:lastRenderedPageBreak/>
        <w:t>R$ thousand</w:t>
      </w:r>
    </w:p>
    <w:tbl>
      <w:tblPr>
        <w:tblStyle w:val="TabeladeLista6Colorida-nfase5"/>
        <w:tblW w:w="9639" w:type="dxa"/>
        <w:jc w:val="center"/>
        <w:tblLayout w:type="fixed"/>
        <w:tblLook w:val="04A0" w:firstRow="1" w:lastRow="0" w:firstColumn="1" w:lastColumn="0" w:noHBand="0" w:noVBand="1"/>
      </w:tblPr>
      <w:tblGrid>
        <w:gridCol w:w="3970"/>
        <w:gridCol w:w="1889"/>
        <w:gridCol w:w="1890"/>
        <w:gridCol w:w="1890"/>
      </w:tblGrid>
      <w:tr w:rsidR="005357C6" w14:paraId="505EA514" w14:textId="77777777" w:rsidTr="00286D7A">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2494E8A6" w14:textId="77777777" w:rsidR="005357C6" w:rsidRPr="00126209" w:rsidRDefault="005357C6" w:rsidP="00286D7A">
            <w:pPr>
              <w:jc w:val="center"/>
              <w:rPr>
                <w:rFonts w:cs="Arial"/>
                <w:b w:val="0"/>
                <w:sz w:val="14"/>
                <w:szCs w:val="14"/>
                <w:lang w:val="en-US"/>
              </w:rPr>
            </w:pPr>
          </w:p>
        </w:tc>
        <w:tc>
          <w:tcPr>
            <w:tcW w:w="5669" w:type="dxa"/>
            <w:gridSpan w:val="3"/>
            <w:tcBorders>
              <w:top w:val="single" w:sz="2" w:space="0" w:color="1F4E79" w:themeColor="accent1" w:themeShade="80"/>
              <w:bottom w:val="single" w:sz="2" w:space="0" w:color="1F4E79" w:themeColor="accent1" w:themeShade="80"/>
            </w:tcBorders>
            <w:shd w:val="clear" w:color="auto" w:fill="auto"/>
            <w:vAlign w:val="center"/>
          </w:tcPr>
          <w:p w14:paraId="7FADFA0C" w14:textId="77777777" w:rsidR="005357C6" w:rsidRPr="00D84B8A" w:rsidRDefault="005357C6" w:rsidP="002B79AA">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 xml:space="preserve">Consolidated – </w:t>
            </w:r>
            <w:r w:rsidRPr="00D11906">
              <w:rPr>
                <w:rFonts w:cs="Arial"/>
                <w:sz w:val="14"/>
                <w:szCs w:val="14"/>
              </w:rPr>
              <w:t>2021</w:t>
            </w:r>
          </w:p>
        </w:tc>
      </w:tr>
      <w:tr w:rsidR="005357C6" w:rsidRPr="001D6BE8" w14:paraId="3F48EBEA"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single" w:sz="2" w:space="0" w:color="1F4E79" w:themeColor="accent1" w:themeShade="80"/>
            </w:tcBorders>
            <w:shd w:val="clear" w:color="auto" w:fill="auto"/>
            <w:vAlign w:val="center"/>
          </w:tcPr>
          <w:p w14:paraId="59EFE0E2" w14:textId="77777777" w:rsidR="005357C6" w:rsidRPr="00D84B8A" w:rsidRDefault="005357C6" w:rsidP="002B79AA">
            <w:pPr>
              <w:pStyle w:val="08-Tabelageral"/>
              <w:jc w:val="left"/>
              <w:rPr>
                <w:rFonts w:cs="Arial"/>
                <w:b w:val="0"/>
                <w:szCs w:val="14"/>
              </w:rPr>
            </w:pPr>
          </w:p>
        </w:tc>
        <w:tc>
          <w:tcPr>
            <w:tcW w:w="1889" w:type="dxa"/>
            <w:tcBorders>
              <w:top w:val="single" w:sz="2" w:space="0" w:color="1F4E79" w:themeColor="accent1" w:themeShade="80"/>
              <w:bottom w:val="single" w:sz="2" w:space="0" w:color="1F4E79" w:themeColor="accent1" w:themeShade="80"/>
            </w:tcBorders>
            <w:shd w:val="clear" w:color="auto" w:fill="auto"/>
            <w:vAlign w:val="center"/>
          </w:tcPr>
          <w:p w14:paraId="6293182A" w14:textId="77777777" w:rsidR="005357C6" w:rsidRPr="00D11906" w:rsidRDefault="005357C6" w:rsidP="002B79A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 w:val="14"/>
                <w:szCs w:val="14"/>
              </w:rPr>
              <w:t>Previous Disclosure</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4012E9D6" w14:textId="77777777" w:rsidR="005357C6" w:rsidRPr="00D11906" w:rsidRDefault="005357C6" w:rsidP="002B79A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D11906">
              <w:rPr>
                <w:rFonts w:cs="Arial"/>
                <w:b/>
                <w:bCs/>
                <w:sz w:val="14"/>
                <w:szCs w:val="14"/>
              </w:rPr>
              <w:t>Reclassifica</w:t>
            </w:r>
            <w:r>
              <w:rPr>
                <w:rFonts w:cs="Arial"/>
                <w:b/>
                <w:bCs/>
                <w:sz w:val="14"/>
                <w:szCs w:val="14"/>
              </w:rPr>
              <w:t>tions</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30A183C5" w14:textId="77777777" w:rsidR="005357C6" w:rsidRPr="00D11906" w:rsidRDefault="005357C6" w:rsidP="002B79A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 w:val="14"/>
                <w:szCs w:val="14"/>
              </w:rPr>
              <w:t>Current Disclosure</w:t>
            </w:r>
          </w:p>
        </w:tc>
      </w:tr>
      <w:tr w:rsidR="005357C6" w:rsidRPr="002C1B9E" w14:paraId="41E92625"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6B8F578E" w14:textId="77777777" w:rsidR="005357C6" w:rsidRPr="002C1B9E" w:rsidRDefault="005357C6" w:rsidP="00AC04CA">
            <w:pPr>
              <w:pStyle w:val="08-Tabelageral"/>
              <w:jc w:val="left"/>
              <w:rPr>
                <w:szCs w:val="14"/>
              </w:rPr>
            </w:pPr>
            <w:r w:rsidRPr="002C1B9E">
              <w:rPr>
                <w:rFonts w:cs="Arial"/>
                <w:szCs w:val="14"/>
              </w:rPr>
              <w:t>Income</w:t>
            </w:r>
          </w:p>
        </w:tc>
        <w:tc>
          <w:tcPr>
            <w:tcW w:w="1889" w:type="dxa"/>
            <w:tcBorders>
              <w:top w:val="single" w:sz="2" w:space="0" w:color="1F4E79" w:themeColor="accent1" w:themeShade="80"/>
              <w:bottom w:val="nil"/>
            </w:tcBorders>
            <w:shd w:val="clear" w:color="auto" w:fill="auto"/>
            <w:vAlign w:val="center"/>
          </w:tcPr>
          <w:p w14:paraId="751EE3D6"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highlight w:val="yellow"/>
              </w:rPr>
            </w:pPr>
            <w:r w:rsidRPr="00AC04CA">
              <w:rPr>
                <w:rFonts w:cs="Arial"/>
                <w:b/>
                <w:bCs/>
                <w:color w:val="000000"/>
                <w:szCs w:val="14"/>
              </w:rPr>
              <w:t>3.985.096</w:t>
            </w:r>
          </w:p>
        </w:tc>
        <w:tc>
          <w:tcPr>
            <w:tcW w:w="1890" w:type="dxa"/>
            <w:tcBorders>
              <w:top w:val="single" w:sz="2" w:space="0" w:color="1F4E79" w:themeColor="accent1" w:themeShade="80"/>
              <w:bottom w:val="nil"/>
            </w:tcBorders>
            <w:shd w:val="clear" w:color="auto" w:fill="auto"/>
            <w:vAlign w:val="center"/>
          </w:tcPr>
          <w:p w14:paraId="3D176F52"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color w:val="auto"/>
                <w:szCs w:val="14"/>
              </w:rPr>
              <w:t>--</w:t>
            </w:r>
          </w:p>
        </w:tc>
        <w:tc>
          <w:tcPr>
            <w:tcW w:w="1890" w:type="dxa"/>
            <w:tcBorders>
              <w:top w:val="single" w:sz="2" w:space="0" w:color="1F4E79" w:themeColor="accent1" w:themeShade="80"/>
              <w:bottom w:val="nil"/>
            </w:tcBorders>
            <w:shd w:val="clear" w:color="auto" w:fill="auto"/>
            <w:vAlign w:val="center"/>
          </w:tcPr>
          <w:p w14:paraId="471669E4"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color w:val="000000"/>
                <w:szCs w:val="14"/>
              </w:rPr>
              <w:t>3.985.096</w:t>
            </w:r>
          </w:p>
        </w:tc>
      </w:tr>
      <w:tr w:rsidR="005357C6" w:rsidRPr="002C1B9E" w14:paraId="0F44D3B7"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8693CDF" w14:textId="77777777" w:rsidR="005357C6" w:rsidRPr="002C1B9E" w:rsidRDefault="005357C6" w:rsidP="00AC04CA">
            <w:pPr>
              <w:pStyle w:val="08-Tabelageral"/>
              <w:jc w:val="left"/>
              <w:rPr>
                <w:szCs w:val="14"/>
                <w:lang w:val="en-US"/>
              </w:rPr>
            </w:pPr>
            <w:r w:rsidRPr="002C1B9E">
              <w:rPr>
                <w:rFonts w:cs="Arial"/>
                <w:szCs w:val="14"/>
                <w:lang w:val="en-US"/>
              </w:rPr>
              <w:t>Input Acquired from Third Parties</w:t>
            </w:r>
          </w:p>
        </w:tc>
        <w:tc>
          <w:tcPr>
            <w:tcW w:w="1889" w:type="dxa"/>
            <w:tcBorders>
              <w:top w:val="nil"/>
              <w:bottom w:val="nil"/>
            </w:tcBorders>
            <w:shd w:val="clear" w:color="auto" w:fill="auto"/>
            <w:vAlign w:val="center"/>
          </w:tcPr>
          <w:p w14:paraId="68511246"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highlight w:val="yellow"/>
                <w:lang w:val="en-US"/>
              </w:rPr>
            </w:pPr>
            <w:r w:rsidRPr="00AC04CA">
              <w:rPr>
                <w:rFonts w:cs="Arial"/>
                <w:b/>
                <w:bCs/>
                <w:szCs w:val="14"/>
              </w:rPr>
              <w:t>(338.548)</w:t>
            </w:r>
          </w:p>
        </w:tc>
        <w:tc>
          <w:tcPr>
            <w:tcW w:w="1890" w:type="dxa"/>
            <w:tcBorders>
              <w:top w:val="nil"/>
              <w:bottom w:val="nil"/>
            </w:tcBorders>
            <w:shd w:val="clear" w:color="auto" w:fill="auto"/>
            <w:vAlign w:val="center"/>
          </w:tcPr>
          <w:p w14:paraId="0936EA6A"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lang w:val="en-US"/>
              </w:rPr>
            </w:pPr>
            <w:r w:rsidRPr="00AC04CA">
              <w:rPr>
                <w:rFonts w:cs="Arial"/>
                <w:b/>
                <w:color w:val="000000"/>
                <w:szCs w:val="14"/>
              </w:rPr>
              <w:t>2.967</w:t>
            </w:r>
          </w:p>
        </w:tc>
        <w:tc>
          <w:tcPr>
            <w:tcW w:w="1890" w:type="dxa"/>
            <w:tcBorders>
              <w:top w:val="nil"/>
              <w:bottom w:val="nil"/>
            </w:tcBorders>
            <w:shd w:val="clear" w:color="auto" w:fill="auto"/>
            <w:vAlign w:val="center"/>
          </w:tcPr>
          <w:p w14:paraId="1ACB95F7"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lang w:val="en-US"/>
              </w:rPr>
            </w:pPr>
            <w:r w:rsidRPr="00AC04CA">
              <w:rPr>
                <w:rFonts w:cs="Arial"/>
                <w:b/>
                <w:bCs/>
                <w:color w:val="000000"/>
                <w:szCs w:val="14"/>
              </w:rPr>
              <w:t>(335.581)</w:t>
            </w:r>
          </w:p>
        </w:tc>
      </w:tr>
      <w:tr w:rsidR="005357C6" w:rsidRPr="002C1B9E" w14:paraId="7FED5BAE"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E7AC2AF" w14:textId="77777777" w:rsidR="005357C6" w:rsidRPr="002C1B9E" w:rsidRDefault="005357C6" w:rsidP="00AC04CA">
            <w:pPr>
              <w:pStyle w:val="08-Tabelageral"/>
              <w:ind w:left="113"/>
              <w:jc w:val="left"/>
              <w:rPr>
                <w:b w:val="0"/>
                <w:bCs w:val="0"/>
                <w:szCs w:val="14"/>
              </w:rPr>
            </w:pPr>
            <w:r w:rsidRPr="002C1B9E">
              <w:rPr>
                <w:b w:val="0"/>
                <w:bCs w:val="0"/>
              </w:rPr>
              <w:t>Administrative expenses diverse</w:t>
            </w:r>
          </w:p>
        </w:tc>
        <w:tc>
          <w:tcPr>
            <w:tcW w:w="1889" w:type="dxa"/>
            <w:tcBorders>
              <w:top w:val="nil"/>
              <w:bottom w:val="nil"/>
            </w:tcBorders>
            <w:shd w:val="clear" w:color="auto" w:fill="auto"/>
            <w:vAlign w:val="center"/>
          </w:tcPr>
          <w:p w14:paraId="268B9E0D"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highlight w:val="yellow"/>
              </w:rPr>
            </w:pPr>
            <w:r w:rsidRPr="00AC04CA">
              <w:rPr>
                <w:rFonts w:cs="Arial"/>
                <w:bCs/>
                <w:szCs w:val="14"/>
              </w:rPr>
              <w:t>(38.266)</w:t>
            </w:r>
          </w:p>
        </w:tc>
        <w:tc>
          <w:tcPr>
            <w:tcW w:w="1890" w:type="dxa"/>
            <w:tcBorders>
              <w:top w:val="nil"/>
              <w:bottom w:val="nil"/>
            </w:tcBorders>
            <w:shd w:val="clear" w:color="auto" w:fill="auto"/>
            <w:vAlign w:val="center"/>
          </w:tcPr>
          <w:p w14:paraId="553B1078"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color w:val="auto"/>
                <w:szCs w:val="14"/>
              </w:rPr>
              <w:t>2.967</w:t>
            </w:r>
          </w:p>
        </w:tc>
        <w:tc>
          <w:tcPr>
            <w:tcW w:w="1890" w:type="dxa"/>
            <w:tcBorders>
              <w:top w:val="nil"/>
              <w:bottom w:val="nil"/>
            </w:tcBorders>
            <w:shd w:val="clear" w:color="auto" w:fill="auto"/>
            <w:vAlign w:val="center"/>
          </w:tcPr>
          <w:p w14:paraId="55F3AAD4"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szCs w:val="14"/>
              </w:rPr>
              <w:t>(38.266)</w:t>
            </w:r>
          </w:p>
        </w:tc>
      </w:tr>
      <w:tr w:rsidR="005357C6" w:rsidRPr="002C1B9E" w14:paraId="0ED5BB7D"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FE32C27" w14:textId="77777777" w:rsidR="005357C6" w:rsidRPr="002C1B9E" w:rsidRDefault="005357C6" w:rsidP="00AC04CA">
            <w:pPr>
              <w:pStyle w:val="08-Tabelageral"/>
              <w:ind w:left="113"/>
              <w:jc w:val="left"/>
              <w:rPr>
                <w:b w:val="0"/>
                <w:bCs w:val="0"/>
              </w:rPr>
            </w:pPr>
            <w:r w:rsidRPr="002C1B9E">
              <w:rPr>
                <w:b w:val="0"/>
                <w:bCs w:val="0"/>
              </w:rPr>
              <w:t>Cost of services provided</w:t>
            </w:r>
          </w:p>
        </w:tc>
        <w:tc>
          <w:tcPr>
            <w:tcW w:w="1889" w:type="dxa"/>
            <w:tcBorders>
              <w:top w:val="nil"/>
              <w:bottom w:val="nil"/>
            </w:tcBorders>
            <w:shd w:val="clear" w:color="auto" w:fill="auto"/>
            <w:vAlign w:val="center"/>
          </w:tcPr>
          <w:p w14:paraId="5921BD71"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AC04CA">
              <w:rPr>
                <w:rFonts w:cs="Arial"/>
                <w:bCs/>
                <w:color w:val="000000"/>
                <w:szCs w:val="14"/>
              </w:rPr>
              <w:t>(193.830)</w:t>
            </w:r>
          </w:p>
        </w:tc>
        <w:tc>
          <w:tcPr>
            <w:tcW w:w="1890" w:type="dxa"/>
            <w:tcBorders>
              <w:top w:val="nil"/>
              <w:bottom w:val="nil"/>
            </w:tcBorders>
            <w:shd w:val="clear" w:color="auto" w:fill="auto"/>
            <w:vAlign w:val="center"/>
          </w:tcPr>
          <w:p w14:paraId="7E6D79C1"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color w:val="auto"/>
                <w:szCs w:val="14"/>
              </w:rPr>
              <w:t>--</w:t>
            </w:r>
          </w:p>
        </w:tc>
        <w:tc>
          <w:tcPr>
            <w:tcW w:w="1890" w:type="dxa"/>
            <w:tcBorders>
              <w:top w:val="nil"/>
              <w:bottom w:val="nil"/>
            </w:tcBorders>
            <w:shd w:val="clear" w:color="auto" w:fill="auto"/>
            <w:vAlign w:val="center"/>
          </w:tcPr>
          <w:p w14:paraId="48E4DBEC"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color w:val="000000"/>
                <w:szCs w:val="14"/>
              </w:rPr>
              <w:t>(193.830)</w:t>
            </w:r>
          </w:p>
        </w:tc>
      </w:tr>
      <w:tr w:rsidR="005357C6" w:rsidRPr="002C1B9E" w14:paraId="06E410F2"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8865A37" w14:textId="77777777" w:rsidR="005357C6" w:rsidRPr="002C1B9E" w:rsidRDefault="005357C6" w:rsidP="00AC04CA">
            <w:pPr>
              <w:pStyle w:val="08-Tabelageral"/>
              <w:ind w:left="113"/>
              <w:jc w:val="left"/>
              <w:rPr>
                <w:b w:val="0"/>
                <w:bCs w:val="0"/>
                <w:szCs w:val="14"/>
                <w:highlight w:val="cyan"/>
              </w:rPr>
            </w:pPr>
            <w:r w:rsidRPr="002C1B9E">
              <w:rPr>
                <w:b w:val="0"/>
                <w:bCs w:val="0"/>
              </w:rPr>
              <w:t>Other expenses</w:t>
            </w:r>
          </w:p>
        </w:tc>
        <w:tc>
          <w:tcPr>
            <w:tcW w:w="1889" w:type="dxa"/>
            <w:tcBorders>
              <w:top w:val="nil"/>
              <w:bottom w:val="nil"/>
            </w:tcBorders>
            <w:shd w:val="clear" w:color="auto" w:fill="auto"/>
            <w:vAlign w:val="center"/>
          </w:tcPr>
          <w:p w14:paraId="153FC57A"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highlight w:val="cyan"/>
              </w:rPr>
            </w:pPr>
            <w:r w:rsidRPr="00AC04CA">
              <w:rPr>
                <w:rFonts w:cs="Arial"/>
                <w:bCs/>
                <w:szCs w:val="14"/>
              </w:rPr>
              <w:t>(106.452)</w:t>
            </w:r>
          </w:p>
        </w:tc>
        <w:tc>
          <w:tcPr>
            <w:tcW w:w="1890" w:type="dxa"/>
            <w:tcBorders>
              <w:top w:val="nil"/>
              <w:bottom w:val="nil"/>
            </w:tcBorders>
            <w:shd w:val="clear" w:color="auto" w:fill="auto"/>
            <w:vAlign w:val="center"/>
          </w:tcPr>
          <w:p w14:paraId="4A879676"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auto"/>
                <w:szCs w:val="14"/>
                <w:highlight w:val="cyan"/>
              </w:rPr>
            </w:pPr>
            <w:r w:rsidRPr="00AC04CA">
              <w:rPr>
                <w:rFonts w:cs="Arial"/>
                <w:color w:val="auto"/>
                <w:szCs w:val="14"/>
              </w:rPr>
              <w:t>--</w:t>
            </w:r>
          </w:p>
        </w:tc>
        <w:tc>
          <w:tcPr>
            <w:tcW w:w="1890" w:type="dxa"/>
            <w:tcBorders>
              <w:top w:val="nil"/>
              <w:bottom w:val="nil"/>
            </w:tcBorders>
            <w:shd w:val="clear" w:color="auto" w:fill="auto"/>
            <w:vAlign w:val="center"/>
          </w:tcPr>
          <w:p w14:paraId="4EA40F19"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szCs w:val="14"/>
              </w:rPr>
              <w:t>(106.452)</w:t>
            </w:r>
          </w:p>
        </w:tc>
      </w:tr>
      <w:tr w:rsidR="005357C6" w:rsidRPr="002C1B9E" w14:paraId="306AB118"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66AC5BD" w14:textId="77777777" w:rsidR="005357C6" w:rsidRPr="002C1B9E" w:rsidRDefault="005357C6" w:rsidP="00AC04CA">
            <w:pPr>
              <w:pStyle w:val="08-Tabelageral"/>
              <w:jc w:val="left"/>
              <w:rPr>
                <w:szCs w:val="14"/>
              </w:rPr>
            </w:pPr>
            <w:r w:rsidRPr="002C1B9E">
              <w:rPr>
                <w:rFonts w:cs="Arial"/>
                <w:szCs w:val="14"/>
              </w:rPr>
              <w:t>Gross Added Value</w:t>
            </w:r>
          </w:p>
        </w:tc>
        <w:tc>
          <w:tcPr>
            <w:tcW w:w="1889" w:type="dxa"/>
            <w:tcBorders>
              <w:top w:val="nil"/>
              <w:bottom w:val="nil"/>
            </w:tcBorders>
            <w:shd w:val="clear" w:color="auto" w:fill="auto"/>
            <w:vAlign w:val="center"/>
          </w:tcPr>
          <w:p w14:paraId="7930DBD8"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bCs/>
                <w:szCs w:val="14"/>
              </w:rPr>
              <w:t>3.646.548</w:t>
            </w:r>
          </w:p>
        </w:tc>
        <w:tc>
          <w:tcPr>
            <w:tcW w:w="1890" w:type="dxa"/>
            <w:tcBorders>
              <w:top w:val="nil"/>
              <w:bottom w:val="nil"/>
            </w:tcBorders>
            <w:shd w:val="clear" w:color="auto" w:fill="auto"/>
            <w:vAlign w:val="center"/>
          </w:tcPr>
          <w:p w14:paraId="626ED4CB"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color w:val="000000"/>
                <w:szCs w:val="14"/>
              </w:rPr>
              <w:t>2.967</w:t>
            </w:r>
          </w:p>
        </w:tc>
        <w:tc>
          <w:tcPr>
            <w:tcW w:w="1890" w:type="dxa"/>
            <w:tcBorders>
              <w:top w:val="nil"/>
              <w:bottom w:val="nil"/>
            </w:tcBorders>
            <w:shd w:val="clear" w:color="auto" w:fill="auto"/>
            <w:vAlign w:val="center"/>
          </w:tcPr>
          <w:p w14:paraId="50E65C2B"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bCs/>
                <w:color w:val="000000"/>
                <w:szCs w:val="14"/>
              </w:rPr>
              <w:t>3.649.515</w:t>
            </w:r>
          </w:p>
        </w:tc>
      </w:tr>
      <w:tr w:rsidR="005357C6" w:rsidRPr="002C1B9E" w14:paraId="2D223E33"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0818A689" w14:textId="77777777" w:rsidR="005357C6" w:rsidRPr="002C1B9E" w:rsidRDefault="005357C6" w:rsidP="00AC04CA">
            <w:pPr>
              <w:pStyle w:val="08-Tabelageral"/>
              <w:jc w:val="left"/>
              <w:rPr>
                <w:szCs w:val="14"/>
              </w:rPr>
            </w:pPr>
            <w:r w:rsidRPr="002C1B9E">
              <w:rPr>
                <w:rFonts w:cs="Arial"/>
                <w:szCs w:val="14"/>
              </w:rPr>
              <w:t>Depreciation and amortization</w:t>
            </w:r>
          </w:p>
        </w:tc>
        <w:tc>
          <w:tcPr>
            <w:tcW w:w="1889" w:type="dxa"/>
            <w:tcBorders>
              <w:top w:val="nil"/>
              <w:bottom w:val="nil"/>
            </w:tcBorders>
            <w:shd w:val="clear" w:color="auto" w:fill="auto"/>
            <w:vAlign w:val="center"/>
          </w:tcPr>
          <w:p w14:paraId="34B98DD1"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szCs w:val="14"/>
              </w:rPr>
              <w:t>(1.067)</w:t>
            </w:r>
          </w:p>
        </w:tc>
        <w:tc>
          <w:tcPr>
            <w:tcW w:w="1890" w:type="dxa"/>
            <w:tcBorders>
              <w:top w:val="nil"/>
              <w:bottom w:val="nil"/>
            </w:tcBorders>
            <w:shd w:val="clear" w:color="auto" w:fill="auto"/>
            <w:vAlign w:val="center"/>
          </w:tcPr>
          <w:p w14:paraId="4D825FAB"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color w:val="auto"/>
                <w:szCs w:val="14"/>
              </w:rPr>
              <w:t>--</w:t>
            </w:r>
          </w:p>
        </w:tc>
        <w:tc>
          <w:tcPr>
            <w:tcW w:w="1890" w:type="dxa"/>
            <w:tcBorders>
              <w:top w:val="nil"/>
              <w:bottom w:val="nil"/>
            </w:tcBorders>
            <w:shd w:val="clear" w:color="auto" w:fill="auto"/>
            <w:vAlign w:val="center"/>
          </w:tcPr>
          <w:p w14:paraId="1D9D0DAC"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AC04CA">
              <w:rPr>
                <w:rFonts w:cs="Arial"/>
                <w:b/>
                <w:bCs/>
                <w:szCs w:val="14"/>
              </w:rPr>
              <w:t>(1.067)</w:t>
            </w:r>
          </w:p>
        </w:tc>
      </w:tr>
      <w:tr w:rsidR="005357C6" w:rsidRPr="002C1B9E" w14:paraId="4896BE74"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5B905A5" w14:textId="77777777" w:rsidR="005357C6" w:rsidRPr="002C1B9E" w:rsidRDefault="005357C6" w:rsidP="00AC04CA">
            <w:pPr>
              <w:pStyle w:val="08-Tabelageral"/>
              <w:jc w:val="left"/>
              <w:rPr>
                <w:szCs w:val="14"/>
                <w:lang w:val="en-US"/>
              </w:rPr>
            </w:pPr>
            <w:r w:rsidRPr="002C1B9E">
              <w:rPr>
                <w:rFonts w:cs="Arial"/>
                <w:szCs w:val="14"/>
                <w:lang w:val="en-US"/>
              </w:rPr>
              <w:t>Net Added Value Generated by the Entity</w:t>
            </w:r>
          </w:p>
        </w:tc>
        <w:tc>
          <w:tcPr>
            <w:tcW w:w="1889" w:type="dxa"/>
            <w:tcBorders>
              <w:top w:val="nil"/>
              <w:bottom w:val="nil"/>
            </w:tcBorders>
            <w:shd w:val="clear" w:color="auto" w:fill="auto"/>
            <w:vAlign w:val="center"/>
          </w:tcPr>
          <w:p w14:paraId="761A399E" w14:textId="77777777" w:rsidR="005357C6" w:rsidRPr="00AC04CA" w:rsidRDefault="005357C6" w:rsidP="00AC04CA">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4"/>
                <w:szCs w:val="14"/>
                <w:lang w:val="en-US"/>
              </w:rPr>
            </w:pPr>
            <w:r w:rsidRPr="00AC04CA">
              <w:rPr>
                <w:rFonts w:cs="Arial"/>
                <w:b/>
                <w:bCs/>
                <w:sz w:val="14"/>
                <w:szCs w:val="14"/>
              </w:rPr>
              <w:t>3.645.481</w:t>
            </w:r>
          </w:p>
        </w:tc>
        <w:tc>
          <w:tcPr>
            <w:tcW w:w="1890" w:type="dxa"/>
            <w:tcBorders>
              <w:top w:val="nil"/>
              <w:bottom w:val="nil"/>
            </w:tcBorders>
            <w:shd w:val="clear" w:color="auto" w:fill="auto"/>
            <w:vAlign w:val="center"/>
          </w:tcPr>
          <w:p w14:paraId="672168D1"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val="en-US"/>
              </w:rPr>
            </w:pPr>
            <w:r w:rsidRPr="00AC04CA">
              <w:rPr>
                <w:rFonts w:cs="Arial"/>
                <w:b/>
                <w:color w:val="000000"/>
                <w:szCs w:val="14"/>
              </w:rPr>
              <w:t>2.967</w:t>
            </w:r>
          </w:p>
        </w:tc>
        <w:tc>
          <w:tcPr>
            <w:tcW w:w="1890" w:type="dxa"/>
            <w:tcBorders>
              <w:top w:val="nil"/>
              <w:bottom w:val="nil"/>
            </w:tcBorders>
            <w:shd w:val="clear" w:color="auto" w:fill="auto"/>
            <w:vAlign w:val="center"/>
          </w:tcPr>
          <w:p w14:paraId="07BF1509"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val="en-US"/>
              </w:rPr>
            </w:pPr>
            <w:r w:rsidRPr="00AC04CA">
              <w:rPr>
                <w:rFonts w:cs="Arial"/>
                <w:b/>
                <w:bCs/>
                <w:szCs w:val="14"/>
              </w:rPr>
              <w:t>3.648.448</w:t>
            </w:r>
          </w:p>
        </w:tc>
      </w:tr>
      <w:tr w:rsidR="005357C6" w:rsidRPr="002C1B9E" w14:paraId="605C3AD6"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A154D38" w14:textId="77777777" w:rsidR="005357C6" w:rsidRPr="002C1B9E" w:rsidRDefault="005357C6" w:rsidP="00AC04CA">
            <w:pPr>
              <w:pStyle w:val="08-Tabelageral"/>
              <w:jc w:val="left"/>
              <w:rPr>
                <w:szCs w:val="14"/>
                <w:lang w:val="en-US"/>
              </w:rPr>
            </w:pPr>
            <w:r w:rsidRPr="002C1B9E">
              <w:rPr>
                <w:rFonts w:cs="Arial"/>
                <w:szCs w:val="14"/>
                <w:lang w:val="en-US"/>
              </w:rPr>
              <w:t>Added Value Received Through Transfer</w:t>
            </w:r>
          </w:p>
        </w:tc>
        <w:tc>
          <w:tcPr>
            <w:tcW w:w="1889" w:type="dxa"/>
            <w:tcBorders>
              <w:top w:val="nil"/>
              <w:bottom w:val="nil"/>
            </w:tcBorders>
            <w:shd w:val="clear" w:color="auto" w:fill="auto"/>
            <w:vAlign w:val="center"/>
          </w:tcPr>
          <w:p w14:paraId="7E403874" w14:textId="77777777" w:rsidR="005357C6" w:rsidRPr="00AC04CA" w:rsidRDefault="005357C6" w:rsidP="00AC04CA">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14"/>
                <w:szCs w:val="14"/>
                <w:lang w:val="en-US"/>
              </w:rPr>
            </w:pPr>
            <w:r w:rsidRPr="00AC04CA">
              <w:rPr>
                <w:rFonts w:cs="Arial"/>
                <w:b/>
                <w:bCs/>
                <w:sz w:val="14"/>
                <w:szCs w:val="14"/>
              </w:rPr>
              <w:t>1.982.094</w:t>
            </w:r>
          </w:p>
        </w:tc>
        <w:tc>
          <w:tcPr>
            <w:tcW w:w="1890" w:type="dxa"/>
            <w:tcBorders>
              <w:top w:val="nil"/>
              <w:bottom w:val="nil"/>
            </w:tcBorders>
            <w:shd w:val="clear" w:color="auto" w:fill="auto"/>
            <w:vAlign w:val="center"/>
          </w:tcPr>
          <w:p w14:paraId="00C2B58D"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lang w:val="en-US"/>
              </w:rPr>
            </w:pPr>
            <w:r w:rsidRPr="00AC04CA">
              <w:rPr>
                <w:rFonts w:cs="Arial"/>
                <w:b/>
                <w:bCs/>
                <w:color w:val="auto"/>
                <w:szCs w:val="14"/>
              </w:rPr>
              <w:t>--</w:t>
            </w:r>
          </w:p>
        </w:tc>
        <w:tc>
          <w:tcPr>
            <w:tcW w:w="1890" w:type="dxa"/>
            <w:tcBorders>
              <w:top w:val="nil"/>
              <w:bottom w:val="nil"/>
            </w:tcBorders>
            <w:shd w:val="clear" w:color="auto" w:fill="auto"/>
            <w:vAlign w:val="center"/>
          </w:tcPr>
          <w:p w14:paraId="48BB9BFE"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lang w:val="en-US"/>
              </w:rPr>
            </w:pPr>
            <w:r w:rsidRPr="00AC04CA">
              <w:rPr>
                <w:rFonts w:cs="Arial"/>
                <w:b/>
                <w:bCs/>
                <w:szCs w:val="14"/>
              </w:rPr>
              <w:t>1.982.094</w:t>
            </w:r>
          </w:p>
        </w:tc>
      </w:tr>
      <w:tr w:rsidR="005357C6" w:rsidRPr="002C1B9E" w14:paraId="72B4DB27"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D4A07B2" w14:textId="77777777" w:rsidR="005357C6" w:rsidRPr="002C1B9E" w:rsidRDefault="005357C6" w:rsidP="00AC04CA">
            <w:pPr>
              <w:pStyle w:val="08-Tabelageral"/>
              <w:jc w:val="left"/>
              <w:rPr>
                <w:szCs w:val="14"/>
                <w:lang w:val="en-US"/>
              </w:rPr>
            </w:pPr>
            <w:r w:rsidRPr="002C1B9E">
              <w:rPr>
                <w:rFonts w:cs="Arial"/>
                <w:szCs w:val="14"/>
                <w:lang w:val="en-US"/>
              </w:rPr>
              <w:t>Total Added Value to Distribute</w:t>
            </w:r>
          </w:p>
        </w:tc>
        <w:tc>
          <w:tcPr>
            <w:tcW w:w="1889" w:type="dxa"/>
            <w:tcBorders>
              <w:top w:val="nil"/>
              <w:bottom w:val="nil"/>
            </w:tcBorders>
            <w:shd w:val="clear" w:color="auto" w:fill="auto"/>
            <w:vAlign w:val="center"/>
          </w:tcPr>
          <w:p w14:paraId="2C161D58" w14:textId="77777777" w:rsidR="005357C6" w:rsidRPr="00AC04CA" w:rsidRDefault="005357C6" w:rsidP="00AC04CA">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4"/>
                <w:szCs w:val="14"/>
                <w:lang w:val="en-US"/>
              </w:rPr>
            </w:pPr>
            <w:r w:rsidRPr="00AC04CA">
              <w:rPr>
                <w:rFonts w:cs="Arial"/>
                <w:b/>
                <w:bCs/>
                <w:sz w:val="14"/>
                <w:szCs w:val="14"/>
              </w:rPr>
              <w:t>5.627.575</w:t>
            </w:r>
          </w:p>
        </w:tc>
        <w:tc>
          <w:tcPr>
            <w:tcW w:w="1890" w:type="dxa"/>
            <w:tcBorders>
              <w:top w:val="nil"/>
              <w:bottom w:val="nil"/>
            </w:tcBorders>
            <w:shd w:val="clear" w:color="auto" w:fill="auto"/>
            <w:vAlign w:val="center"/>
          </w:tcPr>
          <w:p w14:paraId="67707F19"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val="en-US"/>
              </w:rPr>
            </w:pPr>
            <w:r w:rsidRPr="00AC04CA">
              <w:rPr>
                <w:rFonts w:cs="Arial"/>
                <w:b/>
                <w:color w:val="000000"/>
                <w:szCs w:val="14"/>
              </w:rPr>
              <w:t>2.967</w:t>
            </w:r>
          </w:p>
        </w:tc>
        <w:tc>
          <w:tcPr>
            <w:tcW w:w="1890" w:type="dxa"/>
            <w:tcBorders>
              <w:top w:val="nil"/>
              <w:bottom w:val="nil"/>
            </w:tcBorders>
            <w:shd w:val="clear" w:color="auto" w:fill="auto"/>
            <w:vAlign w:val="center"/>
          </w:tcPr>
          <w:p w14:paraId="61C8E2E2"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val="en-US"/>
              </w:rPr>
            </w:pPr>
            <w:r w:rsidRPr="00AC04CA">
              <w:rPr>
                <w:rFonts w:cs="Arial"/>
                <w:b/>
                <w:bCs/>
                <w:szCs w:val="14"/>
              </w:rPr>
              <w:t>5.630.542</w:t>
            </w:r>
          </w:p>
        </w:tc>
      </w:tr>
      <w:tr w:rsidR="005357C6" w:rsidRPr="002C1B9E" w14:paraId="082BC2D1"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F486C51" w14:textId="77777777" w:rsidR="005357C6" w:rsidRPr="002C1B9E" w:rsidRDefault="005357C6" w:rsidP="00AC04CA">
            <w:pPr>
              <w:pStyle w:val="08-Tabelageral"/>
              <w:jc w:val="left"/>
              <w:rPr>
                <w:szCs w:val="14"/>
                <w:lang w:val="en-US"/>
              </w:rPr>
            </w:pPr>
          </w:p>
        </w:tc>
        <w:tc>
          <w:tcPr>
            <w:tcW w:w="1889" w:type="dxa"/>
            <w:tcBorders>
              <w:top w:val="nil"/>
              <w:bottom w:val="nil"/>
            </w:tcBorders>
            <w:shd w:val="clear" w:color="auto" w:fill="auto"/>
            <w:vAlign w:val="center"/>
          </w:tcPr>
          <w:p w14:paraId="387030B9"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lang w:val="en-US"/>
              </w:rPr>
            </w:pPr>
          </w:p>
        </w:tc>
        <w:tc>
          <w:tcPr>
            <w:tcW w:w="1890" w:type="dxa"/>
            <w:tcBorders>
              <w:top w:val="nil"/>
              <w:bottom w:val="nil"/>
            </w:tcBorders>
            <w:shd w:val="clear" w:color="auto" w:fill="auto"/>
            <w:vAlign w:val="center"/>
          </w:tcPr>
          <w:p w14:paraId="430A061E"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lang w:val="en-US"/>
              </w:rPr>
            </w:pPr>
          </w:p>
        </w:tc>
        <w:tc>
          <w:tcPr>
            <w:tcW w:w="1890" w:type="dxa"/>
            <w:tcBorders>
              <w:top w:val="nil"/>
              <w:bottom w:val="nil"/>
            </w:tcBorders>
            <w:shd w:val="clear" w:color="auto" w:fill="auto"/>
            <w:vAlign w:val="center"/>
          </w:tcPr>
          <w:p w14:paraId="72998FBA"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lang w:val="en-US"/>
              </w:rPr>
            </w:pPr>
          </w:p>
        </w:tc>
      </w:tr>
      <w:tr w:rsidR="005357C6" w:rsidRPr="002C1B9E" w14:paraId="757A61D8"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1DD834D" w14:textId="77777777" w:rsidR="005357C6" w:rsidRPr="002C1B9E" w:rsidRDefault="005357C6" w:rsidP="00AC04CA">
            <w:pPr>
              <w:pStyle w:val="08-Tabelageral"/>
              <w:jc w:val="left"/>
              <w:rPr>
                <w:szCs w:val="14"/>
              </w:rPr>
            </w:pPr>
            <w:r w:rsidRPr="002C1B9E">
              <w:rPr>
                <w:rFonts w:cs="Arial"/>
                <w:szCs w:val="14"/>
              </w:rPr>
              <w:t>Distribution of Added Value</w:t>
            </w:r>
          </w:p>
        </w:tc>
        <w:tc>
          <w:tcPr>
            <w:tcW w:w="1889" w:type="dxa"/>
            <w:tcBorders>
              <w:top w:val="nil"/>
              <w:bottom w:val="nil"/>
            </w:tcBorders>
            <w:shd w:val="clear" w:color="auto" w:fill="auto"/>
            <w:vAlign w:val="center"/>
          </w:tcPr>
          <w:p w14:paraId="7A02DD5D"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bCs/>
                <w:szCs w:val="14"/>
              </w:rPr>
              <w:t>5.627.575</w:t>
            </w:r>
          </w:p>
        </w:tc>
        <w:tc>
          <w:tcPr>
            <w:tcW w:w="1890" w:type="dxa"/>
            <w:tcBorders>
              <w:top w:val="nil"/>
              <w:bottom w:val="nil"/>
            </w:tcBorders>
            <w:shd w:val="clear" w:color="auto" w:fill="auto"/>
            <w:vAlign w:val="center"/>
          </w:tcPr>
          <w:p w14:paraId="5AF3220F"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color w:val="000000"/>
                <w:szCs w:val="14"/>
              </w:rPr>
              <w:t>2.967</w:t>
            </w:r>
          </w:p>
        </w:tc>
        <w:tc>
          <w:tcPr>
            <w:tcW w:w="1890" w:type="dxa"/>
            <w:tcBorders>
              <w:top w:val="nil"/>
              <w:bottom w:val="nil"/>
            </w:tcBorders>
            <w:shd w:val="clear" w:color="auto" w:fill="auto"/>
            <w:vAlign w:val="center"/>
          </w:tcPr>
          <w:p w14:paraId="3C6E7B3B"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AC04CA">
              <w:rPr>
                <w:rFonts w:cs="Arial"/>
                <w:b/>
                <w:bCs/>
                <w:color w:val="000000"/>
                <w:szCs w:val="14"/>
              </w:rPr>
              <w:t>5.630.542</w:t>
            </w:r>
          </w:p>
        </w:tc>
      </w:tr>
      <w:tr w:rsidR="005357C6" w:rsidRPr="002C1B9E" w14:paraId="15E4B4F1"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73088C62" w14:textId="77777777" w:rsidR="005357C6" w:rsidRPr="002C1B9E" w:rsidRDefault="005357C6" w:rsidP="00AC04CA">
            <w:pPr>
              <w:pStyle w:val="08-Tabelageral"/>
              <w:jc w:val="left"/>
              <w:rPr>
                <w:szCs w:val="14"/>
              </w:rPr>
            </w:pPr>
            <w:r w:rsidRPr="002C1B9E">
              <w:t>Personnel</w:t>
            </w:r>
          </w:p>
        </w:tc>
        <w:tc>
          <w:tcPr>
            <w:tcW w:w="1889" w:type="dxa"/>
            <w:tcBorders>
              <w:top w:val="nil"/>
              <w:bottom w:val="nil"/>
            </w:tcBorders>
            <w:shd w:val="clear" w:color="auto" w:fill="auto"/>
            <w:vAlign w:val="center"/>
          </w:tcPr>
          <w:p w14:paraId="29FE819E"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AC04CA">
              <w:rPr>
                <w:rFonts w:cs="Arial"/>
                <w:b/>
                <w:bCs/>
                <w:szCs w:val="14"/>
              </w:rPr>
              <w:t>63.114</w:t>
            </w:r>
          </w:p>
        </w:tc>
        <w:tc>
          <w:tcPr>
            <w:tcW w:w="1890" w:type="dxa"/>
            <w:tcBorders>
              <w:top w:val="nil"/>
              <w:bottom w:val="nil"/>
            </w:tcBorders>
            <w:shd w:val="clear" w:color="auto" w:fill="auto"/>
            <w:vAlign w:val="center"/>
          </w:tcPr>
          <w:p w14:paraId="23BF412C"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r w:rsidRPr="00AC04CA">
              <w:rPr>
                <w:rFonts w:cs="Arial"/>
                <w:b/>
                <w:color w:val="000000"/>
                <w:szCs w:val="14"/>
              </w:rPr>
              <w:t>(8.220)</w:t>
            </w:r>
          </w:p>
        </w:tc>
        <w:tc>
          <w:tcPr>
            <w:tcW w:w="1890" w:type="dxa"/>
            <w:tcBorders>
              <w:top w:val="nil"/>
              <w:bottom w:val="nil"/>
            </w:tcBorders>
            <w:shd w:val="clear" w:color="auto" w:fill="auto"/>
            <w:vAlign w:val="center"/>
          </w:tcPr>
          <w:p w14:paraId="7B34065A"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r w:rsidRPr="00AC04CA">
              <w:rPr>
                <w:rFonts w:cs="Arial"/>
                <w:b/>
                <w:bCs/>
                <w:szCs w:val="14"/>
              </w:rPr>
              <w:t>54.894</w:t>
            </w:r>
          </w:p>
        </w:tc>
      </w:tr>
      <w:tr w:rsidR="005357C6" w:rsidRPr="002C1B9E" w14:paraId="0D7D6911"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01FE39FA" w14:textId="77777777" w:rsidR="005357C6" w:rsidRPr="002C1B9E" w:rsidRDefault="005357C6" w:rsidP="00AC04CA">
            <w:pPr>
              <w:pStyle w:val="08-Tabelageral"/>
              <w:ind w:left="113"/>
              <w:jc w:val="left"/>
              <w:rPr>
                <w:b w:val="0"/>
                <w:bCs w:val="0"/>
                <w:szCs w:val="14"/>
                <w:lang w:val="en-US"/>
              </w:rPr>
            </w:pPr>
            <w:r w:rsidRPr="002C1B9E">
              <w:rPr>
                <w:b w:val="0"/>
                <w:bCs w:val="0"/>
                <w:lang w:val="en-US"/>
              </w:rPr>
              <w:t>Direct remuneration - Earnings and fees</w:t>
            </w:r>
          </w:p>
        </w:tc>
        <w:tc>
          <w:tcPr>
            <w:tcW w:w="1889" w:type="dxa"/>
            <w:tcBorders>
              <w:top w:val="nil"/>
              <w:bottom w:val="nil"/>
            </w:tcBorders>
            <w:shd w:val="clear" w:color="auto" w:fill="auto"/>
            <w:vAlign w:val="center"/>
          </w:tcPr>
          <w:p w14:paraId="1102D6AF"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C04CA">
              <w:rPr>
                <w:rFonts w:cs="Arial"/>
                <w:bCs/>
                <w:szCs w:val="14"/>
              </w:rPr>
              <w:t>--</w:t>
            </w:r>
          </w:p>
        </w:tc>
        <w:tc>
          <w:tcPr>
            <w:tcW w:w="1890" w:type="dxa"/>
            <w:tcBorders>
              <w:top w:val="nil"/>
              <w:bottom w:val="nil"/>
            </w:tcBorders>
            <w:shd w:val="clear" w:color="auto" w:fill="auto"/>
            <w:vAlign w:val="center"/>
          </w:tcPr>
          <w:p w14:paraId="34F2A728"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C04CA">
              <w:rPr>
                <w:rFonts w:cs="Arial"/>
                <w:bCs/>
                <w:color w:val="000000"/>
                <w:szCs w:val="14"/>
              </w:rPr>
              <w:t>39.803</w:t>
            </w:r>
          </w:p>
        </w:tc>
        <w:tc>
          <w:tcPr>
            <w:tcW w:w="1890" w:type="dxa"/>
            <w:tcBorders>
              <w:top w:val="nil"/>
              <w:bottom w:val="nil"/>
            </w:tcBorders>
            <w:shd w:val="clear" w:color="auto" w:fill="auto"/>
            <w:vAlign w:val="center"/>
          </w:tcPr>
          <w:p w14:paraId="5C03811F"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C04CA">
              <w:rPr>
                <w:rFonts w:cs="Arial"/>
                <w:bCs/>
                <w:color w:val="000000"/>
                <w:szCs w:val="14"/>
              </w:rPr>
              <w:t>39.803</w:t>
            </w:r>
          </w:p>
        </w:tc>
      </w:tr>
      <w:tr w:rsidR="005357C6" w:rsidRPr="002C1B9E" w14:paraId="0AD487E5"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1F346CBF" w14:textId="77777777" w:rsidR="005357C6" w:rsidRPr="002C1B9E" w:rsidRDefault="005357C6" w:rsidP="00AC04CA">
            <w:pPr>
              <w:pStyle w:val="08-Tabelageral"/>
              <w:ind w:left="113"/>
              <w:jc w:val="left"/>
              <w:rPr>
                <w:b w:val="0"/>
                <w:bCs w:val="0"/>
                <w:szCs w:val="14"/>
              </w:rPr>
            </w:pPr>
            <w:r w:rsidRPr="002C1B9E">
              <w:rPr>
                <w:b w:val="0"/>
                <w:bCs w:val="0"/>
              </w:rPr>
              <w:t>Benefits and training</w:t>
            </w:r>
          </w:p>
        </w:tc>
        <w:tc>
          <w:tcPr>
            <w:tcW w:w="1889" w:type="dxa"/>
            <w:tcBorders>
              <w:top w:val="nil"/>
              <w:bottom w:val="nil"/>
            </w:tcBorders>
            <w:shd w:val="clear" w:color="auto" w:fill="auto"/>
            <w:vAlign w:val="center"/>
          </w:tcPr>
          <w:p w14:paraId="393C9E60"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w:t>
            </w:r>
          </w:p>
        </w:tc>
        <w:tc>
          <w:tcPr>
            <w:tcW w:w="1890" w:type="dxa"/>
            <w:tcBorders>
              <w:top w:val="nil"/>
              <w:bottom w:val="nil"/>
            </w:tcBorders>
            <w:shd w:val="clear" w:color="auto" w:fill="auto"/>
            <w:vAlign w:val="center"/>
          </w:tcPr>
          <w:p w14:paraId="65948B2F"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color w:val="000000"/>
                <w:szCs w:val="14"/>
              </w:rPr>
              <w:t>9.176</w:t>
            </w:r>
          </w:p>
        </w:tc>
        <w:tc>
          <w:tcPr>
            <w:tcW w:w="1890" w:type="dxa"/>
            <w:tcBorders>
              <w:top w:val="nil"/>
              <w:bottom w:val="nil"/>
            </w:tcBorders>
            <w:shd w:val="clear" w:color="auto" w:fill="auto"/>
            <w:vAlign w:val="center"/>
          </w:tcPr>
          <w:p w14:paraId="0EAC80C4"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color w:val="000000"/>
                <w:szCs w:val="14"/>
              </w:rPr>
              <w:t>9.176</w:t>
            </w:r>
          </w:p>
        </w:tc>
      </w:tr>
      <w:tr w:rsidR="005357C6" w:rsidRPr="002C1B9E" w14:paraId="269DE591"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166E0182" w14:textId="77777777" w:rsidR="005357C6" w:rsidRPr="002C1B9E" w:rsidRDefault="005357C6" w:rsidP="00AC04CA">
            <w:pPr>
              <w:pStyle w:val="08-Tabelageral"/>
              <w:ind w:left="113"/>
              <w:jc w:val="left"/>
              <w:rPr>
                <w:rFonts w:cs="Arial"/>
                <w:b w:val="0"/>
                <w:bCs w:val="0"/>
                <w:szCs w:val="14"/>
              </w:rPr>
            </w:pPr>
            <w:r w:rsidRPr="002C1B9E">
              <w:rPr>
                <w:b w:val="0"/>
                <w:bCs w:val="0"/>
              </w:rPr>
              <w:t>FGTS</w:t>
            </w:r>
          </w:p>
        </w:tc>
        <w:tc>
          <w:tcPr>
            <w:tcW w:w="1889" w:type="dxa"/>
            <w:tcBorders>
              <w:top w:val="nil"/>
              <w:bottom w:val="nil"/>
            </w:tcBorders>
            <w:shd w:val="clear" w:color="auto" w:fill="auto"/>
            <w:vAlign w:val="center"/>
          </w:tcPr>
          <w:p w14:paraId="153C9D3D"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w:t>
            </w:r>
          </w:p>
        </w:tc>
        <w:tc>
          <w:tcPr>
            <w:tcW w:w="1890" w:type="dxa"/>
            <w:tcBorders>
              <w:top w:val="nil"/>
              <w:bottom w:val="nil"/>
            </w:tcBorders>
            <w:shd w:val="clear" w:color="auto" w:fill="auto"/>
            <w:vAlign w:val="center"/>
          </w:tcPr>
          <w:p w14:paraId="5168EBCD"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2.419</w:t>
            </w:r>
          </w:p>
        </w:tc>
        <w:tc>
          <w:tcPr>
            <w:tcW w:w="1890" w:type="dxa"/>
            <w:tcBorders>
              <w:top w:val="nil"/>
              <w:bottom w:val="nil"/>
            </w:tcBorders>
            <w:shd w:val="clear" w:color="auto" w:fill="auto"/>
            <w:vAlign w:val="center"/>
          </w:tcPr>
          <w:p w14:paraId="412AEB9E"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2.419</w:t>
            </w:r>
          </w:p>
        </w:tc>
      </w:tr>
      <w:tr w:rsidR="005357C6" w:rsidRPr="002C1B9E" w14:paraId="017C8D79"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127CA500" w14:textId="77777777" w:rsidR="005357C6" w:rsidRPr="002C1B9E" w:rsidRDefault="005357C6" w:rsidP="00AC04CA">
            <w:pPr>
              <w:pStyle w:val="08-Tabelageral"/>
              <w:ind w:left="113"/>
              <w:jc w:val="left"/>
              <w:rPr>
                <w:rFonts w:cs="Arial"/>
                <w:b w:val="0"/>
                <w:bCs w:val="0"/>
                <w:szCs w:val="14"/>
              </w:rPr>
            </w:pPr>
            <w:r w:rsidRPr="002C1B9E">
              <w:rPr>
                <w:b w:val="0"/>
                <w:bCs w:val="0"/>
              </w:rPr>
              <w:t>Other charges</w:t>
            </w:r>
          </w:p>
        </w:tc>
        <w:tc>
          <w:tcPr>
            <w:tcW w:w="1889" w:type="dxa"/>
            <w:tcBorders>
              <w:top w:val="nil"/>
              <w:bottom w:val="nil"/>
            </w:tcBorders>
            <w:shd w:val="clear" w:color="auto" w:fill="auto"/>
            <w:vAlign w:val="center"/>
          </w:tcPr>
          <w:p w14:paraId="52D2A2C0"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szCs w:val="14"/>
              </w:rPr>
              <w:t>--</w:t>
            </w:r>
          </w:p>
        </w:tc>
        <w:tc>
          <w:tcPr>
            <w:tcW w:w="1890" w:type="dxa"/>
            <w:tcBorders>
              <w:top w:val="nil"/>
              <w:bottom w:val="nil"/>
            </w:tcBorders>
            <w:shd w:val="clear" w:color="auto" w:fill="auto"/>
            <w:vAlign w:val="center"/>
          </w:tcPr>
          <w:p w14:paraId="75BA90F7"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szCs w:val="14"/>
              </w:rPr>
              <w:t>3.496</w:t>
            </w:r>
          </w:p>
        </w:tc>
        <w:tc>
          <w:tcPr>
            <w:tcW w:w="1890" w:type="dxa"/>
            <w:tcBorders>
              <w:top w:val="nil"/>
              <w:bottom w:val="nil"/>
            </w:tcBorders>
            <w:shd w:val="clear" w:color="auto" w:fill="auto"/>
            <w:vAlign w:val="center"/>
          </w:tcPr>
          <w:p w14:paraId="11583F2E"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AC04CA">
              <w:rPr>
                <w:rFonts w:cs="Arial"/>
                <w:bCs/>
                <w:szCs w:val="14"/>
              </w:rPr>
              <w:t>3.496</w:t>
            </w:r>
          </w:p>
        </w:tc>
      </w:tr>
      <w:tr w:rsidR="005357C6" w:rsidRPr="002C1B9E" w14:paraId="336013E5"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224C128E" w14:textId="77777777" w:rsidR="005357C6" w:rsidRPr="002C1B9E" w:rsidRDefault="005357C6" w:rsidP="00AC04CA">
            <w:pPr>
              <w:pStyle w:val="08-Tabelageral"/>
              <w:jc w:val="left"/>
              <w:rPr>
                <w:rFonts w:cs="Arial"/>
                <w:szCs w:val="14"/>
                <w:lang w:val="en-US"/>
              </w:rPr>
            </w:pPr>
            <w:r w:rsidRPr="002C1B9E">
              <w:t>Taxes, fees and contributions</w:t>
            </w:r>
          </w:p>
        </w:tc>
        <w:tc>
          <w:tcPr>
            <w:tcW w:w="1889" w:type="dxa"/>
            <w:tcBorders>
              <w:top w:val="nil"/>
              <w:bottom w:val="nil"/>
            </w:tcBorders>
            <w:shd w:val="clear" w:color="auto" w:fill="auto"/>
            <w:vAlign w:val="center"/>
          </w:tcPr>
          <w:p w14:paraId="5B70A2E2"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bCs/>
                <w:szCs w:val="14"/>
              </w:rPr>
              <w:t>1.626.729</w:t>
            </w:r>
          </w:p>
        </w:tc>
        <w:tc>
          <w:tcPr>
            <w:tcW w:w="1890" w:type="dxa"/>
            <w:tcBorders>
              <w:top w:val="nil"/>
              <w:bottom w:val="nil"/>
            </w:tcBorders>
            <w:shd w:val="clear" w:color="auto" w:fill="auto"/>
            <w:vAlign w:val="center"/>
          </w:tcPr>
          <w:p w14:paraId="0B25A085"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color w:val="000000"/>
                <w:szCs w:val="14"/>
              </w:rPr>
              <w:t>8.220</w:t>
            </w:r>
          </w:p>
        </w:tc>
        <w:tc>
          <w:tcPr>
            <w:tcW w:w="1890" w:type="dxa"/>
            <w:tcBorders>
              <w:top w:val="nil"/>
              <w:bottom w:val="nil"/>
            </w:tcBorders>
            <w:shd w:val="clear" w:color="auto" w:fill="auto"/>
            <w:vAlign w:val="center"/>
          </w:tcPr>
          <w:p w14:paraId="3D8BB308"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bCs/>
                <w:color w:val="000000"/>
                <w:szCs w:val="14"/>
              </w:rPr>
              <w:t>1.634.949</w:t>
            </w:r>
          </w:p>
        </w:tc>
      </w:tr>
      <w:tr w:rsidR="005357C6" w:rsidRPr="002C1B9E" w14:paraId="7772C661"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07E817CE" w14:textId="77777777" w:rsidR="005357C6" w:rsidRPr="002C1B9E" w:rsidRDefault="005357C6" w:rsidP="00AC04CA">
            <w:pPr>
              <w:pStyle w:val="08-Tabelageral"/>
              <w:ind w:left="113"/>
              <w:jc w:val="left"/>
              <w:rPr>
                <w:rFonts w:cs="Arial"/>
                <w:b w:val="0"/>
                <w:bCs w:val="0"/>
                <w:szCs w:val="14"/>
              </w:rPr>
            </w:pPr>
            <w:r w:rsidRPr="002C1B9E">
              <w:rPr>
                <w:b w:val="0"/>
                <w:bCs w:val="0"/>
              </w:rPr>
              <w:t>Federal</w:t>
            </w:r>
          </w:p>
        </w:tc>
        <w:tc>
          <w:tcPr>
            <w:tcW w:w="1889" w:type="dxa"/>
            <w:tcBorders>
              <w:top w:val="nil"/>
              <w:bottom w:val="nil"/>
            </w:tcBorders>
            <w:shd w:val="clear" w:color="auto" w:fill="auto"/>
            <w:vAlign w:val="center"/>
          </w:tcPr>
          <w:p w14:paraId="6DE5E49E"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w:t>
            </w:r>
          </w:p>
        </w:tc>
        <w:tc>
          <w:tcPr>
            <w:tcW w:w="1890" w:type="dxa"/>
            <w:tcBorders>
              <w:top w:val="nil"/>
              <w:bottom w:val="nil"/>
            </w:tcBorders>
            <w:shd w:val="clear" w:color="auto" w:fill="auto"/>
            <w:vAlign w:val="center"/>
          </w:tcPr>
          <w:p w14:paraId="278076BD"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color w:val="000000"/>
                <w:szCs w:val="14"/>
              </w:rPr>
              <w:t>1.542.552</w:t>
            </w:r>
          </w:p>
        </w:tc>
        <w:tc>
          <w:tcPr>
            <w:tcW w:w="1890" w:type="dxa"/>
            <w:tcBorders>
              <w:top w:val="nil"/>
              <w:bottom w:val="nil"/>
            </w:tcBorders>
            <w:shd w:val="clear" w:color="auto" w:fill="auto"/>
            <w:vAlign w:val="center"/>
          </w:tcPr>
          <w:p w14:paraId="0657F586"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color w:val="000000"/>
                <w:szCs w:val="14"/>
              </w:rPr>
              <w:t>1.542.552</w:t>
            </w:r>
          </w:p>
        </w:tc>
      </w:tr>
      <w:tr w:rsidR="005357C6" w:rsidRPr="002C1B9E" w14:paraId="2C0E33B4"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093179FE" w14:textId="77777777" w:rsidR="005357C6" w:rsidRPr="002C1B9E" w:rsidRDefault="005357C6" w:rsidP="00AC04CA">
            <w:pPr>
              <w:pStyle w:val="08-Tabelageral"/>
              <w:ind w:left="113"/>
              <w:jc w:val="left"/>
              <w:rPr>
                <w:b w:val="0"/>
                <w:bCs w:val="0"/>
              </w:rPr>
            </w:pPr>
            <w:r w:rsidRPr="002C1B9E">
              <w:rPr>
                <w:b w:val="0"/>
                <w:bCs w:val="0"/>
              </w:rPr>
              <w:t>Municipal</w:t>
            </w:r>
          </w:p>
        </w:tc>
        <w:tc>
          <w:tcPr>
            <w:tcW w:w="1889" w:type="dxa"/>
            <w:tcBorders>
              <w:top w:val="nil"/>
              <w:bottom w:val="nil"/>
            </w:tcBorders>
            <w:shd w:val="clear" w:color="auto" w:fill="auto"/>
            <w:vAlign w:val="center"/>
          </w:tcPr>
          <w:p w14:paraId="4A21B766"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w:t>
            </w:r>
          </w:p>
        </w:tc>
        <w:tc>
          <w:tcPr>
            <w:tcW w:w="1890" w:type="dxa"/>
            <w:tcBorders>
              <w:top w:val="nil"/>
              <w:bottom w:val="nil"/>
            </w:tcBorders>
            <w:shd w:val="clear" w:color="auto" w:fill="auto"/>
            <w:vAlign w:val="center"/>
          </w:tcPr>
          <w:p w14:paraId="0A85B1C1"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color w:val="000000"/>
                <w:szCs w:val="14"/>
              </w:rPr>
              <w:t>92.397</w:t>
            </w:r>
          </w:p>
        </w:tc>
        <w:tc>
          <w:tcPr>
            <w:tcW w:w="1890" w:type="dxa"/>
            <w:tcBorders>
              <w:top w:val="nil"/>
              <w:bottom w:val="nil"/>
            </w:tcBorders>
            <w:shd w:val="clear" w:color="auto" w:fill="auto"/>
            <w:vAlign w:val="center"/>
          </w:tcPr>
          <w:p w14:paraId="4600E998"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color w:val="000000"/>
                <w:szCs w:val="14"/>
              </w:rPr>
              <w:t>92.397</w:t>
            </w:r>
          </w:p>
        </w:tc>
      </w:tr>
      <w:tr w:rsidR="005357C6" w:rsidRPr="002C1B9E" w14:paraId="455CACAF"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37E23ECF" w14:textId="77777777" w:rsidR="005357C6" w:rsidRPr="002C1B9E" w:rsidRDefault="005357C6" w:rsidP="00AC04CA">
            <w:pPr>
              <w:pStyle w:val="08-Tabelageral"/>
              <w:jc w:val="left"/>
              <w:rPr>
                <w:rFonts w:cs="Arial"/>
                <w:szCs w:val="14"/>
                <w:lang w:val="en-US"/>
              </w:rPr>
            </w:pPr>
            <w:r w:rsidRPr="002C1B9E">
              <w:rPr>
                <w:lang w:val="en-US"/>
              </w:rPr>
              <w:t>Remuneration of third-party capital</w:t>
            </w:r>
          </w:p>
        </w:tc>
        <w:tc>
          <w:tcPr>
            <w:tcW w:w="1889" w:type="dxa"/>
            <w:tcBorders>
              <w:top w:val="nil"/>
              <w:bottom w:val="nil"/>
            </w:tcBorders>
            <w:shd w:val="clear" w:color="auto" w:fill="auto"/>
            <w:vAlign w:val="center"/>
          </w:tcPr>
          <w:p w14:paraId="7D904A6F"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rPr>
            </w:pPr>
            <w:r w:rsidRPr="00AC04CA">
              <w:rPr>
                <w:rFonts w:cs="Arial"/>
                <w:b/>
                <w:szCs w:val="14"/>
              </w:rPr>
              <w:t>--</w:t>
            </w:r>
          </w:p>
        </w:tc>
        <w:tc>
          <w:tcPr>
            <w:tcW w:w="1890" w:type="dxa"/>
            <w:tcBorders>
              <w:top w:val="nil"/>
              <w:bottom w:val="nil"/>
            </w:tcBorders>
            <w:shd w:val="clear" w:color="auto" w:fill="auto"/>
            <w:vAlign w:val="center"/>
          </w:tcPr>
          <w:p w14:paraId="23849038"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rPr>
            </w:pPr>
            <w:r w:rsidRPr="00AC04CA">
              <w:rPr>
                <w:rFonts w:cs="Arial"/>
                <w:b/>
                <w:bCs/>
                <w:color w:val="000000"/>
                <w:szCs w:val="14"/>
              </w:rPr>
              <w:t>7.482</w:t>
            </w:r>
          </w:p>
        </w:tc>
        <w:tc>
          <w:tcPr>
            <w:tcW w:w="1890" w:type="dxa"/>
            <w:tcBorders>
              <w:top w:val="nil"/>
              <w:bottom w:val="nil"/>
            </w:tcBorders>
            <w:shd w:val="clear" w:color="auto" w:fill="auto"/>
            <w:vAlign w:val="center"/>
          </w:tcPr>
          <w:p w14:paraId="2F9D6C9E"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val="en-US"/>
              </w:rPr>
            </w:pPr>
            <w:r w:rsidRPr="00AC04CA">
              <w:rPr>
                <w:rFonts w:cs="Arial"/>
                <w:b/>
                <w:bCs/>
                <w:color w:val="000000"/>
                <w:szCs w:val="14"/>
              </w:rPr>
              <w:t>7.482</w:t>
            </w:r>
          </w:p>
        </w:tc>
      </w:tr>
      <w:tr w:rsidR="005357C6" w:rsidRPr="002C1B9E" w14:paraId="43D9B582"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0F5993C3" w14:textId="77777777" w:rsidR="005357C6" w:rsidRPr="002C1B9E" w:rsidRDefault="005357C6" w:rsidP="00AC04CA">
            <w:pPr>
              <w:pStyle w:val="08-Tabelageral"/>
              <w:ind w:left="113"/>
              <w:jc w:val="left"/>
              <w:rPr>
                <w:rFonts w:cs="Arial"/>
                <w:b w:val="0"/>
                <w:bCs w:val="0"/>
                <w:szCs w:val="14"/>
              </w:rPr>
            </w:pPr>
            <w:r w:rsidRPr="002C1B9E">
              <w:rPr>
                <w:b w:val="0"/>
                <w:bCs w:val="0"/>
              </w:rPr>
              <w:t>Interest</w:t>
            </w:r>
          </w:p>
        </w:tc>
        <w:tc>
          <w:tcPr>
            <w:tcW w:w="1889" w:type="dxa"/>
            <w:tcBorders>
              <w:top w:val="nil"/>
              <w:bottom w:val="nil"/>
            </w:tcBorders>
            <w:shd w:val="clear" w:color="auto" w:fill="auto"/>
            <w:vAlign w:val="center"/>
          </w:tcPr>
          <w:p w14:paraId="7A865FAD"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color w:val="000000"/>
                <w:szCs w:val="14"/>
              </w:rPr>
              <w:t>--</w:t>
            </w:r>
          </w:p>
        </w:tc>
        <w:tc>
          <w:tcPr>
            <w:tcW w:w="1890" w:type="dxa"/>
            <w:tcBorders>
              <w:top w:val="nil"/>
              <w:bottom w:val="nil"/>
            </w:tcBorders>
            <w:shd w:val="clear" w:color="auto" w:fill="auto"/>
            <w:vAlign w:val="center"/>
          </w:tcPr>
          <w:p w14:paraId="101166C3"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4.515</w:t>
            </w:r>
          </w:p>
        </w:tc>
        <w:tc>
          <w:tcPr>
            <w:tcW w:w="1890" w:type="dxa"/>
            <w:tcBorders>
              <w:top w:val="nil"/>
              <w:bottom w:val="nil"/>
            </w:tcBorders>
            <w:shd w:val="clear" w:color="auto" w:fill="auto"/>
            <w:vAlign w:val="center"/>
          </w:tcPr>
          <w:p w14:paraId="06A00482" w14:textId="77777777" w:rsidR="005357C6" w:rsidRPr="00AC04CA" w:rsidRDefault="005357C6" w:rsidP="00AC04C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C04CA">
              <w:rPr>
                <w:rFonts w:cs="Arial"/>
                <w:bCs/>
                <w:szCs w:val="14"/>
              </w:rPr>
              <w:t>4.515</w:t>
            </w:r>
          </w:p>
        </w:tc>
      </w:tr>
      <w:tr w:rsidR="005357C6" w:rsidRPr="002C1B9E" w14:paraId="47EF5F50"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1215249B" w14:textId="77777777" w:rsidR="005357C6" w:rsidRPr="002C1B9E" w:rsidRDefault="005357C6" w:rsidP="00AC04CA">
            <w:pPr>
              <w:pStyle w:val="08-Tabelageral"/>
              <w:ind w:left="113"/>
              <w:jc w:val="left"/>
              <w:rPr>
                <w:rFonts w:cs="Arial"/>
                <w:b w:val="0"/>
                <w:bCs w:val="0"/>
                <w:szCs w:val="14"/>
              </w:rPr>
            </w:pPr>
            <w:r w:rsidRPr="002C1B9E">
              <w:rPr>
                <w:b w:val="0"/>
                <w:bCs w:val="0"/>
              </w:rPr>
              <w:t>Rents</w:t>
            </w:r>
          </w:p>
        </w:tc>
        <w:tc>
          <w:tcPr>
            <w:tcW w:w="1889" w:type="dxa"/>
            <w:tcBorders>
              <w:top w:val="nil"/>
              <w:bottom w:val="nil"/>
            </w:tcBorders>
            <w:shd w:val="clear" w:color="auto" w:fill="auto"/>
            <w:vAlign w:val="center"/>
          </w:tcPr>
          <w:p w14:paraId="502A02C2"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w:t>
            </w:r>
          </w:p>
        </w:tc>
        <w:tc>
          <w:tcPr>
            <w:tcW w:w="1890" w:type="dxa"/>
            <w:tcBorders>
              <w:top w:val="nil"/>
              <w:bottom w:val="nil"/>
            </w:tcBorders>
            <w:shd w:val="clear" w:color="auto" w:fill="auto"/>
            <w:vAlign w:val="center"/>
          </w:tcPr>
          <w:p w14:paraId="76B8AC02"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2.967</w:t>
            </w:r>
          </w:p>
        </w:tc>
        <w:tc>
          <w:tcPr>
            <w:tcW w:w="1890" w:type="dxa"/>
            <w:tcBorders>
              <w:top w:val="nil"/>
              <w:bottom w:val="nil"/>
            </w:tcBorders>
            <w:shd w:val="clear" w:color="auto" w:fill="auto"/>
            <w:vAlign w:val="center"/>
          </w:tcPr>
          <w:p w14:paraId="25ABB945" w14:textId="77777777" w:rsidR="005357C6" w:rsidRPr="00AC04CA" w:rsidRDefault="005357C6" w:rsidP="00AC04C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2.967</w:t>
            </w:r>
          </w:p>
        </w:tc>
      </w:tr>
      <w:tr w:rsidR="005357C6" w:rsidRPr="002C1B9E" w14:paraId="0D5CAD06"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45285255" w14:textId="77777777" w:rsidR="005357C6" w:rsidRPr="002C1B9E" w:rsidRDefault="005357C6" w:rsidP="00AC04CA">
            <w:pPr>
              <w:pStyle w:val="08-Tabelageral"/>
              <w:jc w:val="left"/>
              <w:rPr>
                <w:rFonts w:cs="Arial"/>
                <w:szCs w:val="14"/>
              </w:rPr>
            </w:pPr>
            <w:r w:rsidRPr="002C1B9E">
              <w:t>Equity remuneration</w:t>
            </w:r>
          </w:p>
        </w:tc>
        <w:tc>
          <w:tcPr>
            <w:tcW w:w="1889" w:type="dxa"/>
            <w:tcBorders>
              <w:top w:val="nil"/>
              <w:bottom w:val="nil"/>
            </w:tcBorders>
            <w:shd w:val="clear" w:color="auto" w:fill="auto"/>
            <w:vAlign w:val="center"/>
          </w:tcPr>
          <w:p w14:paraId="36EB71A7"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bCs/>
                <w:szCs w:val="14"/>
              </w:rPr>
              <w:t>2.871.248</w:t>
            </w:r>
          </w:p>
        </w:tc>
        <w:tc>
          <w:tcPr>
            <w:tcW w:w="1890" w:type="dxa"/>
            <w:tcBorders>
              <w:top w:val="nil"/>
              <w:bottom w:val="nil"/>
            </w:tcBorders>
            <w:shd w:val="clear" w:color="auto" w:fill="auto"/>
            <w:vAlign w:val="center"/>
          </w:tcPr>
          <w:p w14:paraId="0173E74B"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color w:val="000000"/>
                <w:szCs w:val="14"/>
              </w:rPr>
              <w:t>1.061.969</w:t>
            </w:r>
          </w:p>
        </w:tc>
        <w:tc>
          <w:tcPr>
            <w:tcW w:w="1890" w:type="dxa"/>
            <w:tcBorders>
              <w:top w:val="nil"/>
              <w:bottom w:val="nil"/>
            </w:tcBorders>
            <w:shd w:val="clear" w:color="auto" w:fill="auto"/>
            <w:vAlign w:val="center"/>
          </w:tcPr>
          <w:p w14:paraId="567CD0A2"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AC04CA">
              <w:rPr>
                <w:rFonts w:cs="Arial"/>
                <w:b/>
                <w:bCs/>
                <w:color w:val="000000"/>
                <w:szCs w:val="14"/>
              </w:rPr>
              <w:t>3.933.217</w:t>
            </w:r>
          </w:p>
        </w:tc>
      </w:tr>
      <w:tr w:rsidR="005357C6" w:rsidRPr="002C1B9E" w14:paraId="71C96DE8" w14:textId="77777777" w:rsidTr="00AC04CA">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tcPr>
          <w:p w14:paraId="376679C6" w14:textId="77777777" w:rsidR="005357C6" w:rsidRPr="002C1B9E" w:rsidRDefault="005357C6" w:rsidP="00AC04CA">
            <w:pPr>
              <w:pStyle w:val="08-Tabelageral"/>
              <w:ind w:left="113"/>
              <w:jc w:val="left"/>
              <w:rPr>
                <w:rFonts w:cs="Arial"/>
                <w:b w:val="0"/>
                <w:bCs w:val="0"/>
                <w:szCs w:val="14"/>
                <w:lang w:val="en-US"/>
              </w:rPr>
            </w:pPr>
            <w:r w:rsidRPr="002C1B9E">
              <w:rPr>
                <w:b w:val="0"/>
                <w:bCs w:val="0"/>
              </w:rPr>
              <w:t>Dividends</w:t>
            </w:r>
          </w:p>
        </w:tc>
        <w:tc>
          <w:tcPr>
            <w:tcW w:w="1889" w:type="dxa"/>
            <w:tcBorders>
              <w:top w:val="nil"/>
              <w:bottom w:val="nil"/>
            </w:tcBorders>
            <w:shd w:val="clear" w:color="auto" w:fill="auto"/>
            <w:vAlign w:val="center"/>
          </w:tcPr>
          <w:p w14:paraId="715A7C6A"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w:t>
            </w:r>
          </w:p>
        </w:tc>
        <w:tc>
          <w:tcPr>
            <w:tcW w:w="1890" w:type="dxa"/>
            <w:tcBorders>
              <w:top w:val="nil"/>
              <w:bottom w:val="nil"/>
            </w:tcBorders>
            <w:shd w:val="clear" w:color="auto" w:fill="auto"/>
            <w:vAlign w:val="center"/>
          </w:tcPr>
          <w:p w14:paraId="3763E665"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2.871.248</w:t>
            </w:r>
          </w:p>
        </w:tc>
        <w:tc>
          <w:tcPr>
            <w:tcW w:w="1890" w:type="dxa"/>
            <w:tcBorders>
              <w:top w:val="nil"/>
              <w:bottom w:val="nil"/>
            </w:tcBorders>
            <w:shd w:val="clear" w:color="auto" w:fill="auto"/>
            <w:vAlign w:val="center"/>
          </w:tcPr>
          <w:p w14:paraId="0E8A7C26" w14:textId="77777777" w:rsidR="005357C6" w:rsidRPr="00AC04CA" w:rsidRDefault="005357C6" w:rsidP="00AC04C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C04CA">
              <w:rPr>
                <w:rFonts w:cs="Arial"/>
                <w:bCs/>
                <w:szCs w:val="14"/>
              </w:rPr>
              <w:t>2.871.248</w:t>
            </w:r>
          </w:p>
        </w:tc>
      </w:tr>
      <w:tr w:rsidR="005357C6" w:rsidRPr="002C1B9E" w14:paraId="344D4213" w14:textId="77777777" w:rsidTr="00AC04C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single" w:sz="2" w:space="0" w:color="1F4E79" w:themeColor="accent1" w:themeShade="80"/>
            </w:tcBorders>
            <w:shd w:val="clear" w:color="auto" w:fill="auto"/>
          </w:tcPr>
          <w:p w14:paraId="578A4EA6" w14:textId="77777777" w:rsidR="005357C6" w:rsidRPr="002C1B9E" w:rsidRDefault="005357C6" w:rsidP="00AC04CA">
            <w:pPr>
              <w:pStyle w:val="08-Tabelageral"/>
              <w:ind w:left="113"/>
              <w:jc w:val="left"/>
              <w:rPr>
                <w:rFonts w:cs="Arial"/>
                <w:b w:val="0"/>
                <w:bCs w:val="0"/>
                <w:szCs w:val="14"/>
                <w:lang w:val="en-US"/>
              </w:rPr>
            </w:pPr>
            <w:r w:rsidRPr="002C1B9E">
              <w:rPr>
                <w:b w:val="0"/>
                <w:bCs w:val="0"/>
                <w:lang w:val="en-US"/>
              </w:rPr>
              <w:t>Retained earnings for the period</w:t>
            </w:r>
          </w:p>
        </w:tc>
        <w:tc>
          <w:tcPr>
            <w:tcW w:w="1889" w:type="dxa"/>
            <w:tcBorders>
              <w:top w:val="nil"/>
              <w:bottom w:val="single" w:sz="2" w:space="0" w:color="1F4E79" w:themeColor="accent1" w:themeShade="80"/>
            </w:tcBorders>
            <w:shd w:val="clear" w:color="auto" w:fill="auto"/>
            <w:vAlign w:val="center"/>
          </w:tcPr>
          <w:p w14:paraId="6FF80966"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C04CA">
              <w:rPr>
                <w:rFonts w:cs="Arial"/>
                <w:bCs/>
                <w:szCs w:val="14"/>
              </w:rPr>
              <w:t>1.061.969</w:t>
            </w:r>
          </w:p>
        </w:tc>
        <w:tc>
          <w:tcPr>
            <w:tcW w:w="1890" w:type="dxa"/>
            <w:tcBorders>
              <w:top w:val="nil"/>
              <w:bottom w:val="single" w:sz="2" w:space="0" w:color="1F4E79" w:themeColor="accent1" w:themeShade="80"/>
            </w:tcBorders>
            <w:shd w:val="clear" w:color="auto" w:fill="auto"/>
            <w:vAlign w:val="center"/>
          </w:tcPr>
          <w:p w14:paraId="198D78C1"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C04CA">
              <w:rPr>
                <w:rFonts w:cs="Arial"/>
                <w:szCs w:val="14"/>
              </w:rPr>
              <w:t>--</w:t>
            </w:r>
          </w:p>
        </w:tc>
        <w:tc>
          <w:tcPr>
            <w:tcW w:w="1890" w:type="dxa"/>
            <w:tcBorders>
              <w:top w:val="nil"/>
              <w:bottom w:val="single" w:sz="2" w:space="0" w:color="1F4E79" w:themeColor="accent1" w:themeShade="80"/>
            </w:tcBorders>
            <w:shd w:val="clear" w:color="auto" w:fill="auto"/>
            <w:vAlign w:val="center"/>
          </w:tcPr>
          <w:p w14:paraId="635E50C3" w14:textId="77777777" w:rsidR="005357C6" w:rsidRPr="00AC04CA" w:rsidRDefault="005357C6" w:rsidP="00AC04C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val="en-US"/>
              </w:rPr>
            </w:pPr>
            <w:r w:rsidRPr="00AC04CA">
              <w:rPr>
                <w:rFonts w:cs="Arial"/>
                <w:bCs/>
                <w:szCs w:val="14"/>
              </w:rPr>
              <w:t>1.061.969</w:t>
            </w:r>
          </w:p>
        </w:tc>
      </w:tr>
    </w:tbl>
    <w:p w14:paraId="43CCE036" w14:textId="6DD913C8" w:rsidR="005357C6" w:rsidRPr="00D3472F" w:rsidRDefault="005357C6" w:rsidP="00FC4475">
      <w:pPr>
        <w:pStyle w:val="Ttulo1"/>
      </w:pPr>
      <w:bookmarkStart w:id="26" w:name="_Toc126781095"/>
      <w:bookmarkStart w:id="27" w:name="OLE_LINK5"/>
      <w:r w:rsidRPr="00D3472F">
        <w:t>4 – DESCRIPTION OF KEY ACCOUNTING POLICIES</w:t>
      </w:r>
      <w:bookmarkEnd w:id="26"/>
    </w:p>
    <w:p w14:paraId="25C258A7" w14:textId="77777777" w:rsidR="005357C6" w:rsidRPr="004105CA" w:rsidRDefault="005357C6" w:rsidP="004105CA">
      <w:pPr>
        <w:spacing w:before="120" w:after="120"/>
        <w:jc w:val="both"/>
        <w:rPr>
          <w:rFonts w:eastAsia="Times New Roman" w:cs="Times New Roman"/>
          <w:spacing w:val="-2"/>
          <w:szCs w:val="18"/>
          <w:lang w:val="en" w:eastAsia="pt-BR"/>
        </w:rPr>
      </w:pPr>
      <w:r w:rsidRPr="004105CA">
        <w:rPr>
          <w:rFonts w:eastAsia="Times New Roman" w:cs="Times New Roman"/>
          <w:spacing w:val="-2"/>
          <w:szCs w:val="18"/>
          <w:lang w:val="en" w:eastAsia="pt-BR"/>
        </w:rPr>
        <w:t xml:space="preserve">Accounting policies are the specific principles, bases, conventions, rules and practices applied by BB Seguridade in the preparation and presentation of </w:t>
      </w:r>
      <w:r>
        <w:rPr>
          <w:rFonts w:eastAsia="Times New Roman" w:cs="Times New Roman"/>
          <w:spacing w:val="-2"/>
          <w:szCs w:val="18"/>
          <w:lang w:val="en" w:eastAsia="pt-BR"/>
        </w:rPr>
        <w:t>annual financial statements</w:t>
      </w:r>
      <w:r w:rsidRPr="004105CA">
        <w:rPr>
          <w:rFonts w:eastAsia="Times New Roman" w:cs="Times New Roman"/>
          <w:spacing w:val="-2"/>
          <w:szCs w:val="18"/>
          <w:lang w:val="en" w:eastAsia="pt-BR"/>
        </w:rPr>
        <w:t>. BB Seguridade applied accounting policies consistently to all periods presented in these</w:t>
      </w:r>
      <w:r>
        <w:rPr>
          <w:rFonts w:eastAsia="Times New Roman" w:cs="Times New Roman"/>
          <w:spacing w:val="-2"/>
          <w:szCs w:val="18"/>
          <w:lang w:val="en" w:eastAsia="pt-BR"/>
        </w:rPr>
        <w:t xml:space="preserve"> financial statements</w:t>
      </w:r>
      <w:r w:rsidRPr="004105CA">
        <w:rPr>
          <w:rFonts w:eastAsia="Times New Roman" w:cs="Times New Roman"/>
          <w:spacing w:val="-2"/>
          <w:szCs w:val="18"/>
          <w:lang w:val="en" w:eastAsia="pt-BR"/>
        </w:rPr>
        <w:t>.</w:t>
      </w:r>
    </w:p>
    <w:p w14:paraId="2BCFBAC3" w14:textId="77777777" w:rsidR="005357C6" w:rsidRDefault="005357C6" w:rsidP="004105CA">
      <w:pPr>
        <w:spacing w:before="120" w:after="120"/>
        <w:jc w:val="both"/>
        <w:rPr>
          <w:rFonts w:eastAsia="Times New Roman" w:cs="Times New Roman"/>
          <w:spacing w:val="-2"/>
          <w:szCs w:val="18"/>
          <w:lang w:val="en" w:eastAsia="pt-BR"/>
        </w:rPr>
      </w:pPr>
      <w:r w:rsidRPr="004105CA">
        <w:rPr>
          <w:rFonts w:eastAsia="Times New Roman" w:cs="Times New Roman"/>
          <w:spacing w:val="-2"/>
          <w:szCs w:val="18"/>
          <w:lang w:val="en" w:eastAsia="pt-BR"/>
        </w:rPr>
        <w:t>The accounting policies used in the preparation of these</w:t>
      </w:r>
      <w:r>
        <w:rPr>
          <w:rFonts w:eastAsia="Times New Roman" w:cs="Times New Roman"/>
          <w:spacing w:val="-2"/>
          <w:szCs w:val="18"/>
          <w:lang w:val="en" w:eastAsia="pt-BR"/>
        </w:rPr>
        <w:t xml:space="preserve"> financial statements</w:t>
      </w:r>
      <w:r w:rsidRPr="004105CA">
        <w:rPr>
          <w:rFonts w:eastAsia="Times New Roman" w:cs="Times New Roman"/>
          <w:spacing w:val="-2"/>
          <w:szCs w:val="18"/>
          <w:lang w:val="en" w:eastAsia="pt-BR"/>
        </w:rPr>
        <w:t xml:space="preserve"> are equivalent to those applied to the annual financial statements for the fiscal year ended on December 31, 202</w:t>
      </w:r>
      <w:r>
        <w:rPr>
          <w:rFonts w:eastAsia="Times New Roman" w:cs="Times New Roman"/>
          <w:spacing w:val="-2"/>
          <w:szCs w:val="18"/>
          <w:lang w:val="en" w:eastAsia="pt-BR"/>
        </w:rPr>
        <w:t>1</w:t>
      </w:r>
      <w:r w:rsidRPr="004105CA">
        <w:rPr>
          <w:rFonts w:eastAsia="Times New Roman" w:cs="Times New Roman"/>
          <w:spacing w:val="-2"/>
          <w:szCs w:val="18"/>
          <w:lang w:val="en" w:eastAsia="pt-BR"/>
        </w:rPr>
        <w:t>.</w:t>
      </w:r>
    </w:p>
    <w:p w14:paraId="5B3C983D" w14:textId="77777777" w:rsidR="005357C6" w:rsidRPr="00481176" w:rsidRDefault="005357C6" w:rsidP="004105CA">
      <w:pPr>
        <w:spacing w:before="120" w:after="120"/>
        <w:jc w:val="both"/>
        <w:rPr>
          <w:rFonts w:eastAsia="Times New Roman" w:cs="Times New Roman"/>
          <w:b/>
          <w:color w:val="244061"/>
          <w:spacing w:val="-2"/>
          <w:szCs w:val="18"/>
          <w:lang w:val="en-US" w:eastAsia="pt-BR"/>
        </w:rPr>
      </w:pPr>
      <w:r w:rsidRPr="00481176">
        <w:rPr>
          <w:rFonts w:eastAsia="Times New Roman" w:cs="Times New Roman"/>
          <w:b/>
          <w:color w:val="244061"/>
          <w:spacing w:val="-2"/>
          <w:szCs w:val="18"/>
          <w:lang w:val="en-US" w:eastAsia="pt-BR"/>
        </w:rPr>
        <w:t>a) Revenue and Expense Recognition</w:t>
      </w:r>
    </w:p>
    <w:p w14:paraId="3EA94E5A" w14:textId="77777777" w:rsidR="005357C6" w:rsidRDefault="005357C6" w:rsidP="004105CA">
      <w:pPr>
        <w:spacing w:before="120" w:after="120"/>
        <w:jc w:val="both"/>
        <w:rPr>
          <w:rFonts w:eastAsia="Times New Roman" w:cs="Times New Roman"/>
          <w:spacing w:val="-2"/>
          <w:szCs w:val="18"/>
          <w:lang w:val="en" w:eastAsia="pt-BR"/>
        </w:rPr>
      </w:pPr>
      <w:r>
        <w:rPr>
          <w:rFonts w:eastAsia="Times New Roman" w:cs="Times New Roman"/>
          <w:spacing w:val="-2"/>
          <w:szCs w:val="18"/>
          <w:lang w:val="en" w:eastAsia="pt-BR"/>
        </w:rPr>
        <w:t>Revenues and expenses are recognized on an accrual basis and are reported in the financial statements for the periods to which they refer. Revenues are increases in assets, or decreases in liabilities, resulting in increases in the shareholders' equity, except for those referring to contributions from holders of rights on the equity.</w:t>
      </w:r>
    </w:p>
    <w:p w14:paraId="002FA5A5" w14:textId="77777777" w:rsidR="005357C6" w:rsidRDefault="005357C6" w:rsidP="004105CA">
      <w:pPr>
        <w:spacing w:before="120" w:after="120"/>
        <w:jc w:val="both"/>
        <w:rPr>
          <w:rFonts w:eastAsia="Times New Roman" w:cs="Arial"/>
          <w:spacing w:val="-2"/>
          <w:szCs w:val="18"/>
          <w:lang w:val="en-US" w:eastAsia="pt-BR"/>
        </w:rPr>
      </w:pPr>
      <w:r>
        <w:rPr>
          <w:rFonts w:eastAsia="Times New Roman" w:cs="Arial"/>
          <w:spacing w:val="-2"/>
          <w:szCs w:val="18"/>
          <w:lang w:val="en-US" w:eastAsia="pt-BR"/>
        </w:rPr>
        <w:t>This concept is applied to the main revenues arising from the activities of BB Seguridade and its investees, namely:</w:t>
      </w:r>
    </w:p>
    <w:p w14:paraId="3EF26157" w14:textId="77777777" w:rsidR="005357C6" w:rsidRDefault="005357C6" w:rsidP="00481176">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 xml:space="preserve">a.1) </w:t>
      </w:r>
      <w:r w:rsidRPr="004105CA">
        <w:rPr>
          <w:rFonts w:eastAsia="Times New Roman" w:cs="Times New Roman"/>
          <w:b/>
          <w:color w:val="244061"/>
          <w:spacing w:val="-2"/>
          <w:szCs w:val="18"/>
          <w:lang w:val="en-US" w:eastAsia="pt-BR"/>
        </w:rPr>
        <w:t>Revenue from investments in shareholdings</w:t>
      </w:r>
      <w:r w:rsidRPr="00481176">
        <w:rPr>
          <w:rFonts w:eastAsia="Times New Roman" w:cs="Times New Roman"/>
          <w:b/>
          <w:color w:val="244061"/>
          <w:spacing w:val="-2"/>
          <w:szCs w:val="18"/>
          <w:lang w:val="en-US" w:eastAsia="pt-BR"/>
        </w:rPr>
        <w:t xml:space="preserve"> –</w:t>
      </w:r>
      <w:r w:rsidRPr="00481176">
        <w:rPr>
          <w:rFonts w:eastAsia="Times New Roman" w:cs="Arial"/>
          <w:spacing w:val="-2"/>
          <w:szCs w:val="18"/>
          <w:lang w:val="en-US" w:eastAsia="pt-BR"/>
        </w:rPr>
        <w:t xml:space="preserve"> </w:t>
      </w:r>
      <w:r w:rsidRPr="004105CA">
        <w:rPr>
          <w:rFonts w:eastAsia="Times New Roman" w:cs="Arial"/>
          <w:spacing w:val="-2"/>
          <w:szCs w:val="18"/>
          <w:lang w:val="en-US" w:eastAsia="pt-BR"/>
        </w:rPr>
        <w:t>Revenue from the application of the equity method for assessment of the investments in shareholdings are recognized in proportion to the BB Seguridade’s shareholding on the investees’ income, according to the CPC 18 (R2)</w:t>
      </w:r>
      <w:r>
        <w:rPr>
          <w:rFonts w:eastAsia="Times New Roman" w:cs="Arial"/>
          <w:spacing w:val="-2"/>
          <w:szCs w:val="18"/>
          <w:lang w:val="en-US" w:eastAsia="pt-BR"/>
        </w:rPr>
        <w:t xml:space="preserve"> [IAS 28]</w:t>
      </w:r>
      <w:r w:rsidRPr="004105CA">
        <w:rPr>
          <w:rFonts w:eastAsia="Times New Roman" w:cs="Arial"/>
          <w:spacing w:val="-2"/>
          <w:szCs w:val="18"/>
          <w:lang w:val="en-US" w:eastAsia="pt-BR"/>
        </w:rPr>
        <w:t xml:space="preserve"> – Investment in Controlled and Affiliated Companies and Joint Ventures.</w:t>
      </w:r>
    </w:p>
    <w:p w14:paraId="738D1B7F" w14:textId="77777777" w:rsidR="005357C6" w:rsidRPr="004105CA" w:rsidRDefault="005357C6" w:rsidP="004105CA">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 xml:space="preserve">a.2) </w:t>
      </w:r>
      <w:r w:rsidRPr="004105CA">
        <w:rPr>
          <w:rFonts w:eastAsia="Times New Roman" w:cs="Times New Roman"/>
          <w:b/>
          <w:color w:val="244061"/>
          <w:spacing w:val="-2"/>
          <w:szCs w:val="18"/>
          <w:lang w:val="en-US" w:eastAsia="pt-BR"/>
        </w:rPr>
        <w:t xml:space="preserve">Revenue from commissions </w:t>
      </w:r>
      <w:r w:rsidRPr="00481176">
        <w:rPr>
          <w:rFonts w:eastAsia="Times New Roman" w:cs="Times New Roman"/>
          <w:b/>
          <w:color w:val="244061"/>
          <w:spacing w:val="-2"/>
          <w:szCs w:val="18"/>
          <w:lang w:val="en-US" w:eastAsia="pt-BR"/>
        </w:rPr>
        <w:t>–</w:t>
      </w:r>
      <w:r w:rsidRPr="00481176">
        <w:rPr>
          <w:rFonts w:eastAsia="Times New Roman" w:cs="Arial"/>
          <w:spacing w:val="-2"/>
          <w:szCs w:val="18"/>
          <w:lang w:val="en-US" w:eastAsia="pt-BR"/>
        </w:rPr>
        <w:t xml:space="preserve"> </w:t>
      </w:r>
      <w:r w:rsidRPr="004105CA">
        <w:rPr>
          <w:rFonts w:eastAsia="Times New Roman" w:cs="Arial"/>
          <w:spacing w:val="-2"/>
          <w:szCs w:val="18"/>
          <w:lang w:val="en-US" w:eastAsia="pt-BR"/>
        </w:rPr>
        <w:t>Revenue from commissions are recognized pro rata when its value, its related costs and the conclusion stage of the transaction can be measured in reliable manner and when its related economic benefits are likely to be effective, according to the CPC 47</w:t>
      </w:r>
      <w:r>
        <w:rPr>
          <w:rFonts w:eastAsia="Times New Roman" w:cs="Arial"/>
          <w:spacing w:val="-2"/>
          <w:szCs w:val="18"/>
          <w:lang w:val="en-US" w:eastAsia="pt-BR"/>
        </w:rPr>
        <w:t xml:space="preserve"> [IFRS 15]</w:t>
      </w:r>
      <w:r w:rsidRPr="004105CA">
        <w:rPr>
          <w:rFonts w:eastAsia="Times New Roman" w:cs="Arial"/>
          <w:spacing w:val="-2"/>
          <w:szCs w:val="18"/>
          <w:lang w:val="en-US" w:eastAsia="pt-BR"/>
        </w:rPr>
        <w:t xml:space="preserve"> – Contract Revenue with Client.</w:t>
      </w:r>
    </w:p>
    <w:p w14:paraId="0764DE03" w14:textId="77777777" w:rsidR="005357C6" w:rsidRPr="004105CA"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In order to recognize its revenue, BB Seguridade uses a five-stage model concept to determine when to recognize the revenue: i) identification of the contract; ii) identification of the performance obligations; iii) determination of the price for the transaction; iv) allocation of the price for the transaction and v) recognition of revenue.</w:t>
      </w:r>
    </w:p>
    <w:p w14:paraId="43A5CAC4" w14:textId="77777777" w:rsidR="005357C6" w:rsidRPr="004105CA"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Revenues from commissions are recognized when the Company meets (or as the Company meets) its performance obligation when transferring the goods and services (in other words, assets) in agreement with a client. Revenues from commissions arises from the segments of people insurance, casualty insurance, pension plans, capitalization and health insurance. These revenues are recognized over time (products with an established validity), where the performance obligation is diluted linearly over the lifetime of the product/insurance, or at a specific time (monthly products), where the performance obligation is due monthly, according to the characteristics of the products.</w:t>
      </w:r>
    </w:p>
    <w:p w14:paraId="4A60AB73" w14:textId="77777777" w:rsidR="005357C6" w:rsidRPr="004105CA"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In cases of return of the Premium to the insured parties, the broker reimburses, to the insurer, the commission received in proportion to the value refunded or not received by the insurer in relation to the remaining period of the policy.</w:t>
      </w:r>
    </w:p>
    <w:p w14:paraId="799E4A58" w14:textId="77777777" w:rsidR="005357C6" w:rsidRPr="004105CA"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lastRenderedPageBreak/>
        <w:t>For insurance whose expiry date is not objectively established (monthly insurance), monthly payment of considerations is decisive for the continuity of the policies, and, in general, there are no refund of the commissions.</w:t>
      </w:r>
    </w:p>
    <w:p w14:paraId="4896FD91" w14:textId="77777777" w:rsidR="005357C6" w:rsidRPr="00481176"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 xml:space="preserve">For the monitoring and control of brokerage commissions, BB Seguridade uses the ERP (Enterprise Resource Planning) system, which has a specific module for brokerage, called “Motor de Cálculo”. The purpose of this module is to receive, in a standardized manner, all the necessary information from the investees and Banco do Brasil, allowing the automation of the quantitative and qualitative analyzes of the sales operations and accounts receivable operations of the security products, allowing greater control and reconciliation of brokerage values, in addition to allowing the automatic accounting. </w:t>
      </w:r>
      <w:r w:rsidRPr="008F2E50">
        <w:rPr>
          <w:rFonts w:eastAsia="Times New Roman" w:cs="Arial"/>
          <w:spacing w:val="-2"/>
          <w:szCs w:val="18"/>
          <w:lang w:val="en-US" w:eastAsia="pt-BR"/>
        </w:rPr>
        <w:t xml:space="preserve">Products from Brasilseg, Brasilcap, Brasilprev, Brasildental and </w:t>
      </w:r>
      <w:r>
        <w:rPr>
          <w:rFonts w:eastAsia="Times New Roman" w:cs="Arial"/>
          <w:spacing w:val="-2"/>
          <w:szCs w:val="18"/>
          <w:lang w:val="en-US" w:eastAsia="pt-BR"/>
        </w:rPr>
        <w:t>MAPFRE</w:t>
      </w:r>
      <w:r w:rsidRPr="008F2E50">
        <w:rPr>
          <w:rFonts w:eastAsia="Times New Roman" w:cs="Arial"/>
          <w:spacing w:val="-2"/>
          <w:szCs w:val="18"/>
          <w:lang w:val="en-US" w:eastAsia="pt-BR"/>
        </w:rPr>
        <w:t xml:space="preserve"> Seguros Gerais are already implemented in this tool.</w:t>
      </w:r>
    </w:p>
    <w:p w14:paraId="638A7738" w14:textId="77777777" w:rsidR="005357C6" w:rsidRPr="004105CA" w:rsidRDefault="005357C6" w:rsidP="004105CA">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 xml:space="preserve">a.3) </w:t>
      </w:r>
      <w:r w:rsidRPr="004105CA">
        <w:rPr>
          <w:rFonts w:eastAsia="Times New Roman" w:cs="Times New Roman"/>
          <w:b/>
          <w:color w:val="244061"/>
          <w:spacing w:val="-2"/>
          <w:szCs w:val="18"/>
          <w:lang w:val="en-US" w:eastAsia="pt-BR"/>
        </w:rPr>
        <w:t>Financial revenues and expenses</w:t>
      </w:r>
      <w:r>
        <w:rPr>
          <w:rFonts w:eastAsia="Times New Roman" w:cs="Times New Roman"/>
          <w:b/>
          <w:color w:val="244061"/>
          <w:spacing w:val="-2"/>
          <w:szCs w:val="18"/>
          <w:lang w:val="en-US" w:eastAsia="pt-BR"/>
        </w:rPr>
        <w:t xml:space="preserve"> </w:t>
      </w:r>
      <w:r w:rsidRPr="00481176">
        <w:rPr>
          <w:rFonts w:eastAsia="Times New Roman" w:cs="Times New Roman"/>
          <w:b/>
          <w:color w:val="244061"/>
          <w:spacing w:val="-2"/>
          <w:szCs w:val="18"/>
          <w:lang w:val="en-US" w:eastAsia="pt-BR"/>
        </w:rPr>
        <w:t>–</w:t>
      </w:r>
      <w:r w:rsidRPr="00481176">
        <w:rPr>
          <w:rFonts w:eastAsia="Times New Roman" w:cs="Arial"/>
          <w:b/>
          <w:spacing w:val="-2"/>
          <w:szCs w:val="18"/>
          <w:lang w:val="en-US" w:eastAsia="pt-BR"/>
        </w:rPr>
        <w:t xml:space="preserve"> </w:t>
      </w:r>
      <w:r w:rsidRPr="004105CA">
        <w:rPr>
          <w:rFonts w:eastAsia="Times New Roman" w:cs="Arial"/>
          <w:spacing w:val="-2"/>
          <w:szCs w:val="18"/>
          <w:lang w:val="en-US" w:eastAsia="pt-BR"/>
        </w:rPr>
        <w:t>Revenues and expenses from financial instruments arising from assets and liabilities that generate and pay for monetary correction and/or interest, as well as the values related to the correction of the fair value, are recognized in the income for the fiscal year on an accrual basis, using the effective interest rate method, according to the CPC 48</w:t>
      </w:r>
      <w:r>
        <w:rPr>
          <w:rFonts w:eastAsia="Times New Roman" w:cs="Arial"/>
          <w:spacing w:val="-2"/>
          <w:szCs w:val="18"/>
          <w:lang w:val="en-US" w:eastAsia="pt-BR"/>
        </w:rPr>
        <w:t xml:space="preserve"> [IFRS 9]</w:t>
      </w:r>
      <w:r w:rsidRPr="004105CA">
        <w:rPr>
          <w:rFonts w:eastAsia="Times New Roman" w:cs="Arial"/>
          <w:spacing w:val="-2"/>
          <w:szCs w:val="18"/>
          <w:lang w:val="en-US" w:eastAsia="pt-BR"/>
        </w:rPr>
        <w:t xml:space="preserve"> – Financial Instruments.</w:t>
      </w:r>
    </w:p>
    <w:p w14:paraId="520C8D7D" w14:textId="77777777" w:rsidR="005357C6"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In the case of instruments measured at fair value through income (in accordance with item c.3 below), the fair value is determined as described in item c.4.</w:t>
      </w:r>
    </w:p>
    <w:p w14:paraId="469CCEB3" w14:textId="77777777" w:rsidR="005357C6" w:rsidRPr="00481176" w:rsidRDefault="005357C6" w:rsidP="004105CA">
      <w:pPr>
        <w:spacing w:before="120" w:after="120"/>
        <w:jc w:val="both"/>
        <w:rPr>
          <w:rFonts w:eastAsia="Times New Roman" w:cs="Times New Roman"/>
          <w:b/>
          <w:color w:val="244061"/>
          <w:spacing w:val="-2"/>
          <w:szCs w:val="18"/>
          <w:lang w:val="en-US" w:eastAsia="pt-BR"/>
        </w:rPr>
      </w:pPr>
      <w:r w:rsidRPr="00481176">
        <w:rPr>
          <w:rFonts w:eastAsia="Times New Roman" w:cs="Times New Roman"/>
          <w:b/>
          <w:color w:val="244061"/>
          <w:spacing w:val="-2"/>
          <w:szCs w:val="18"/>
          <w:lang w:val="en-US" w:eastAsia="pt-BR"/>
        </w:rPr>
        <w:t>b) Cash and cash equivalents</w:t>
      </w:r>
    </w:p>
    <w:p w14:paraId="08B27E26" w14:textId="77777777" w:rsidR="005357C6" w:rsidRDefault="005357C6" w:rsidP="00481176">
      <w:pPr>
        <w:spacing w:before="120" w:after="120"/>
        <w:jc w:val="both"/>
        <w:rPr>
          <w:rFonts w:eastAsia="Times New Roman" w:cs="Arial"/>
          <w:spacing w:val="-2"/>
          <w:szCs w:val="18"/>
          <w:lang w:val="en-US" w:eastAsia="pt-BR"/>
        </w:rPr>
      </w:pPr>
      <w:r w:rsidRPr="00754BED">
        <w:rPr>
          <w:rFonts w:eastAsia="Times New Roman" w:cs="Arial"/>
          <w:spacing w:val="-2"/>
          <w:szCs w:val="18"/>
          <w:lang w:val="en-US" w:eastAsia="pt-BR"/>
        </w:rPr>
        <w:t>Cash and cash equivalents are represented by cash available in national currency and investments in committed operations, with high liquidity and insignificant risk of change in value, with maturity equal to or less than 90 days.</w:t>
      </w:r>
    </w:p>
    <w:p w14:paraId="429E3878" w14:textId="77777777" w:rsidR="005357C6" w:rsidRPr="00481176" w:rsidRDefault="005357C6" w:rsidP="00481176">
      <w:pPr>
        <w:spacing w:before="120" w:after="120"/>
        <w:jc w:val="both"/>
        <w:rPr>
          <w:rFonts w:eastAsia="Times New Roman" w:cs="Times New Roman"/>
          <w:b/>
          <w:color w:val="244061"/>
          <w:spacing w:val="-2"/>
          <w:szCs w:val="18"/>
          <w:lang w:val="en-US" w:eastAsia="pt-BR"/>
        </w:rPr>
      </w:pPr>
      <w:r w:rsidRPr="00481176">
        <w:rPr>
          <w:rFonts w:eastAsia="Times New Roman" w:cs="Times New Roman"/>
          <w:b/>
          <w:color w:val="244061"/>
          <w:spacing w:val="-2"/>
          <w:szCs w:val="18"/>
          <w:lang w:val="en-US" w:eastAsia="pt-BR"/>
        </w:rPr>
        <w:t>c) Financial instruments</w:t>
      </w:r>
    </w:p>
    <w:p w14:paraId="4AE92411" w14:textId="77777777" w:rsidR="005357C6" w:rsidRPr="004105CA"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The financial instruments are classified in relation to the business model and the contractual characteristics of the cash flows of the instruments according to the CPC 48</w:t>
      </w:r>
      <w:r>
        <w:rPr>
          <w:rFonts w:eastAsia="Times New Roman" w:cs="Arial"/>
          <w:spacing w:val="-2"/>
          <w:szCs w:val="18"/>
          <w:lang w:val="en-US" w:eastAsia="pt-BR"/>
        </w:rPr>
        <w:t xml:space="preserve"> [IFRS 9]</w:t>
      </w:r>
      <w:r w:rsidRPr="004105CA">
        <w:rPr>
          <w:rFonts w:eastAsia="Times New Roman" w:cs="Arial"/>
          <w:spacing w:val="-2"/>
          <w:szCs w:val="18"/>
          <w:lang w:val="en-US" w:eastAsia="pt-BR"/>
        </w:rPr>
        <w:t xml:space="preserve"> – Financial Instruments.</w:t>
      </w:r>
    </w:p>
    <w:p w14:paraId="6D197D29" w14:textId="77777777" w:rsidR="005357C6" w:rsidRPr="004105CA"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 xml:space="preserve">Financial instruments are initially measured at fair value plus the transaction cost, except when financial assets and liabilities are recorded at fair value through the income. </w:t>
      </w:r>
    </w:p>
    <w:p w14:paraId="05E377B2" w14:textId="77777777" w:rsidR="005357C6" w:rsidRPr="004105CA"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 xml:space="preserve">Financial assets and liabilities can be classified into one of the categories: i) financial instrument measured at fair value through the income, ii) financial instrument measured at amortized cost and; iii) financial instrument measured at fair value through other comprehensive income. </w:t>
      </w:r>
    </w:p>
    <w:p w14:paraId="0273AD6D" w14:textId="77777777" w:rsidR="005357C6" w:rsidRPr="004105CA" w:rsidRDefault="005357C6" w:rsidP="004105CA">
      <w:pPr>
        <w:spacing w:before="120" w:after="120"/>
        <w:jc w:val="both"/>
        <w:rPr>
          <w:rFonts w:eastAsia="Times New Roman" w:cs="Arial"/>
          <w:spacing w:val="-2"/>
          <w:szCs w:val="18"/>
          <w:lang w:val="en-US" w:eastAsia="pt-BR"/>
        </w:rPr>
      </w:pPr>
      <w:r w:rsidRPr="00754BED">
        <w:rPr>
          <w:rFonts w:eastAsia="Times New Roman" w:cs="Arial"/>
          <w:spacing w:val="-2"/>
          <w:szCs w:val="18"/>
          <w:lang w:val="en-US" w:eastAsia="pt-BR"/>
        </w:rPr>
        <w:t>The main financial instruments of BB Seguridade and its subsidiaries are securities held in custody at Banco do Brasil (committed operations and LFTs - Financial Treasury Bills). During the year, there was no use of derivative instruments by BB Seguridade.</w:t>
      </w:r>
    </w:p>
    <w:p w14:paraId="2AD0E632" w14:textId="77777777" w:rsidR="005357C6" w:rsidRPr="00481176"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BB Seguridade, through BB Seguros, holds interest in insurance companies, for which the CPC 48</w:t>
      </w:r>
      <w:r>
        <w:rPr>
          <w:rFonts w:eastAsia="Times New Roman" w:cs="Arial"/>
          <w:spacing w:val="-2"/>
          <w:szCs w:val="18"/>
          <w:lang w:val="en-US" w:eastAsia="pt-BR"/>
        </w:rPr>
        <w:t xml:space="preserve"> [IFRS 9]</w:t>
      </w:r>
      <w:r w:rsidRPr="004105CA">
        <w:rPr>
          <w:rFonts w:eastAsia="Times New Roman" w:cs="Arial"/>
          <w:spacing w:val="-2"/>
          <w:szCs w:val="18"/>
          <w:lang w:val="en-US" w:eastAsia="pt-BR"/>
        </w:rPr>
        <w:t xml:space="preserve"> is not applied. </w:t>
      </w:r>
      <w:r w:rsidRPr="00A80191">
        <w:rPr>
          <w:rFonts w:eastAsia="Times New Roman" w:cs="Arial"/>
          <w:spacing w:val="-2"/>
          <w:szCs w:val="18"/>
          <w:lang w:val="en-US" w:eastAsia="pt-BR"/>
        </w:rPr>
        <w:t>When there is a divergence in the accounting practice of the investees</w:t>
      </w:r>
      <w:r w:rsidRPr="004105CA">
        <w:rPr>
          <w:rFonts w:eastAsia="Times New Roman" w:cs="Arial"/>
          <w:spacing w:val="-2"/>
          <w:szCs w:val="18"/>
          <w:lang w:val="en-US" w:eastAsia="pt-BR"/>
        </w:rPr>
        <w:t xml:space="preserve">, it is necessary to adjust the accounting practices for standardization. However, the CPC Technical Pronouncements Review No. </w:t>
      </w:r>
      <w:r>
        <w:rPr>
          <w:rFonts w:eastAsia="Times New Roman" w:cs="Arial"/>
          <w:spacing w:val="-2"/>
          <w:szCs w:val="18"/>
          <w:lang w:val="en-US" w:eastAsia="pt-BR"/>
        </w:rPr>
        <w:t>20</w:t>
      </w:r>
      <w:r w:rsidRPr="004105CA">
        <w:rPr>
          <w:rFonts w:eastAsia="Times New Roman" w:cs="Arial"/>
          <w:spacing w:val="-2"/>
          <w:szCs w:val="18"/>
          <w:lang w:val="en-US" w:eastAsia="pt-BR"/>
        </w:rPr>
        <w:t>/20</w:t>
      </w:r>
      <w:r>
        <w:rPr>
          <w:rFonts w:eastAsia="Times New Roman" w:cs="Arial"/>
          <w:spacing w:val="-2"/>
          <w:szCs w:val="18"/>
          <w:lang w:val="en-US" w:eastAsia="pt-BR"/>
        </w:rPr>
        <w:t>21</w:t>
      </w:r>
      <w:r w:rsidRPr="004105CA">
        <w:rPr>
          <w:rFonts w:eastAsia="Times New Roman" w:cs="Arial"/>
          <w:spacing w:val="-2"/>
          <w:szCs w:val="18"/>
          <w:lang w:val="en-US" w:eastAsia="pt-BR"/>
        </w:rPr>
        <w:t xml:space="preserve"> allowed, in relation to an exemption for insurers, that the Company could apply the CPC without need for standardization in relation to the investees (until January 1, 2023).</w:t>
      </w:r>
    </w:p>
    <w:p w14:paraId="2B1BDD77" w14:textId="77777777" w:rsidR="005357C6" w:rsidRPr="004105CA" w:rsidRDefault="005357C6" w:rsidP="004105CA">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c.1) Amortized Cost -</w:t>
      </w:r>
      <w:r w:rsidRPr="00481176">
        <w:rPr>
          <w:rFonts w:eastAsia="Times New Roman" w:cs="Arial"/>
          <w:spacing w:val="-2"/>
          <w:szCs w:val="18"/>
          <w:lang w:val="en-US" w:eastAsia="pt-BR"/>
        </w:rPr>
        <w:t xml:space="preserve"> </w:t>
      </w:r>
      <w:r w:rsidRPr="003F1C03">
        <w:rPr>
          <w:rFonts w:eastAsia="Times New Roman" w:cs="Arial"/>
          <w:spacing w:val="-2"/>
          <w:szCs w:val="18"/>
          <w:lang w:val="en-US" w:eastAsia="pt-BR"/>
        </w:rPr>
        <w:t xml:space="preserve">This category includes financial assets held </w:t>
      </w:r>
      <w:r w:rsidRPr="004105CA">
        <w:rPr>
          <w:rFonts w:eastAsia="Times New Roman" w:cs="Arial"/>
          <w:spacing w:val="-2"/>
          <w:szCs w:val="18"/>
          <w:lang w:val="en-US" w:eastAsia="pt-BR"/>
        </w:rPr>
        <w:t>(i) for the purpose of receiving its contractual cash flow rather than for sale with realization of profits or losses and (ii) whose contractual terms generates cash flows at specified dates exclusively for principal payments and interest payments on the outstanding principal value.</w:t>
      </w:r>
    </w:p>
    <w:p w14:paraId="670BEBC7" w14:textId="77777777" w:rsidR="005357C6"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Financial bills are recognized as financial assets measured at amortized cost. Changes in these assets are recognized in the income for the fiscal year in the financial revenues or expenses, depending on the result obtained.</w:t>
      </w:r>
    </w:p>
    <w:p w14:paraId="4F61316B" w14:textId="77777777" w:rsidR="005357C6" w:rsidRPr="00481176" w:rsidRDefault="005357C6" w:rsidP="004105CA">
      <w:pPr>
        <w:spacing w:before="120" w:after="120"/>
        <w:jc w:val="both"/>
        <w:rPr>
          <w:rFonts w:eastAsia="Times New Roman" w:cs="Arial"/>
          <w:spacing w:val="-2"/>
          <w:szCs w:val="18"/>
          <w:lang w:val="en-US" w:eastAsia="pt-BR"/>
        </w:rPr>
      </w:pPr>
      <w:r w:rsidRPr="003D0F89">
        <w:rPr>
          <w:rFonts w:eastAsia="Times New Roman" w:cs="Arial"/>
          <w:spacing w:val="-2"/>
          <w:szCs w:val="18"/>
          <w:lang w:val="en-US" w:eastAsia="pt-BR"/>
        </w:rPr>
        <w:t>For the year, the Group did not have financial assets classified in this category.</w:t>
      </w:r>
    </w:p>
    <w:p w14:paraId="5EB1C6F0" w14:textId="77777777" w:rsidR="005357C6" w:rsidRPr="004105CA" w:rsidRDefault="005357C6" w:rsidP="004105CA">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 xml:space="preserve">c.2) Fair value through other comprehensive income - VJORA - </w:t>
      </w:r>
      <w:r w:rsidRPr="003F1C03">
        <w:rPr>
          <w:rFonts w:eastAsia="Times New Roman" w:cs="Arial"/>
          <w:spacing w:val="-2"/>
          <w:szCs w:val="18"/>
          <w:lang w:val="en-US" w:eastAsia="pt-BR"/>
        </w:rPr>
        <w:t>This category includes financial assets held</w:t>
      </w:r>
      <w:r w:rsidRPr="004105CA">
        <w:rPr>
          <w:rFonts w:eastAsia="Times New Roman" w:cs="Arial"/>
          <w:spacing w:val="-2"/>
          <w:szCs w:val="18"/>
          <w:lang w:val="en-US" w:eastAsia="pt-BR"/>
        </w:rPr>
        <w:t xml:space="preserve"> (i) both for the receipt of its contractual cash flow and for sale with realization of profits or losses and (ii) whose contractual terms generates cash flows at specified dates exclusively for principal payments and interest payments on the outstanding principal value. </w:t>
      </w:r>
    </w:p>
    <w:p w14:paraId="6529C2B2" w14:textId="77777777" w:rsidR="005357C6" w:rsidRPr="00481176" w:rsidRDefault="005357C6" w:rsidP="004105CA">
      <w:pPr>
        <w:spacing w:before="120" w:after="120"/>
        <w:jc w:val="both"/>
        <w:rPr>
          <w:rFonts w:eastAsia="Times New Roman" w:cs="Arial"/>
          <w:spacing w:val="-2"/>
          <w:szCs w:val="18"/>
          <w:lang w:val="en-US" w:eastAsia="pt-BR"/>
        </w:rPr>
      </w:pPr>
      <w:r w:rsidRPr="003D0F89">
        <w:rPr>
          <w:rFonts w:eastAsia="Times New Roman" w:cs="Arial"/>
          <w:spacing w:val="-2"/>
          <w:szCs w:val="18"/>
          <w:lang w:val="en-US" w:eastAsia="pt-BR"/>
        </w:rPr>
        <w:t>For the year, the Group did not have financial assets classified in this category.</w:t>
      </w:r>
    </w:p>
    <w:p w14:paraId="0E1F1AE2" w14:textId="77777777" w:rsidR="005357C6" w:rsidRDefault="005357C6" w:rsidP="004105CA">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c.3) Fair value through profit or loss (VJR) -</w:t>
      </w:r>
      <w:r w:rsidRPr="00481176">
        <w:rPr>
          <w:rFonts w:eastAsia="Times New Roman" w:cs="Arial"/>
          <w:spacing w:val="-2"/>
          <w:szCs w:val="18"/>
          <w:lang w:val="en-US" w:eastAsia="pt-BR"/>
        </w:rPr>
        <w:t xml:space="preserve"> </w:t>
      </w:r>
      <w:r w:rsidRPr="004105CA">
        <w:rPr>
          <w:rFonts w:eastAsia="Times New Roman" w:cs="Arial"/>
          <w:spacing w:val="-2"/>
          <w:szCs w:val="18"/>
          <w:lang w:val="en-US" w:eastAsia="pt-BR"/>
        </w:rPr>
        <w:t>Financial assets that are not measured at amortized cost or at fair value through other comprehensive income are classified in this category.</w:t>
      </w:r>
    </w:p>
    <w:p w14:paraId="5A56F903" w14:textId="77777777" w:rsidR="005357C6" w:rsidRDefault="005357C6" w:rsidP="004105CA">
      <w:pPr>
        <w:spacing w:before="120" w:after="120"/>
        <w:jc w:val="both"/>
        <w:rPr>
          <w:rFonts w:eastAsia="Times New Roman" w:cs="Arial"/>
          <w:spacing w:val="-2"/>
          <w:szCs w:val="18"/>
          <w:lang w:val="en-US" w:eastAsia="pt-BR"/>
        </w:rPr>
      </w:pPr>
      <w:r w:rsidRPr="002A3AA5">
        <w:rPr>
          <w:rFonts w:eastAsia="Times New Roman" w:cs="Arial"/>
          <w:spacing w:val="-2"/>
          <w:szCs w:val="18"/>
          <w:lang w:val="en-US" w:eastAsia="pt-BR"/>
        </w:rPr>
        <w:t>Repurchase agreements backed by federal public securities and LFTs - Financial Treasury Bills are recognized as financial assets measured at fair value through profit or loss.</w:t>
      </w:r>
    </w:p>
    <w:p w14:paraId="559BC8AC" w14:textId="77777777" w:rsidR="005357C6" w:rsidRPr="004105CA" w:rsidRDefault="005357C6" w:rsidP="004105CA">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c.4) Determination of fair value -</w:t>
      </w:r>
      <w:r w:rsidRPr="00481176">
        <w:rPr>
          <w:rFonts w:eastAsia="Times New Roman" w:cs="Arial"/>
          <w:spacing w:val="-2"/>
          <w:szCs w:val="18"/>
          <w:lang w:val="en-US" w:eastAsia="pt-BR"/>
        </w:rPr>
        <w:t xml:space="preserve"> </w:t>
      </w:r>
      <w:r w:rsidRPr="004105CA">
        <w:rPr>
          <w:rFonts w:eastAsia="Times New Roman" w:cs="Arial"/>
          <w:spacing w:val="-2"/>
          <w:szCs w:val="18"/>
          <w:lang w:val="en-US" w:eastAsia="pt-BR"/>
        </w:rPr>
        <w:t>Fair value is the price that would be received for the sale of an asset or would be paid by the transfer of a liability in a non-forced transaction between market participants at the measurement date.</w:t>
      </w:r>
    </w:p>
    <w:p w14:paraId="546E4D7E" w14:textId="77777777" w:rsidR="005357C6" w:rsidRPr="004105CA"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The fair value of financial instruments traded in active markets on the base date of the balance sheet is based on the quoted market price or on the quotation of the over-the-counter price (selling price for purchased positions or purchasing price for sold positions), without any deduction of transaction cost.</w:t>
      </w:r>
    </w:p>
    <w:p w14:paraId="269FC0E7" w14:textId="77777777" w:rsidR="005357C6" w:rsidRPr="004105CA"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lastRenderedPageBreak/>
        <w:t>In situations where there is no market price for a particular financial instrument, its fair value is estimated on the basis of valuation methods commonly used in the financial markets, which are appropriate to the specific characteristics of the instrument and capture the various risks to which it is exposed. The valuation methods include: the discounted cash flow method, comparison to similar financial instruments for which there is a market with observable prices, option pricing model, credit models and other known valuation models.</w:t>
      </w:r>
    </w:p>
    <w:p w14:paraId="59B8277F" w14:textId="77777777" w:rsidR="005357C6" w:rsidRPr="00481176" w:rsidRDefault="005357C6" w:rsidP="004105CA">
      <w:pPr>
        <w:spacing w:before="120" w:after="120"/>
        <w:jc w:val="both"/>
        <w:rPr>
          <w:rFonts w:eastAsia="Times New Roman" w:cs="Arial"/>
          <w:spacing w:val="-2"/>
          <w:szCs w:val="18"/>
          <w:lang w:val="en-US" w:eastAsia="pt-BR"/>
        </w:rPr>
      </w:pPr>
      <w:r w:rsidRPr="004105CA">
        <w:rPr>
          <w:rFonts w:eastAsia="Times New Roman" w:cs="Arial"/>
          <w:spacing w:val="-2"/>
          <w:szCs w:val="18"/>
          <w:lang w:val="en-US" w:eastAsia="pt-BR"/>
        </w:rPr>
        <w:t>The internal pricing models may involve some level of estimation and judgment by the Administration, whose intensity will depend, among other factors, on the complexity of the financial instrument.</w:t>
      </w:r>
    </w:p>
    <w:p w14:paraId="08D01B37" w14:textId="77777777" w:rsidR="005357C6" w:rsidRPr="00481176" w:rsidRDefault="005357C6" w:rsidP="00481176">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c.5) Financial liabilities -</w:t>
      </w:r>
      <w:r w:rsidRPr="00481176">
        <w:rPr>
          <w:rFonts w:eastAsia="Times New Roman" w:cs="Arial"/>
          <w:spacing w:val="-2"/>
          <w:szCs w:val="18"/>
          <w:lang w:val="en-US" w:eastAsia="pt-BR"/>
        </w:rPr>
        <w:t xml:space="preserve"> </w:t>
      </w:r>
      <w:r w:rsidRPr="000A77E1">
        <w:rPr>
          <w:rFonts w:eastAsia="Times New Roman" w:cs="Arial"/>
          <w:spacing w:val="-2"/>
          <w:szCs w:val="18"/>
          <w:lang w:val="en-US" w:eastAsia="pt-BR"/>
        </w:rPr>
        <w:t>An instrument is classified as a financial liability when there is a contractual obligation, of which its settlement is made through the delivery of money or other financial asset, regardless of its legal form.  Financial liabilities include short-term and long-term debt that are initially measured at fair value, which is the net value received of costs levied upon the transaction and, subsequently, upon the amortized cost.</w:t>
      </w:r>
      <w:r w:rsidRPr="00481176">
        <w:rPr>
          <w:rFonts w:eastAsia="Times New Roman" w:cs="Arial"/>
          <w:spacing w:val="-2"/>
          <w:szCs w:val="18"/>
          <w:lang w:val="en-US" w:eastAsia="pt-BR"/>
        </w:rPr>
        <w:t xml:space="preserve"> </w:t>
      </w:r>
    </w:p>
    <w:p w14:paraId="32B0CBEC" w14:textId="77777777" w:rsidR="005357C6" w:rsidRPr="00481176" w:rsidRDefault="005357C6" w:rsidP="00481176">
      <w:pPr>
        <w:spacing w:before="120" w:after="120"/>
        <w:jc w:val="both"/>
        <w:rPr>
          <w:rFonts w:eastAsia="Times New Roman" w:cs="Times New Roman"/>
          <w:b/>
          <w:color w:val="244061"/>
          <w:spacing w:val="-2"/>
          <w:szCs w:val="18"/>
          <w:lang w:val="en-US" w:eastAsia="pt-BR"/>
        </w:rPr>
      </w:pPr>
      <w:r w:rsidRPr="00481176">
        <w:rPr>
          <w:rFonts w:eastAsia="Times New Roman" w:cs="Times New Roman"/>
          <w:b/>
          <w:color w:val="244061"/>
          <w:spacing w:val="-2"/>
          <w:szCs w:val="18"/>
          <w:lang w:val="en-US" w:eastAsia="pt-BR"/>
        </w:rPr>
        <w:t>d) Write-off of Financial Assets and Financial Liabilities</w:t>
      </w:r>
    </w:p>
    <w:p w14:paraId="438BE664" w14:textId="77777777" w:rsidR="005357C6" w:rsidRPr="000A77E1" w:rsidRDefault="005357C6" w:rsidP="000A77E1">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d.1) Financial assets</w:t>
      </w:r>
      <w:r w:rsidRPr="00481176">
        <w:rPr>
          <w:rFonts w:eastAsia="Times New Roman" w:cs="Arial"/>
          <w:spacing w:val="-2"/>
          <w:szCs w:val="18"/>
          <w:lang w:val="en-US" w:eastAsia="pt-BR"/>
        </w:rPr>
        <w:t xml:space="preserve"> - </w:t>
      </w:r>
      <w:r w:rsidRPr="000A77E1">
        <w:rPr>
          <w:rFonts w:eastAsia="Times New Roman" w:cs="Arial"/>
          <w:spacing w:val="-2"/>
          <w:szCs w:val="18"/>
          <w:lang w:val="en-US" w:eastAsia="pt-BR"/>
        </w:rPr>
        <w:t>A financial asset is written off when: (i) the contractual rights related to the respective cash flows expire; (ii) most of the risks and benefits associated with the asset is transferred to third parties; or (iii) when control over the asset is transferred, even if part of the risks and benefits associated with its holding is retained.</w:t>
      </w:r>
    </w:p>
    <w:p w14:paraId="69125302" w14:textId="77777777" w:rsidR="005357C6" w:rsidRPr="00481176"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The rights and obligations retained in the transfer are separately recognized as assets and as liabilities, when appropriate. If the control over the asset is retained, the Group continues to recognize it in the extent of its continuing involvement, which is determined by the extent to which it remains exposed to changes in the value of the transferred asset.</w:t>
      </w:r>
    </w:p>
    <w:p w14:paraId="7F0754E8" w14:textId="77777777" w:rsidR="005357C6" w:rsidRPr="00481176" w:rsidRDefault="005357C6" w:rsidP="00481176">
      <w:pPr>
        <w:spacing w:before="120" w:after="120"/>
        <w:jc w:val="both"/>
        <w:rPr>
          <w:rFonts w:eastAsia="Times New Roman" w:cs="Arial"/>
          <w:spacing w:val="-2"/>
          <w:szCs w:val="18"/>
          <w:lang w:val="en-US" w:eastAsia="pt-BR"/>
        </w:rPr>
      </w:pPr>
      <w:r w:rsidRPr="00481176">
        <w:rPr>
          <w:rFonts w:eastAsia="Times New Roman" w:cs="Times New Roman"/>
          <w:b/>
          <w:color w:val="244061"/>
          <w:spacing w:val="-2"/>
          <w:szCs w:val="18"/>
          <w:lang w:val="en-US" w:eastAsia="pt-BR"/>
        </w:rPr>
        <w:t>d.2) Financial liabilities</w:t>
      </w:r>
      <w:r w:rsidRPr="00481176">
        <w:rPr>
          <w:rFonts w:eastAsia="Times New Roman" w:cs="Arial"/>
          <w:spacing w:val="-2"/>
          <w:szCs w:val="18"/>
          <w:lang w:val="en-US" w:eastAsia="pt-BR"/>
        </w:rPr>
        <w:t xml:space="preserve"> - </w:t>
      </w:r>
      <w:r w:rsidRPr="000A77E1">
        <w:rPr>
          <w:rFonts w:eastAsia="Times New Roman" w:cs="Arial"/>
          <w:spacing w:val="-2"/>
          <w:szCs w:val="18"/>
          <w:lang w:val="en-US" w:eastAsia="pt-BR"/>
        </w:rPr>
        <w:t>A financial liability is written off when its obligation is eliminated, canceled or expired. If an existing financial liability is replaced by another from the same creditor in substantially different terms, or the terms of the existing liability are substantially modified, such modification is treated as a write-off of the original liability and as the recognition of a new liability, and the difference between the book values is recognized in the income.</w:t>
      </w:r>
    </w:p>
    <w:p w14:paraId="575138AC" w14:textId="77777777" w:rsidR="005357C6" w:rsidRPr="00481176" w:rsidRDefault="005357C6" w:rsidP="00481176">
      <w:pPr>
        <w:spacing w:before="120" w:after="120"/>
        <w:jc w:val="both"/>
        <w:rPr>
          <w:rFonts w:eastAsia="Times New Roman" w:cs="Times New Roman"/>
          <w:b/>
          <w:color w:val="244061"/>
          <w:spacing w:val="-2"/>
          <w:szCs w:val="18"/>
          <w:lang w:val="en-US" w:eastAsia="pt-BR"/>
        </w:rPr>
      </w:pPr>
      <w:r w:rsidRPr="00481176">
        <w:rPr>
          <w:rFonts w:eastAsia="Times New Roman" w:cs="Times New Roman"/>
          <w:b/>
          <w:color w:val="244061"/>
          <w:spacing w:val="-2"/>
          <w:szCs w:val="18"/>
          <w:lang w:val="en-US" w:eastAsia="pt-BR"/>
        </w:rPr>
        <w:t xml:space="preserve">e) </w:t>
      </w:r>
      <w:r w:rsidRPr="000A77E1">
        <w:rPr>
          <w:rFonts w:eastAsia="Times New Roman" w:cs="Times New Roman"/>
          <w:b/>
          <w:color w:val="244061"/>
          <w:spacing w:val="-2"/>
          <w:szCs w:val="18"/>
          <w:lang w:val="en-US" w:eastAsia="pt-BR"/>
        </w:rPr>
        <w:t>Reduction in the Recoverable Value of Financial Assets – Impairment</w:t>
      </w:r>
    </w:p>
    <w:p w14:paraId="61F80A01"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For the recoverable value of financial assets (impairment), the CPC 48</w:t>
      </w:r>
      <w:r>
        <w:rPr>
          <w:rFonts w:eastAsia="Times New Roman" w:cs="Arial"/>
          <w:spacing w:val="-2"/>
          <w:szCs w:val="18"/>
          <w:lang w:val="en-US" w:eastAsia="pt-BR"/>
        </w:rPr>
        <w:t xml:space="preserve"> [IFRS 9]</w:t>
      </w:r>
      <w:r w:rsidRPr="000A77E1">
        <w:rPr>
          <w:rFonts w:eastAsia="Times New Roman" w:cs="Arial"/>
          <w:spacing w:val="-2"/>
          <w:szCs w:val="18"/>
          <w:lang w:val="en-US" w:eastAsia="pt-BR"/>
        </w:rPr>
        <w:t xml:space="preserve"> – Financial Instruments considers the expected credit losses, which are a weighted estimate of the probability of credit losses (that is, the present value of all cash deficits) over the expected life of the financial instrument. </w:t>
      </w:r>
    </w:p>
    <w:p w14:paraId="03A4BB4F"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Cash deficit is the difference between the cash flows due to the entity according to the contract and the cash flows that the entity expects to receive. As the expected credit losses consider the value and timing of the payments, the credit loss occurs even if the entity expects to be paid in full, but after the due date stipulated by the contract.</w:t>
      </w:r>
    </w:p>
    <w:p w14:paraId="61B26B3D"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For the impairment of commissions receivable, the simplified approach allowed by the CPC 48</w:t>
      </w:r>
      <w:r>
        <w:rPr>
          <w:rFonts w:eastAsia="Times New Roman" w:cs="Arial"/>
          <w:spacing w:val="-2"/>
          <w:szCs w:val="18"/>
          <w:lang w:val="en-US" w:eastAsia="pt-BR"/>
        </w:rPr>
        <w:t xml:space="preserve"> [IFRS 9]</w:t>
      </w:r>
      <w:r w:rsidRPr="000A77E1">
        <w:rPr>
          <w:rFonts w:eastAsia="Times New Roman" w:cs="Arial"/>
          <w:spacing w:val="-2"/>
          <w:szCs w:val="18"/>
          <w:lang w:val="en-US" w:eastAsia="pt-BR"/>
        </w:rPr>
        <w:t xml:space="preserve"> for commercial receivables was used, in which the recognition of expected credit losses follows the model for the entire life of the instrument.</w:t>
      </w:r>
    </w:p>
    <w:p w14:paraId="14C8DD14"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Annually or whenever there is an indication that the financial asset may be devalued, an assessment to check if there is any objective evidence of impairment of its financial assets is carried out at BB Seguridade, in accordance with the CPC 48</w:t>
      </w:r>
      <w:r>
        <w:rPr>
          <w:rFonts w:eastAsia="Times New Roman" w:cs="Arial"/>
          <w:spacing w:val="-2"/>
          <w:szCs w:val="18"/>
          <w:lang w:val="en-US" w:eastAsia="pt-BR"/>
        </w:rPr>
        <w:t xml:space="preserve"> [IFRS 9]</w:t>
      </w:r>
      <w:r w:rsidRPr="000A77E1">
        <w:rPr>
          <w:rFonts w:eastAsia="Times New Roman" w:cs="Arial"/>
          <w:spacing w:val="-2"/>
          <w:szCs w:val="18"/>
          <w:lang w:val="en-US" w:eastAsia="pt-BR"/>
        </w:rPr>
        <w:t xml:space="preserve"> – Financial Instruments.</w:t>
      </w:r>
    </w:p>
    <w:p w14:paraId="78D5FA8A" w14:textId="77777777" w:rsidR="005357C6" w:rsidRDefault="005357C6" w:rsidP="00481176">
      <w:pPr>
        <w:spacing w:before="120" w:after="120"/>
        <w:jc w:val="both"/>
        <w:rPr>
          <w:rFonts w:eastAsia="Times New Roman" w:cs="Arial"/>
          <w:spacing w:val="-2"/>
          <w:szCs w:val="18"/>
          <w:lang w:val="en-US" w:eastAsia="pt-BR"/>
        </w:rPr>
      </w:pPr>
      <w:r w:rsidRPr="003D0F89">
        <w:rPr>
          <w:rFonts w:eastAsia="Times New Roman" w:cs="Arial"/>
          <w:spacing w:val="-2"/>
          <w:szCs w:val="18"/>
          <w:lang w:val="en-US" w:eastAsia="pt-BR"/>
        </w:rPr>
        <w:t>During the year, there were no losses due to devaluation of the financial assets of the BB Seguridade group.</w:t>
      </w:r>
    </w:p>
    <w:p w14:paraId="43F97BC4" w14:textId="77777777" w:rsidR="005357C6" w:rsidRPr="00481176" w:rsidRDefault="005357C6" w:rsidP="00481176">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f</w:t>
      </w:r>
      <w:r w:rsidRPr="00481176">
        <w:rPr>
          <w:rFonts w:eastAsia="Times New Roman" w:cs="Times New Roman"/>
          <w:b/>
          <w:color w:val="244061"/>
          <w:spacing w:val="-2"/>
          <w:szCs w:val="18"/>
          <w:lang w:val="en-US" w:eastAsia="pt-BR"/>
        </w:rPr>
        <w:t xml:space="preserve">) </w:t>
      </w:r>
      <w:r w:rsidRPr="000A77E1">
        <w:rPr>
          <w:rFonts w:eastAsia="Times New Roman" w:cs="Times New Roman"/>
          <w:b/>
          <w:color w:val="244061"/>
          <w:spacing w:val="-2"/>
          <w:szCs w:val="18"/>
          <w:lang w:val="en-US" w:eastAsia="pt-BR"/>
        </w:rPr>
        <w:t>Share Premium and Other Intangible Assets</w:t>
      </w:r>
    </w:p>
    <w:p w14:paraId="550DDCF4"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The share premium generated on the acquisition of investments on shareholdings is accounted for considering the fair value assessment of the identifiable assets and the assumed liabilities of the acquired company on the acquisition date and, in accordance with the applicable standards, is not amortized. However, it is tested, at least annually, for impairment purposes. After the initial recognition, the share premium is measured at cost minus any accrued impairment losses.</w:t>
      </w:r>
    </w:p>
    <w:p w14:paraId="0FE252D0"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 xml:space="preserve">Intangible assets are separately recognized from the share premium when they are separable or arise from contractual rights or other legal rights, their fair value can be measured reliably and it is probable that the expected future economic benefits will be transferred to BB Seguridade. The cost of intangible assets acquired in a business combination is its fair value at the acquisition date. </w:t>
      </w:r>
      <w:r w:rsidRPr="007561BA">
        <w:rPr>
          <w:rFonts w:eastAsia="Times New Roman" w:cs="Arial"/>
          <w:spacing w:val="-2"/>
          <w:szCs w:val="18"/>
          <w:lang w:val="en-US" w:eastAsia="pt-BR"/>
        </w:rPr>
        <w:t>The other acquired intangible assets, not linked to the business combination, are initially measured at cost.</w:t>
      </w:r>
    </w:p>
    <w:p w14:paraId="788FA4B0"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The useful live of intangible assets is considered to be definite or indefinite. Intangible assets with defined useful lives are amortized over the course of their economic life. They are initially registered at cost, minus the accrued amortization and impairment losses. Intangible assets with indefinite useful lives are recorded at cost minus any impairment losses.</w:t>
      </w:r>
    </w:p>
    <w:p w14:paraId="39ADFDCE"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The period and method for the amortization of intangible assets with definite useful lives are reviewed, at a minimum, annually. Changes in the expected useful life or proportion of expected use of the future benefits incorporated to the asset are recognized through changes in the period or method for the amortization, when appropriate, and treated as changes in accounting estimates.</w:t>
      </w:r>
    </w:p>
    <w:p w14:paraId="62EEAA11"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The costs incurred related to the acquisition, production and development of software are capitalized and registered as intangible assets. Expenditures from the research phase are registered as expenses.</w:t>
      </w:r>
    </w:p>
    <w:p w14:paraId="78FF2D08" w14:textId="77777777" w:rsidR="005357C6"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lastRenderedPageBreak/>
        <w:t xml:space="preserve">The expense with the amortization of intangible assets with definite useful life and impairment losses are recognized in the income for the </w:t>
      </w:r>
      <w:r>
        <w:rPr>
          <w:rFonts w:eastAsia="Times New Roman" w:cs="Arial"/>
          <w:spacing w:val="-2"/>
          <w:szCs w:val="18"/>
          <w:lang w:val="en-US" w:eastAsia="pt-BR"/>
        </w:rPr>
        <w:t>year</w:t>
      </w:r>
      <w:r w:rsidRPr="000A77E1">
        <w:rPr>
          <w:rFonts w:eastAsia="Times New Roman" w:cs="Arial"/>
          <w:spacing w:val="-2"/>
          <w:szCs w:val="18"/>
          <w:lang w:val="en-US" w:eastAsia="pt-BR"/>
        </w:rPr>
        <w:t xml:space="preserve"> in the line “Other” of the Income Statement.</w:t>
      </w:r>
    </w:p>
    <w:p w14:paraId="706F8A75" w14:textId="77777777" w:rsidR="005357C6" w:rsidRPr="00481176" w:rsidRDefault="005357C6" w:rsidP="000A77E1">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g</w:t>
      </w:r>
      <w:r w:rsidRPr="00481176">
        <w:rPr>
          <w:rFonts w:eastAsia="Times New Roman" w:cs="Times New Roman"/>
          <w:b/>
          <w:color w:val="244061"/>
          <w:spacing w:val="-2"/>
          <w:szCs w:val="18"/>
          <w:lang w:val="en-US" w:eastAsia="pt-BR"/>
        </w:rPr>
        <w:t xml:space="preserve">) </w:t>
      </w:r>
      <w:r w:rsidRPr="000A77E1">
        <w:rPr>
          <w:rFonts w:eastAsia="Times New Roman" w:cs="Times New Roman"/>
          <w:b/>
          <w:color w:val="244061"/>
          <w:spacing w:val="-2"/>
          <w:szCs w:val="18"/>
          <w:lang w:val="en-US" w:eastAsia="pt-BR"/>
        </w:rPr>
        <w:t>Reduction in the Recoverable Value of Non-Financial Assets – Impairment</w:t>
      </w:r>
    </w:p>
    <w:p w14:paraId="021FA2C5"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Annually or whenever there is an indication that the asset may be devalued, an assessment, based on internal and external sources of information, to check if there is any indication that a non-financial asset may be with recoverability problems is carried out. If there is such indication, the asset's recoverable value is estimated. The recoverable value of the asset is the highest between its fair value minus the costs to sell it or its value in use.</w:t>
      </w:r>
    </w:p>
    <w:p w14:paraId="12B40136"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Whether there was any indication of reduction in the recoverable value, the impairment test of an intangible asset with indefinite useful life is annually carried out, including the share premium acquired in a business combination, or an intangible asset not yet available for use. This test can be carried out at any time during an annual period, provided it is performed at the same time each year.</w:t>
      </w:r>
    </w:p>
    <w:p w14:paraId="1E9F3D74"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 xml:space="preserve">In the event that the recoverable value of the asset is lower than its book value, the book value of the asset is reduced to its recoverable value through recording an impairment loss, for which the consideration is recognized in the income statement for the period in which it occurs, in other </w:t>
      </w:r>
      <w:r>
        <w:rPr>
          <w:rFonts w:eastAsia="Times New Roman" w:cs="Arial"/>
          <w:spacing w:val="-2"/>
          <w:szCs w:val="18"/>
          <w:lang w:val="en-US" w:eastAsia="pt-BR"/>
        </w:rPr>
        <w:t>O</w:t>
      </w:r>
      <w:r w:rsidRPr="000A77E1">
        <w:rPr>
          <w:rFonts w:eastAsia="Times New Roman" w:cs="Arial"/>
          <w:spacing w:val="-2"/>
          <w:szCs w:val="18"/>
          <w:lang w:val="en-US" w:eastAsia="pt-BR"/>
        </w:rPr>
        <w:t xml:space="preserve">perating </w:t>
      </w:r>
      <w:r>
        <w:rPr>
          <w:rFonts w:eastAsia="Times New Roman" w:cs="Arial"/>
          <w:spacing w:val="-2"/>
          <w:szCs w:val="18"/>
          <w:lang w:val="en-US" w:eastAsia="pt-BR"/>
        </w:rPr>
        <w:t>E</w:t>
      </w:r>
      <w:r w:rsidRPr="000A77E1">
        <w:rPr>
          <w:rFonts w:eastAsia="Times New Roman" w:cs="Arial"/>
          <w:spacing w:val="-2"/>
          <w:szCs w:val="18"/>
          <w:lang w:val="en-US" w:eastAsia="pt-BR"/>
        </w:rPr>
        <w:t>xpenses/</w:t>
      </w:r>
      <w:r>
        <w:rPr>
          <w:rFonts w:eastAsia="Times New Roman" w:cs="Arial"/>
          <w:spacing w:val="-2"/>
          <w:szCs w:val="18"/>
          <w:lang w:val="en-US" w:eastAsia="pt-BR"/>
        </w:rPr>
        <w:t>R</w:t>
      </w:r>
      <w:r w:rsidRPr="000A77E1">
        <w:rPr>
          <w:rFonts w:eastAsia="Times New Roman" w:cs="Arial"/>
          <w:spacing w:val="-2"/>
          <w:szCs w:val="18"/>
          <w:lang w:val="en-US" w:eastAsia="pt-BR"/>
        </w:rPr>
        <w:t>evenues.</w:t>
      </w:r>
    </w:p>
    <w:p w14:paraId="5E054489"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 xml:space="preserve">Annually, it is further assessed if there is any indication that a loss by impairment recognized in previous fiscal years for an asset other than the share premium for expected future profitability, might no longer exist or may have been reduced. If there is such indication, the recoverable value of this asset is estimated. The reversal of a loss by impairment of an asset will be immediately recognized in the income for the fiscal year, as a rectifier of the balance of other </w:t>
      </w:r>
      <w:r>
        <w:rPr>
          <w:rFonts w:eastAsia="Times New Roman" w:cs="Arial"/>
          <w:spacing w:val="-2"/>
          <w:szCs w:val="18"/>
          <w:lang w:val="en-US" w:eastAsia="pt-BR"/>
        </w:rPr>
        <w:t>O</w:t>
      </w:r>
      <w:r w:rsidRPr="000A77E1">
        <w:rPr>
          <w:rFonts w:eastAsia="Times New Roman" w:cs="Arial"/>
          <w:spacing w:val="-2"/>
          <w:szCs w:val="18"/>
          <w:lang w:val="en-US" w:eastAsia="pt-BR"/>
        </w:rPr>
        <w:t xml:space="preserve">perating </w:t>
      </w:r>
      <w:r>
        <w:rPr>
          <w:rFonts w:eastAsia="Times New Roman" w:cs="Arial"/>
          <w:spacing w:val="-2"/>
          <w:szCs w:val="18"/>
          <w:lang w:val="en-US" w:eastAsia="pt-BR"/>
        </w:rPr>
        <w:t>E</w:t>
      </w:r>
      <w:r w:rsidRPr="000A77E1">
        <w:rPr>
          <w:rFonts w:eastAsia="Times New Roman" w:cs="Arial"/>
          <w:spacing w:val="-2"/>
          <w:szCs w:val="18"/>
          <w:lang w:val="en-US" w:eastAsia="pt-BR"/>
        </w:rPr>
        <w:t>xpenses/</w:t>
      </w:r>
      <w:r>
        <w:rPr>
          <w:rFonts w:eastAsia="Times New Roman" w:cs="Arial"/>
          <w:spacing w:val="-2"/>
          <w:szCs w:val="18"/>
          <w:lang w:val="en-US" w:eastAsia="pt-BR"/>
        </w:rPr>
        <w:t>R</w:t>
      </w:r>
      <w:r w:rsidRPr="000A77E1">
        <w:rPr>
          <w:rFonts w:eastAsia="Times New Roman" w:cs="Arial"/>
          <w:spacing w:val="-2"/>
          <w:szCs w:val="18"/>
          <w:lang w:val="en-US" w:eastAsia="pt-BR"/>
        </w:rPr>
        <w:t>evenues.</w:t>
      </w:r>
    </w:p>
    <w:p w14:paraId="0B231ADB" w14:textId="77777777" w:rsidR="005357C6" w:rsidRDefault="005357C6" w:rsidP="000A77E1">
      <w:pPr>
        <w:spacing w:before="120" w:after="120"/>
        <w:jc w:val="both"/>
        <w:rPr>
          <w:rFonts w:eastAsia="Times New Roman" w:cs="Arial"/>
          <w:spacing w:val="-2"/>
          <w:szCs w:val="18"/>
          <w:lang w:val="en-US" w:eastAsia="pt-BR"/>
        </w:rPr>
      </w:pPr>
      <w:r w:rsidRPr="003D0F89">
        <w:rPr>
          <w:rFonts w:eastAsia="Times New Roman" w:cs="Arial"/>
          <w:spacing w:val="-2"/>
          <w:szCs w:val="18"/>
          <w:lang w:val="en-US" w:eastAsia="pt-BR"/>
        </w:rPr>
        <w:t>During the year, there were no losses due to the devaluation of non-financial assets of the BB Seguridade group.</w:t>
      </w:r>
    </w:p>
    <w:p w14:paraId="5CCA0A4A" w14:textId="77777777" w:rsidR="005357C6" w:rsidRPr="00481176" w:rsidRDefault="005357C6" w:rsidP="000A77E1">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h</w:t>
      </w:r>
      <w:r w:rsidRPr="00481176">
        <w:rPr>
          <w:rFonts w:eastAsia="Times New Roman" w:cs="Times New Roman"/>
          <w:b/>
          <w:color w:val="244061"/>
          <w:spacing w:val="-2"/>
          <w:szCs w:val="18"/>
          <w:lang w:val="en-US" w:eastAsia="pt-BR"/>
        </w:rPr>
        <w:t xml:space="preserve">) </w:t>
      </w:r>
      <w:r>
        <w:rPr>
          <w:rFonts w:eastAsia="Times New Roman" w:cs="Times New Roman"/>
          <w:b/>
          <w:color w:val="244061"/>
          <w:spacing w:val="-2"/>
          <w:szCs w:val="18"/>
          <w:lang w:val="en-US" w:eastAsia="pt-BR"/>
        </w:rPr>
        <w:t>Investments in Shareholdings</w:t>
      </w:r>
    </w:p>
    <w:p w14:paraId="4DF9A4B4" w14:textId="77777777" w:rsidR="005357C6"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Under the equity method, the investment is initially measured at cost and subsequently adjusted by the investor's recognition of changes in the net assets of the investee. In addition, the portion of the investor's income in the profits and losses generated by the investee must be included in the income for the fiscal year of the investor, according to the CPC 18 (R2)</w:t>
      </w:r>
      <w:r>
        <w:rPr>
          <w:rFonts w:eastAsia="Times New Roman" w:cs="Arial"/>
          <w:spacing w:val="-2"/>
          <w:szCs w:val="18"/>
          <w:lang w:val="en-US" w:eastAsia="pt-BR"/>
        </w:rPr>
        <w:t xml:space="preserve"> [IAS 28]</w:t>
      </w:r>
      <w:r w:rsidRPr="000A77E1">
        <w:rPr>
          <w:rFonts w:eastAsia="Times New Roman" w:cs="Arial"/>
          <w:spacing w:val="-2"/>
          <w:szCs w:val="18"/>
          <w:lang w:val="en-US" w:eastAsia="pt-BR"/>
        </w:rPr>
        <w:t xml:space="preserve"> – Investment in Controlled and Affiliated Companies and Joint Ventures.</w:t>
      </w:r>
    </w:p>
    <w:p w14:paraId="7D3075D6" w14:textId="77777777" w:rsidR="005357C6" w:rsidRPr="007561BA" w:rsidRDefault="005357C6" w:rsidP="007561BA">
      <w:pPr>
        <w:spacing w:before="120" w:after="120"/>
        <w:jc w:val="both"/>
        <w:rPr>
          <w:rFonts w:eastAsia="Times New Roman" w:cs="Arial"/>
          <w:spacing w:val="-2"/>
          <w:szCs w:val="18"/>
          <w:lang w:val="en-US" w:eastAsia="pt-BR"/>
        </w:rPr>
      </w:pPr>
      <w:r w:rsidRPr="007561BA">
        <w:rPr>
          <w:rFonts w:eastAsia="Times New Roman" w:cs="Arial"/>
          <w:spacing w:val="-2"/>
          <w:szCs w:val="18"/>
          <w:lang w:val="en-US" w:eastAsia="pt-BR"/>
        </w:rPr>
        <w:t xml:space="preserve">Investments in equity interests in the companies BB Seguros Participações S.A. and BB Corretora de Seguros </w:t>
      </w:r>
      <w:r>
        <w:rPr>
          <w:rFonts w:eastAsia="Times New Roman" w:cs="Arial"/>
          <w:spacing w:val="-2"/>
          <w:szCs w:val="18"/>
          <w:lang w:val="en-US" w:eastAsia="pt-BR"/>
        </w:rPr>
        <w:t>e</w:t>
      </w:r>
      <w:r w:rsidRPr="007561BA">
        <w:rPr>
          <w:rFonts w:eastAsia="Times New Roman" w:cs="Arial"/>
          <w:spacing w:val="-2"/>
          <w:szCs w:val="18"/>
          <w:lang w:val="en-US" w:eastAsia="pt-BR"/>
        </w:rPr>
        <w:t xml:space="preserve"> Administradora de Bens S.A. are classified as investments in subsidiaries and valued using the equity method and are consolidated.</w:t>
      </w:r>
    </w:p>
    <w:p w14:paraId="47259AE3" w14:textId="77777777" w:rsidR="005357C6" w:rsidRDefault="005357C6" w:rsidP="000A77E1">
      <w:pPr>
        <w:spacing w:before="120" w:after="120"/>
        <w:jc w:val="both"/>
        <w:rPr>
          <w:rFonts w:eastAsia="Times New Roman" w:cs="Arial"/>
          <w:spacing w:val="-2"/>
          <w:szCs w:val="18"/>
          <w:lang w:val="en-US" w:eastAsia="pt-BR"/>
        </w:rPr>
      </w:pPr>
      <w:r w:rsidRPr="00240529">
        <w:rPr>
          <w:rFonts w:eastAsia="Times New Roman" w:cs="Arial"/>
          <w:spacing w:val="-2"/>
          <w:szCs w:val="18"/>
          <w:lang w:val="en-US" w:eastAsia="pt-BR"/>
        </w:rPr>
        <w:t xml:space="preserve">Investments in equity interests in the companies BB </w:t>
      </w:r>
      <w:r>
        <w:rPr>
          <w:rFonts w:eastAsia="Times New Roman" w:cs="Arial"/>
          <w:spacing w:val="-2"/>
          <w:szCs w:val="18"/>
          <w:lang w:val="en-US" w:eastAsia="pt-BR"/>
        </w:rPr>
        <w:t>MAPFRE</w:t>
      </w:r>
      <w:r w:rsidRPr="00240529">
        <w:rPr>
          <w:rFonts w:eastAsia="Times New Roman" w:cs="Arial"/>
          <w:spacing w:val="-2"/>
          <w:szCs w:val="18"/>
          <w:lang w:val="en-US" w:eastAsia="pt-BR"/>
        </w:rPr>
        <w:t xml:space="preserve"> Participações S.A., Brasilprev Seguros e Previdência S.A., Brasilcap Capitalização S.A., Brasildental Operadora de Planos Odontológicos S.A. and Ciclic Corretora de Seguros S.A. are valued using the equity method, whether classified as investments in associates or joint ventures.</w:t>
      </w:r>
    </w:p>
    <w:p w14:paraId="08B3D1F5" w14:textId="77777777" w:rsidR="005357C6"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In situations where the investees use different accounting practices in events and transactions of the same nature in similar circumstances, the necessary adjustments are carried out to make the financial statements of the investees suitable to the accounting practices adopted by the investor.</w:t>
      </w:r>
    </w:p>
    <w:p w14:paraId="758A4F29" w14:textId="77777777" w:rsidR="005357C6" w:rsidRPr="00481176" w:rsidRDefault="005357C6" w:rsidP="000A77E1">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i</w:t>
      </w:r>
      <w:r w:rsidRPr="00481176">
        <w:rPr>
          <w:rFonts w:eastAsia="Times New Roman" w:cs="Times New Roman"/>
          <w:b/>
          <w:color w:val="244061"/>
          <w:spacing w:val="-2"/>
          <w:szCs w:val="18"/>
          <w:lang w:val="en-US" w:eastAsia="pt-BR"/>
        </w:rPr>
        <w:t xml:space="preserve">) </w:t>
      </w:r>
      <w:r w:rsidRPr="000A77E1">
        <w:rPr>
          <w:rFonts w:eastAsia="Times New Roman" w:cs="Times New Roman"/>
          <w:b/>
          <w:color w:val="244061"/>
          <w:spacing w:val="-2"/>
          <w:szCs w:val="18"/>
          <w:lang w:val="en-US" w:eastAsia="pt-BR"/>
        </w:rPr>
        <w:t>Provisions, Contingent Liabilities and Legal Obligations</w:t>
      </w:r>
    </w:p>
    <w:p w14:paraId="560BC9B6"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 xml:space="preserve">The recognition, measurement and disclosure of contingent liabilities and legal obligations are carried out in accordance with the criteria defined in the CPC 25 </w:t>
      </w:r>
      <w:r>
        <w:rPr>
          <w:rFonts w:eastAsia="Times New Roman" w:cs="Arial"/>
          <w:spacing w:val="-2"/>
          <w:szCs w:val="18"/>
          <w:lang w:val="en-US" w:eastAsia="pt-BR"/>
        </w:rPr>
        <w:t xml:space="preserve">[IAS 37] </w:t>
      </w:r>
      <w:r w:rsidRPr="000A77E1">
        <w:rPr>
          <w:rFonts w:eastAsia="Times New Roman" w:cs="Arial"/>
          <w:spacing w:val="-2"/>
          <w:szCs w:val="18"/>
          <w:lang w:val="en-US" w:eastAsia="pt-BR"/>
        </w:rPr>
        <w:t>– Provisions, Contingent Liabilities and Contingent Assets.</w:t>
      </w:r>
    </w:p>
    <w:p w14:paraId="1D4621A9"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 xml:space="preserve">Provisions related to legal and administrative proceedings are recognized in the financial statements when, based on the analysis of legal advisors and the Management, the risk of loss of a legal or administrative action is deemed probable, with a probable outflow of funds for the settlement of obligations and when the amounts involved are measurable with sufficient certainty, being quantified upon the court summons/notification and reviewed monthly on an individual basis, thus considering the processes related to causes considered unusual or whose value is deemed relevant under the analysis of advisors, considering the intended compensation amount. </w:t>
      </w:r>
    </w:p>
    <w:p w14:paraId="2686225E" w14:textId="77777777" w:rsidR="005357C6" w:rsidRPr="000A77E1"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Contingent liabilities classified as possible losses are not recognized in the accounts, and should only be disclosed in the explanatory notes, and those classified as remote do not require provision and disclosure.</w:t>
      </w:r>
    </w:p>
    <w:p w14:paraId="02E13F0D" w14:textId="77777777" w:rsidR="005357C6" w:rsidRDefault="005357C6" w:rsidP="000A77E1">
      <w:pPr>
        <w:spacing w:before="120" w:after="120"/>
        <w:jc w:val="both"/>
        <w:rPr>
          <w:rFonts w:eastAsia="Times New Roman" w:cs="Arial"/>
          <w:spacing w:val="-2"/>
          <w:szCs w:val="18"/>
          <w:lang w:val="en-US" w:eastAsia="pt-BR"/>
        </w:rPr>
      </w:pPr>
      <w:r w:rsidRPr="000A77E1">
        <w:rPr>
          <w:rFonts w:eastAsia="Times New Roman" w:cs="Arial"/>
          <w:spacing w:val="-2"/>
          <w:szCs w:val="18"/>
          <w:lang w:val="en-US" w:eastAsia="pt-BR"/>
        </w:rPr>
        <w:t>Tax legal obligations are derived from tax obligations provided for by the legislation, irrespective of the probability of success of lawsuits in progress, and their amounts are fully recognized in the financial statements.</w:t>
      </w:r>
    </w:p>
    <w:p w14:paraId="163C9377" w14:textId="77777777" w:rsidR="005357C6" w:rsidRPr="00481176" w:rsidRDefault="005357C6" w:rsidP="00CF37DA">
      <w:pPr>
        <w:keepNext/>
        <w:keepLines/>
        <w:pageBreakBefore/>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lastRenderedPageBreak/>
        <w:t>j</w:t>
      </w:r>
      <w:r w:rsidRPr="00481176">
        <w:rPr>
          <w:rFonts w:eastAsia="Times New Roman" w:cs="Times New Roman"/>
          <w:b/>
          <w:color w:val="244061"/>
          <w:spacing w:val="-2"/>
          <w:szCs w:val="18"/>
          <w:lang w:val="en-US" w:eastAsia="pt-BR"/>
        </w:rPr>
        <w:t>) Taxes</w:t>
      </w:r>
    </w:p>
    <w:p w14:paraId="2CF2097C" w14:textId="77777777" w:rsidR="005357C6" w:rsidRDefault="005357C6" w:rsidP="00481176">
      <w:pPr>
        <w:spacing w:before="120" w:after="120"/>
        <w:jc w:val="both"/>
        <w:rPr>
          <w:rFonts w:eastAsia="Times New Roman" w:cs="Arial"/>
          <w:szCs w:val="20"/>
          <w:lang w:val="en-US" w:eastAsia="pt-BR"/>
        </w:rPr>
      </w:pPr>
      <w:r>
        <w:rPr>
          <w:rFonts w:eastAsia="Times New Roman" w:cs="Arial"/>
          <w:szCs w:val="20"/>
          <w:lang w:val="en-US" w:eastAsia="pt-BR"/>
        </w:rPr>
        <w:t>Taxes are calculated based on the rates shown in the table below:</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6574"/>
        <w:gridCol w:w="1532"/>
        <w:gridCol w:w="1533"/>
      </w:tblGrid>
      <w:tr w:rsidR="005357C6" w:rsidRPr="00BD0B87" w14:paraId="4F1069A7" w14:textId="77777777" w:rsidTr="003F1C03">
        <w:trPr>
          <w:trHeight w:val="238"/>
          <w:jc w:val="center"/>
        </w:trPr>
        <w:tc>
          <w:tcPr>
            <w:tcW w:w="6379" w:type="dxa"/>
            <w:tcBorders>
              <w:top w:val="single" w:sz="2" w:space="0" w:color="1F4E79" w:themeColor="accent1" w:themeShade="80"/>
              <w:bottom w:val="single" w:sz="2" w:space="0" w:color="1F4E79" w:themeColor="accent1" w:themeShade="80"/>
            </w:tcBorders>
            <w:shd w:val="clear" w:color="auto" w:fill="auto"/>
            <w:vAlign w:val="center"/>
          </w:tcPr>
          <w:p w14:paraId="5C62AEF0" w14:textId="77777777" w:rsidR="005357C6" w:rsidRPr="00BD0B87" w:rsidRDefault="005357C6" w:rsidP="003F1C03">
            <w:pPr>
              <w:spacing w:after="0"/>
              <w:rPr>
                <w:rFonts w:cs="Arial"/>
                <w:b/>
                <w:szCs w:val="18"/>
              </w:rPr>
            </w:pPr>
            <w:r w:rsidRPr="00BD0B87">
              <w:rPr>
                <w:rFonts w:eastAsia="Times New Roman" w:cs="Arial"/>
                <w:b/>
                <w:spacing w:val="-2"/>
                <w:sz w:val="14"/>
                <w:szCs w:val="18"/>
                <w:lang w:eastAsia="pt-BR"/>
              </w:rPr>
              <w:t>Taxes</w:t>
            </w:r>
          </w:p>
        </w:tc>
        <w:tc>
          <w:tcPr>
            <w:tcW w:w="1487" w:type="dxa"/>
            <w:tcBorders>
              <w:top w:val="single" w:sz="2" w:space="0" w:color="1F4E79" w:themeColor="accent1" w:themeShade="80"/>
              <w:bottom w:val="single" w:sz="2" w:space="0" w:color="1F4E79" w:themeColor="accent1" w:themeShade="80"/>
            </w:tcBorders>
            <w:vAlign w:val="center"/>
          </w:tcPr>
          <w:p w14:paraId="50DE25AC" w14:textId="77777777" w:rsidR="005357C6" w:rsidRDefault="005357C6" w:rsidP="003F1C03">
            <w:pPr>
              <w:spacing w:after="0"/>
              <w:jc w:val="right"/>
              <w:rPr>
                <w:rFonts w:eastAsia="Times New Roman" w:cs="Arial"/>
                <w:b/>
                <w:spacing w:val="-2"/>
                <w:sz w:val="14"/>
                <w:szCs w:val="18"/>
                <w:lang w:eastAsia="pt-BR"/>
              </w:rPr>
            </w:pPr>
            <w:r>
              <w:rPr>
                <w:rFonts w:eastAsia="Times New Roman" w:cs="Arial"/>
                <w:b/>
                <w:spacing w:val="-2"/>
                <w:sz w:val="14"/>
                <w:szCs w:val="18"/>
                <w:lang w:eastAsia="pt-BR"/>
              </w:rPr>
              <w:t xml:space="preserve">Dec </w:t>
            </w:r>
            <w:r w:rsidRPr="00BD0B87">
              <w:rPr>
                <w:rFonts w:eastAsia="Times New Roman" w:cs="Arial"/>
                <w:b/>
                <w:spacing w:val="-2"/>
                <w:sz w:val="14"/>
                <w:szCs w:val="18"/>
                <w:lang w:eastAsia="pt-BR"/>
              </w:rPr>
              <w:t>3</w:t>
            </w:r>
            <w:r>
              <w:rPr>
                <w:rFonts w:eastAsia="Times New Roman" w:cs="Arial"/>
                <w:b/>
                <w:spacing w:val="-2"/>
                <w:sz w:val="14"/>
                <w:szCs w:val="18"/>
                <w:lang w:eastAsia="pt-BR"/>
              </w:rPr>
              <w:t>1</w:t>
            </w:r>
            <w:r w:rsidRPr="00BD0B87">
              <w:rPr>
                <w:rFonts w:eastAsia="Times New Roman" w:cs="Arial"/>
                <w:b/>
                <w:spacing w:val="-2"/>
                <w:sz w:val="14"/>
                <w:szCs w:val="18"/>
                <w:lang w:eastAsia="pt-BR"/>
              </w:rPr>
              <w:t>, 202</w:t>
            </w:r>
            <w:r>
              <w:rPr>
                <w:rFonts w:eastAsia="Times New Roman" w:cs="Arial"/>
                <w:b/>
                <w:spacing w:val="-2"/>
                <w:sz w:val="14"/>
                <w:szCs w:val="18"/>
                <w:lang w:eastAsia="pt-BR"/>
              </w:rPr>
              <w:t>2</w:t>
            </w:r>
          </w:p>
        </w:tc>
        <w:tc>
          <w:tcPr>
            <w:tcW w:w="1488" w:type="dxa"/>
            <w:tcBorders>
              <w:top w:val="single" w:sz="2" w:space="0" w:color="1F4E79" w:themeColor="accent1" w:themeShade="80"/>
              <w:bottom w:val="single" w:sz="2" w:space="0" w:color="1F4E79" w:themeColor="accent1" w:themeShade="80"/>
            </w:tcBorders>
            <w:vAlign w:val="center"/>
          </w:tcPr>
          <w:p w14:paraId="75581451" w14:textId="77777777" w:rsidR="005357C6" w:rsidRDefault="005357C6" w:rsidP="003F1C03">
            <w:pPr>
              <w:spacing w:after="0"/>
              <w:jc w:val="right"/>
              <w:rPr>
                <w:rFonts w:eastAsia="Times New Roman" w:cs="Arial"/>
                <w:b/>
                <w:spacing w:val="-2"/>
                <w:sz w:val="14"/>
                <w:szCs w:val="18"/>
                <w:lang w:eastAsia="pt-BR"/>
              </w:rPr>
            </w:pPr>
            <w:r>
              <w:rPr>
                <w:rFonts w:eastAsia="Times New Roman" w:cs="Arial"/>
                <w:b/>
                <w:spacing w:val="-2"/>
                <w:sz w:val="14"/>
                <w:szCs w:val="18"/>
                <w:lang w:eastAsia="pt-BR"/>
              </w:rPr>
              <w:t>Dec</w:t>
            </w:r>
            <w:r w:rsidRPr="00BD0B87">
              <w:rPr>
                <w:rFonts w:eastAsia="Times New Roman" w:cs="Arial"/>
                <w:b/>
                <w:spacing w:val="-2"/>
                <w:sz w:val="14"/>
                <w:szCs w:val="18"/>
                <w:lang w:eastAsia="pt-BR"/>
              </w:rPr>
              <w:t xml:space="preserve"> 3</w:t>
            </w:r>
            <w:r>
              <w:rPr>
                <w:rFonts w:eastAsia="Times New Roman" w:cs="Arial"/>
                <w:b/>
                <w:spacing w:val="-2"/>
                <w:sz w:val="14"/>
                <w:szCs w:val="18"/>
                <w:lang w:eastAsia="pt-BR"/>
              </w:rPr>
              <w:t>1</w:t>
            </w:r>
            <w:r w:rsidRPr="00BD0B87">
              <w:rPr>
                <w:rFonts w:eastAsia="Times New Roman" w:cs="Arial"/>
                <w:b/>
                <w:spacing w:val="-2"/>
                <w:sz w:val="14"/>
                <w:szCs w:val="18"/>
                <w:lang w:eastAsia="pt-BR"/>
              </w:rPr>
              <w:t>, 202</w:t>
            </w:r>
            <w:r>
              <w:rPr>
                <w:rFonts w:eastAsia="Times New Roman" w:cs="Arial"/>
                <w:b/>
                <w:spacing w:val="-2"/>
                <w:sz w:val="14"/>
                <w:szCs w:val="18"/>
                <w:lang w:eastAsia="pt-BR"/>
              </w:rPr>
              <w:t>1</w:t>
            </w:r>
          </w:p>
        </w:tc>
      </w:tr>
      <w:tr w:rsidR="005357C6" w:rsidRPr="00653274" w14:paraId="5C9A0782" w14:textId="77777777" w:rsidTr="003F1C03">
        <w:trPr>
          <w:trHeight w:val="238"/>
          <w:jc w:val="center"/>
        </w:trPr>
        <w:tc>
          <w:tcPr>
            <w:tcW w:w="6379" w:type="dxa"/>
            <w:tcBorders>
              <w:top w:val="single" w:sz="2" w:space="0" w:color="1F4E79" w:themeColor="accent1" w:themeShade="80"/>
              <w:bottom w:val="nil"/>
            </w:tcBorders>
            <w:shd w:val="clear" w:color="auto" w:fill="auto"/>
            <w:vAlign w:val="center"/>
          </w:tcPr>
          <w:p w14:paraId="43B1F9D1" w14:textId="77777777" w:rsidR="005357C6" w:rsidRPr="00653274" w:rsidRDefault="005357C6" w:rsidP="003F1C03">
            <w:pPr>
              <w:keepNext/>
              <w:keepLines/>
              <w:spacing w:before="40" w:after="40" w:line="240" w:lineRule="auto"/>
              <w:rPr>
                <w:rFonts w:eastAsia="Times New Roman" w:cs="Arial"/>
                <w:b/>
                <w:bCs/>
                <w:spacing w:val="-2"/>
                <w:sz w:val="14"/>
                <w:szCs w:val="14"/>
                <w:lang w:eastAsia="pt-BR"/>
              </w:rPr>
            </w:pPr>
            <w:r>
              <w:rPr>
                <w:rFonts w:eastAsia="Times New Roman" w:cs="Arial"/>
                <w:spacing w:val="-2"/>
                <w:sz w:val="14"/>
                <w:szCs w:val="18"/>
                <w:lang w:eastAsia="pt-BR"/>
              </w:rPr>
              <w:t>Individual Income Tax (IRPJ)</w:t>
            </w:r>
            <w:r>
              <w:rPr>
                <w:rFonts w:eastAsia="Times New Roman" w:cs="Arial"/>
                <w:spacing w:val="-2"/>
                <w:sz w:val="14"/>
                <w:szCs w:val="18"/>
                <w:vertAlign w:val="superscript"/>
                <w:lang w:eastAsia="pt-BR"/>
              </w:rPr>
              <w:t xml:space="preserve"> (</w:t>
            </w:r>
            <w:r>
              <w:rPr>
                <w:rFonts w:eastAsia="Times New Roman" w:cs="Arial"/>
                <w:spacing w:val="-2"/>
                <w:sz w:val="14"/>
                <w:szCs w:val="18"/>
                <w:lang w:eastAsia="pt-BR"/>
              </w:rPr>
              <w:t>¹</w:t>
            </w:r>
            <w:r>
              <w:rPr>
                <w:rFonts w:eastAsia="Times New Roman" w:cs="Arial"/>
                <w:spacing w:val="-2"/>
                <w:sz w:val="14"/>
                <w:szCs w:val="18"/>
                <w:vertAlign w:val="superscript"/>
                <w:lang w:eastAsia="pt-BR"/>
              </w:rPr>
              <w:t>)</w:t>
            </w:r>
          </w:p>
        </w:tc>
        <w:tc>
          <w:tcPr>
            <w:tcW w:w="1487" w:type="dxa"/>
            <w:tcBorders>
              <w:top w:val="single" w:sz="2" w:space="0" w:color="1F4E79" w:themeColor="accent1" w:themeShade="80"/>
              <w:bottom w:val="nil"/>
            </w:tcBorders>
          </w:tcPr>
          <w:p w14:paraId="1DC9B213"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25%</w:t>
            </w:r>
          </w:p>
        </w:tc>
        <w:tc>
          <w:tcPr>
            <w:tcW w:w="1488" w:type="dxa"/>
            <w:tcBorders>
              <w:top w:val="single" w:sz="2" w:space="0" w:color="1F4E79" w:themeColor="accent1" w:themeShade="80"/>
              <w:bottom w:val="nil"/>
            </w:tcBorders>
          </w:tcPr>
          <w:p w14:paraId="5DC15300"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25%</w:t>
            </w:r>
          </w:p>
        </w:tc>
      </w:tr>
      <w:tr w:rsidR="005357C6" w:rsidRPr="00653274" w14:paraId="2CB05F11" w14:textId="77777777" w:rsidTr="003F1C03">
        <w:trPr>
          <w:trHeight w:val="238"/>
          <w:jc w:val="center"/>
        </w:trPr>
        <w:tc>
          <w:tcPr>
            <w:tcW w:w="6379" w:type="dxa"/>
            <w:tcBorders>
              <w:top w:val="nil"/>
            </w:tcBorders>
            <w:shd w:val="clear" w:color="auto" w:fill="auto"/>
            <w:vAlign w:val="center"/>
          </w:tcPr>
          <w:p w14:paraId="1C1EDE45" w14:textId="77777777" w:rsidR="005357C6" w:rsidRPr="00653274" w:rsidRDefault="005357C6" w:rsidP="003F1C03">
            <w:pPr>
              <w:keepNext/>
              <w:keepLines/>
              <w:spacing w:before="40" w:after="40" w:line="240" w:lineRule="auto"/>
              <w:rPr>
                <w:rFonts w:eastAsia="Times New Roman" w:cs="Arial"/>
                <w:b/>
                <w:bCs/>
                <w:spacing w:val="-2"/>
                <w:sz w:val="14"/>
                <w:szCs w:val="14"/>
                <w:lang w:val="en-US" w:eastAsia="pt-BR"/>
              </w:rPr>
            </w:pPr>
            <w:r>
              <w:rPr>
                <w:rFonts w:eastAsia="Times New Roman" w:cs="Arial"/>
                <w:spacing w:val="-2"/>
                <w:sz w:val="14"/>
                <w:szCs w:val="18"/>
                <w:lang w:val="en-US" w:eastAsia="pt-BR"/>
              </w:rPr>
              <w:t>Social Contribution on Net Income (CSLL)</w:t>
            </w:r>
          </w:p>
        </w:tc>
        <w:tc>
          <w:tcPr>
            <w:tcW w:w="1487" w:type="dxa"/>
            <w:tcBorders>
              <w:top w:val="nil"/>
            </w:tcBorders>
          </w:tcPr>
          <w:p w14:paraId="6741C0F3"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9%</w:t>
            </w:r>
          </w:p>
        </w:tc>
        <w:tc>
          <w:tcPr>
            <w:tcW w:w="1488" w:type="dxa"/>
            <w:tcBorders>
              <w:top w:val="nil"/>
            </w:tcBorders>
          </w:tcPr>
          <w:p w14:paraId="609419D8"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9%</w:t>
            </w:r>
          </w:p>
        </w:tc>
      </w:tr>
      <w:tr w:rsidR="005357C6" w:rsidRPr="00653274" w14:paraId="67A597A5" w14:textId="77777777" w:rsidTr="003F1C03">
        <w:trPr>
          <w:trHeight w:val="238"/>
          <w:jc w:val="center"/>
        </w:trPr>
        <w:tc>
          <w:tcPr>
            <w:tcW w:w="6379" w:type="dxa"/>
            <w:shd w:val="clear" w:color="auto" w:fill="auto"/>
            <w:vAlign w:val="center"/>
          </w:tcPr>
          <w:p w14:paraId="053BE2BA" w14:textId="77777777" w:rsidR="005357C6" w:rsidRPr="00653274" w:rsidRDefault="005357C6" w:rsidP="003F1C03">
            <w:pPr>
              <w:keepNext/>
              <w:keepLines/>
              <w:spacing w:before="40" w:after="40" w:line="240" w:lineRule="auto"/>
              <w:rPr>
                <w:rFonts w:eastAsia="Times New Roman" w:cs="Arial"/>
                <w:b/>
                <w:bCs/>
                <w:spacing w:val="-2"/>
                <w:sz w:val="14"/>
                <w:szCs w:val="14"/>
                <w:lang w:val="en-US" w:eastAsia="pt-BR"/>
              </w:rPr>
            </w:pPr>
            <w:r>
              <w:rPr>
                <w:rFonts w:eastAsia="Times New Roman" w:cs="Arial"/>
                <w:spacing w:val="-2"/>
                <w:sz w:val="14"/>
                <w:szCs w:val="18"/>
                <w:lang w:val="en-US" w:eastAsia="pt-BR"/>
              </w:rPr>
              <w:t>Contribution to PIS (Social Integration Program) / Pasep (Investment Program for Civil Servants)</w:t>
            </w:r>
          </w:p>
        </w:tc>
        <w:tc>
          <w:tcPr>
            <w:tcW w:w="1487" w:type="dxa"/>
          </w:tcPr>
          <w:p w14:paraId="65759AFD"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1.65%</w:t>
            </w:r>
          </w:p>
        </w:tc>
        <w:tc>
          <w:tcPr>
            <w:tcW w:w="1488" w:type="dxa"/>
          </w:tcPr>
          <w:p w14:paraId="6BC7B632"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1.65%</w:t>
            </w:r>
          </w:p>
        </w:tc>
      </w:tr>
      <w:tr w:rsidR="005357C6" w:rsidRPr="00653274" w14:paraId="499DC931" w14:textId="77777777" w:rsidTr="003F1C03">
        <w:trPr>
          <w:trHeight w:val="238"/>
          <w:jc w:val="center"/>
        </w:trPr>
        <w:tc>
          <w:tcPr>
            <w:tcW w:w="6379" w:type="dxa"/>
            <w:shd w:val="clear" w:color="auto" w:fill="auto"/>
            <w:vAlign w:val="center"/>
          </w:tcPr>
          <w:p w14:paraId="56B77BF7" w14:textId="77777777" w:rsidR="005357C6" w:rsidRPr="00653274" w:rsidRDefault="005357C6" w:rsidP="003F1C03">
            <w:pPr>
              <w:keepNext/>
              <w:keepLines/>
              <w:spacing w:before="40" w:after="40" w:line="240" w:lineRule="auto"/>
              <w:rPr>
                <w:rFonts w:eastAsia="Times New Roman" w:cs="Arial"/>
                <w:b/>
                <w:bCs/>
                <w:spacing w:val="-2"/>
                <w:sz w:val="14"/>
                <w:szCs w:val="14"/>
                <w:lang w:val="en-US" w:eastAsia="pt-BR"/>
              </w:rPr>
            </w:pPr>
            <w:r>
              <w:rPr>
                <w:rFonts w:eastAsia="Times New Roman" w:cs="Arial"/>
                <w:spacing w:val="-2"/>
                <w:sz w:val="14"/>
                <w:szCs w:val="18"/>
                <w:lang w:val="en-US" w:eastAsia="pt-BR"/>
              </w:rPr>
              <w:t>Contribution to the Financing of the Social Security (COFINS)</w:t>
            </w:r>
          </w:p>
        </w:tc>
        <w:tc>
          <w:tcPr>
            <w:tcW w:w="1487" w:type="dxa"/>
          </w:tcPr>
          <w:p w14:paraId="581BA991"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7.60%</w:t>
            </w:r>
          </w:p>
        </w:tc>
        <w:tc>
          <w:tcPr>
            <w:tcW w:w="1488" w:type="dxa"/>
          </w:tcPr>
          <w:p w14:paraId="3844FCAA"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7.60%</w:t>
            </w:r>
          </w:p>
        </w:tc>
      </w:tr>
      <w:tr w:rsidR="005357C6" w:rsidRPr="00653274" w14:paraId="18F2DE48" w14:textId="77777777" w:rsidTr="003F1C03">
        <w:trPr>
          <w:trHeight w:val="238"/>
          <w:jc w:val="center"/>
        </w:trPr>
        <w:tc>
          <w:tcPr>
            <w:tcW w:w="6379" w:type="dxa"/>
            <w:shd w:val="clear" w:color="auto" w:fill="auto"/>
            <w:vAlign w:val="center"/>
          </w:tcPr>
          <w:p w14:paraId="453C48EC" w14:textId="77777777" w:rsidR="005357C6" w:rsidRPr="0004479F" w:rsidRDefault="005357C6" w:rsidP="003F1C03">
            <w:pPr>
              <w:keepNext/>
              <w:keepLines/>
              <w:spacing w:before="40" w:after="40" w:line="240" w:lineRule="auto"/>
              <w:rPr>
                <w:rFonts w:eastAsia="Times New Roman" w:cs="Arial"/>
                <w:b/>
                <w:bCs/>
                <w:spacing w:val="-2"/>
                <w:sz w:val="14"/>
                <w:szCs w:val="14"/>
                <w:lang w:val="en-US" w:eastAsia="pt-BR"/>
              </w:rPr>
            </w:pPr>
            <w:r w:rsidRPr="0004479F">
              <w:rPr>
                <w:rFonts w:eastAsia="Times New Roman" w:cs="Arial"/>
                <w:spacing w:val="-2"/>
                <w:sz w:val="14"/>
                <w:szCs w:val="18"/>
                <w:lang w:val="en-US" w:eastAsia="pt-BR"/>
              </w:rPr>
              <w:t>Contribution to PIS / Pasep on income from financial investments</w:t>
            </w:r>
          </w:p>
        </w:tc>
        <w:tc>
          <w:tcPr>
            <w:tcW w:w="1487" w:type="dxa"/>
          </w:tcPr>
          <w:p w14:paraId="34C663B2"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0.65%</w:t>
            </w:r>
          </w:p>
        </w:tc>
        <w:tc>
          <w:tcPr>
            <w:tcW w:w="1488" w:type="dxa"/>
          </w:tcPr>
          <w:p w14:paraId="39EB74F6"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0.65%</w:t>
            </w:r>
          </w:p>
        </w:tc>
      </w:tr>
      <w:tr w:rsidR="005357C6" w:rsidRPr="00653274" w14:paraId="3DAE162C" w14:textId="77777777" w:rsidTr="003F1C03">
        <w:trPr>
          <w:trHeight w:val="238"/>
          <w:jc w:val="center"/>
        </w:trPr>
        <w:tc>
          <w:tcPr>
            <w:tcW w:w="6379" w:type="dxa"/>
            <w:shd w:val="clear" w:color="auto" w:fill="auto"/>
            <w:vAlign w:val="center"/>
          </w:tcPr>
          <w:p w14:paraId="38462CA0" w14:textId="77777777" w:rsidR="005357C6" w:rsidRPr="00653274" w:rsidRDefault="005357C6" w:rsidP="003F1C03">
            <w:pPr>
              <w:keepNext/>
              <w:keepLines/>
              <w:spacing w:before="40" w:after="40" w:line="240" w:lineRule="auto"/>
              <w:rPr>
                <w:rFonts w:eastAsia="Times New Roman" w:cs="Arial"/>
                <w:b/>
                <w:bCs/>
                <w:spacing w:val="-2"/>
                <w:sz w:val="14"/>
                <w:szCs w:val="14"/>
                <w:lang w:val="en-US" w:eastAsia="pt-BR"/>
              </w:rPr>
            </w:pPr>
            <w:r>
              <w:rPr>
                <w:rFonts w:eastAsia="Times New Roman" w:cs="Arial"/>
                <w:spacing w:val="-2"/>
                <w:sz w:val="14"/>
                <w:szCs w:val="18"/>
                <w:lang w:val="en-US" w:eastAsia="pt-BR"/>
              </w:rPr>
              <w:t>Contribution to the Financing of the Social Security</w:t>
            </w:r>
            <w:r>
              <w:rPr>
                <w:rFonts w:eastAsia="Times New Roman" w:cs="Arial"/>
                <w:spacing w:val="-2"/>
                <w:sz w:val="14"/>
                <w:szCs w:val="18"/>
                <w:vertAlign w:val="superscript"/>
                <w:lang w:val="en-US" w:eastAsia="pt-BR"/>
              </w:rPr>
              <w:t xml:space="preserve"> </w:t>
            </w:r>
            <w:r>
              <w:rPr>
                <w:rFonts w:eastAsia="Times New Roman" w:cs="Arial"/>
                <w:spacing w:val="-2"/>
                <w:sz w:val="14"/>
                <w:szCs w:val="18"/>
                <w:lang w:val="en-US" w:eastAsia="pt-BR"/>
              </w:rPr>
              <w:t xml:space="preserve">(COFINS) </w:t>
            </w:r>
            <w:r w:rsidRPr="007561BA">
              <w:rPr>
                <w:rFonts w:eastAsia="Times New Roman" w:cs="Arial"/>
                <w:spacing w:val="-2"/>
                <w:sz w:val="14"/>
                <w:szCs w:val="18"/>
                <w:lang w:val="en-US" w:eastAsia="pt-BR"/>
              </w:rPr>
              <w:t>on income from financial investments</w:t>
            </w:r>
          </w:p>
        </w:tc>
        <w:tc>
          <w:tcPr>
            <w:tcW w:w="1487" w:type="dxa"/>
          </w:tcPr>
          <w:p w14:paraId="772AC000"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4%</w:t>
            </w:r>
          </w:p>
        </w:tc>
        <w:tc>
          <w:tcPr>
            <w:tcW w:w="1488" w:type="dxa"/>
          </w:tcPr>
          <w:p w14:paraId="3E14C3F3"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4%</w:t>
            </w:r>
          </w:p>
        </w:tc>
      </w:tr>
      <w:tr w:rsidR="005357C6" w:rsidRPr="00653274" w14:paraId="15A9FDD7" w14:textId="77777777" w:rsidTr="003F1C03">
        <w:trPr>
          <w:trHeight w:val="238"/>
          <w:jc w:val="center"/>
        </w:trPr>
        <w:tc>
          <w:tcPr>
            <w:tcW w:w="6379" w:type="dxa"/>
            <w:tcBorders>
              <w:bottom w:val="single" w:sz="2" w:space="0" w:color="1F4E79" w:themeColor="accent1" w:themeShade="80"/>
            </w:tcBorders>
            <w:shd w:val="clear" w:color="auto" w:fill="auto"/>
            <w:vAlign w:val="center"/>
          </w:tcPr>
          <w:p w14:paraId="5A95681B" w14:textId="77777777" w:rsidR="005357C6" w:rsidRPr="00490672" w:rsidRDefault="005357C6" w:rsidP="003F1C03">
            <w:pPr>
              <w:keepNext/>
              <w:keepLines/>
              <w:spacing w:before="40" w:after="40" w:line="240" w:lineRule="auto"/>
              <w:rPr>
                <w:rFonts w:eastAsia="Times New Roman" w:cs="Arial"/>
                <w:b/>
                <w:bCs/>
                <w:spacing w:val="-2"/>
                <w:sz w:val="14"/>
                <w:szCs w:val="14"/>
                <w:vertAlign w:val="superscript"/>
                <w:lang w:eastAsia="pt-BR"/>
              </w:rPr>
            </w:pPr>
            <w:r>
              <w:rPr>
                <w:rFonts w:eastAsia="Times New Roman" w:cs="Arial"/>
                <w:spacing w:val="-2"/>
                <w:sz w:val="14"/>
                <w:szCs w:val="18"/>
                <w:lang w:eastAsia="pt-BR"/>
              </w:rPr>
              <w:t>Service Tax – ISS</w:t>
            </w:r>
            <w:r>
              <w:rPr>
                <w:rFonts w:eastAsia="Times New Roman" w:cs="Arial"/>
                <w:spacing w:val="-2"/>
                <w:sz w:val="14"/>
                <w:szCs w:val="18"/>
                <w:vertAlign w:val="superscript"/>
                <w:lang w:eastAsia="pt-BR"/>
              </w:rPr>
              <w:t>(2)</w:t>
            </w:r>
          </w:p>
        </w:tc>
        <w:tc>
          <w:tcPr>
            <w:tcW w:w="1487" w:type="dxa"/>
            <w:tcBorders>
              <w:bottom w:val="single" w:sz="2" w:space="0" w:color="1F4E79" w:themeColor="accent1" w:themeShade="80"/>
            </w:tcBorders>
          </w:tcPr>
          <w:p w14:paraId="30C7B0A5"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Up to 5%</w:t>
            </w:r>
          </w:p>
        </w:tc>
        <w:tc>
          <w:tcPr>
            <w:tcW w:w="1488" w:type="dxa"/>
            <w:tcBorders>
              <w:bottom w:val="single" w:sz="2" w:space="0" w:color="1F4E79" w:themeColor="accent1" w:themeShade="80"/>
            </w:tcBorders>
          </w:tcPr>
          <w:p w14:paraId="77D085CD" w14:textId="77777777" w:rsidR="005357C6" w:rsidRPr="00481176" w:rsidRDefault="005357C6" w:rsidP="003F1C03">
            <w:pPr>
              <w:keepNext/>
              <w:keepLines/>
              <w:spacing w:before="40" w:after="40" w:line="240" w:lineRule="auto"/>
              <w:jc w:val="right"/>
              <w:rPr>
                <w:rFonts w:eastAsia="Times New Roman" w:cs="Arial"/>
                <w:spacing w:val="-2"/>
                <w:sz w:val="14"/>
                <w:szCs w:val="18"/>
                <w:lang w:eastAsia="pt-BR"/>
              </w:rPr>
            </w:pPr>
            <w:r w:rsidRPr="00481176">
              <w:rPr>
                <w:rFonts w:eastAsia="Times New Roman" w:cs="Arial"/>
                <w:spacing w:val="-2"/>
                <w:sz w:val="14"/>
                <w:szCs w:val="18"/>
                <w:lang w:eastAsia="pt-BR"/>
              </w:rPr>
              <w:t>Up to 5%</w:t>
            </w:r>
          </w:p>
        </w:tc>
      </w:tr>
    </w:tbl>
    <w:p w14:paraId="357BD807" w14:textId="77777777" w:rsidR="005357C6" w:rsidRDefault="005357C6" w:rsidP="00BF40A9">
      <w:pPr>
        <w:keepLines/>
        <w:tabs>
          <w:tab w:val="left" w:pos="284"/>
        </w:tabs>
        <w:spacing w:before="40" w:after="0" w:line="240" w:lineRule="auto"/>
        <w:jc w:val="both"/>
        <w:rPr>
          <w:rFonts w:eastAsia="Times New Roman" w:cs="Arial"/>
          <w:spacing w:val="-2"/>
          <w:sz w:val="14"/>
          <w:szCs w:val="18"/>
          <w:lang w:val="en-US" w:eastAsia="pt-BR"/>
        </w:rPr>
      </w:pPr>
      <w:r>
        <w:rPr>
          <w:rFonts w:eastAsia="Times New Roman" w:cs="Arial"/>
          <w:spacing w:val="-2"/>
          <w:sz w:val="14"/>
          <w:szCs w:val="18"/>
          <w:lang w:val="en-US" w:eastAsia="pt-BR"/>
        </w:rPr>
        <w:t>(1) Includes basic (15%) and additional (10%) rates</w:t>
      </w:r>
    </w:p>
    <w:p w14:paraId="6B1B63D9" w14:textId="77777777" w:rsidR="005357C6" w:rsidRDefault="005357C6" w:rsidP="00BF40A9">
      <w:pPr>
        <w:keepLines/>
        <w:tabs>
          <w:tab w:val="left" w:pos="284"/>
        </w:tabs>
        <w:spacing w:before="40" w:after="0" w:line="240" w:lineRule="auto"/>
        <w:ind w:left="284" w:hanging="284"/>
        <w:jc w:val="both"/>
        <w:rPr>
          <w:rFonts w:eastAsia="Times New Roman" w:cs="Arial"/>
          <w:spacing w:val="-2"/>
          <w:sz w:val="14"/>
          <w:szCs w:val="18"/>
          <w:lang w:val="en-US" w:eastAsia="pt-BR"/>
        </w:rPr>
      </w:pPr>
      <w:r>
        <w:rPr>
          <w:rFonts w:eastAsia="Times New Roman" w:cs="Arial"/>
          <w:spacing w:val="-2"/>
          <w:sz w:val="14"/>
          <w:szCs w:val="18"/>
          <w:lang w:val="en-US" w:eastAsia="pt-BR"/>
        </w:rPr>
        <w:t xml:space="preserve">(2) </w:t>
      </w:r>
      <w:r w:rsidRPr="001B3D85">
        <w:rPr>
          <w:rFonts w:eastAsia="Times New Roman" w:cs="Arial"/>
          <w:spacing w:val="-2"/>
          <w:sz w:val="14"/>
          <w:szCs w:val="18"/>
          <w:lang w:val="en-US" w:eastAsia="pt-BR"/>
        </w:rPr>
        <w:t>Incident on the services provided by BB Corretora.</w:t>
      </w:r>
    </w:p>
    <w:p w14:paraId="14D27DD6" w14:textId="77777777" w:rsidR="005357C6" w:rsidRPr="00481176" w:rsidRDefault="005357C6" w:rsidP="00490672">
      <w:pPr>
        <w:keepLines/>
        <w:tabs>
          <w:tab w:val="left" w:pos="284"/>
        </w:tabs>
        <w:spacing w:before="40" w:after="0" w:line="240" w:lineRule="auto"/>
        <w:ind w:left="284" w:hanging="284"/>
        <w:jc w:val="both"/>
        <w:rPr>
          <w:rFonts w:eastAsia="Times New Roman" w:cs="Arial"/>
          <w:spacing w:val="-2"/>
          <w:sz w:val="14"/>
          <w:szCs w:val="18"/>
          <w:lang w:val="en-US" w:eastAsia="pt-BR"/>
        </w:rPr>
      </w:pPr>
    </w:p>
    <w:p w14:paraId="6A3233E9" w14:textId="77777777" w:rsidR="005357C6" w:rsidRDefault="005357C6" w:rsidP="00BF40A9">
      <w:pPr>
        <w:spacing w:before="120" w:after="120"/>
        <w:jc w:val="both"/>
        <w:rPr>
          <w:rFonts w:eastAsia="Times New Roman" w:cs="Arial"/>
          <w:spacing w:val="-2"/>
          <w:szCs w:val="18"/>
          <w:lang w:val="en-US" w:eastAsia="pt-BR"/>
        </w:rPr>
      </w:pPr>
      <w:r>
        <w:rPr>
          <w:rFonts w:eastAsia="Times New Roman" w:cs="Arial"/>
          <w:spacing w:val="-2"/>
          <w:szCs w:val="18"/>
          <w:lang w:val="en-US" w:eastAsia="pt-BR"/>
        </w:rPr>
        <w:t>The deferred tax assets and deferred tax liabilities are constituted by the application of the current tax rates on their respective bases. For constitution, maintenance and write-off of deferred tax assets, the criteria established by the CPC 32 [IAS 12] – Taxes on Profit are observed, and they are supported by a realization capacity study.</w:t>
      </w:r>
    </w:p>
    <w:p w14:paraId="22FE6230" w14:textId="77777777" w:rsidR="005357C6" w:rsidRPr="00F37243" w:rsidRDefault="005357C6" w:rsidP="00481176">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k</w:t>
      </w:r>
      <w:r w:rsidRPr="00F37243">
        <w:rPr>
          <w:rFonts w:eastAsia="Times New Roman" w:cs="Times New Roman"/>
          <w:b/>
          <w:color w:val="244061"/>
          <w:spacing w:val="-2"/>
          <w:szCs w:val="18"/>
          <w:lang w:val="en-US" w:eastAsia="pt-BR"/>
        </w:rPr>
        <w:t>) Segment Disclosure</w:t>
      </w:r>
    </w:p>
    <w:p w14:paraId="14099E89" w14:textId="77777777" w:rsidR="005357C6" w:rsidRDefault="005357C6" w:rsidP="00BF40A9">
      <w:pPr>
        <w:spacing w:before="120" w:after="120"/>
        <w:jc w:val="both"/>
        <w:rPr>
          <w:rFonts w:eastAsia="Times New Roman" w:cs="Arial"/>
          <w:spacing w:val="-2"/>
          <w:szCs w:val="18"/>
          <w:lang w:val="en-US" w:eastAsia="pt-BR"/>
        </w:rPr>
      </w:pPr>
      <w:r>
        <w:rPr>
          <w:rFonts w:eastAsia="Times New Roman" w:cs="Arial"/>
          <w:spacing w:val="-2"/>
          <w:szCs w:val="18"/>
          <w:lang w:val="en-US" w:eastAsia="pt-BR"/>
        </w:rPr>
        <w:t>The CPC 22 [IFRS 8] – Information per Segment requires the disclosure of financial information of the entity's operating segments based on the internal disclosures that are used by the Management to allocate resources and to assess its financial and economic performance.</w:t>
      </w:r>
    </w:p>
    <w:p w14:paraId="5013B21A" w14:textId="77777777" w:rsidR="005357C6" w:rsidRPr="00481176" w:rsidRDefault="005357C6" w:rsidP="00481176">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l</w:t>
      </w:r>
      <w:r w:rsidRPr="00481176">
        <w:rPr>
          <w:rFonts w:eastAsia="Times New Roman" w:cs="Times New Roman"/>
          <w:b/>
          <w:color w:val="244061"/>
          <w:spacing w:val="-2"/>
          <w:szCs w:val="18"/>
          <w:lang w:val="en-US" w:eastAsia="pt-BR"/>
        </w:rPr>
        <w:t xml:space="preserve">) </w:t>
      </w:r>
      <w:r>
        <w:rPr>
          <w:rFonts w:eastAsia="Times New Roman" w:cs="Times New Roman"/>
          <w:b/>
          <w:color w:val="244061"/>
          <w:spacing w:val="-2"/>
          <w:szCs w:val="18"/>
          <w:lang w:val="en-US" w:eastAsia="pt-BR"/>
        </w:rPr>
        <w:t>Interest on Net Equity and Dividends</w:t>
      </w:r>
    </w:p>
    <w:p w14:paraId="1EA48276" w14:textId="77777777" w:rsidR="005357C6" w:rsidRDefault="005357C6" w:rsidP="000A10CA">
      <w:pPr>
        <w:spacing w:before="120" w:after="120"/>
        <w:jc w:val="both"/>
        <w:rPr>
          <w:rFonts w:eastAsia="Times New Roman" w:cs="Arial"/>
          <w:spacing w:val="-2"/>
          <w:szCs w:val="18"/>
          <w:lang w:val="en-US" w:eastAsia="pt-BR"/>
        </w:rPr>
      </w:pPr>
      <w:r>
        <w:rPr>
          <w:rFonts w:eastAsia="Times New Roman" w:cs="Arial"/>
          <w:spacing w:val="-2"/>
          <w:szCs w:val="18"/>
          <w:lang w:val="en-US" w:eastAsia="pt-BR"/>
        </w:rPr>
        <w:t xml:space="preserve">Brazilian companies may assign a nominal interest expense, deductible for tax purposes, on their net equity. The value of the interest on the net equity is considered as a dividend and, when applicable, presented in these consolidated financial statements as a direct reduction in the stockholders' equity. </w:t>
      </w:r>
    </w:p>
    <w:p w14:paraId="282DBBBD" w14:textId="77777777" w:rsidR="005357C6" w:rsidRDefault="005357C6" w:rsidP="000A10CA">
      <w:pPr>
        <w:spacing w:before="120" w:after="120"/>
        <w:jc w:val="both"/>
        <w:rPr>
          <w:rFonts w:eastAsia="Times New Roman" w:cs="Arial"/>
          <w:spacing w:val="-2"/>
          <w:szCs w:val="18"/>
          <w:lang w:val="en-US" w:eastAsia="pt-BR"/>
        </w:rPr>
      </w:pPr>
      <w:r>
        <w:rPr>
          <w:rFonts w:eastAsia="Times New Roman" w:cs="Arial"/>
          <w:spacing w:val="-2"/>
          <w:szCs w:val="18"/>
          <w:lang w:val="en-US" w:eastAsia="pt-BR"/>
        </w:rPr>
        <w:t>Under the current dividends policy, BB Seguridade distributes to shareholders, as mandatory dividends, a portion corresponding to at least 25% of the adjusted net profit with the deductions and increases provided for in Art. 202 of Law 6.404/76, which are recognized as a liability and deducted from the shareholders' equity when allocating the income for the year.</w:t>
      </w:r>
    </w:p>
    <w:p w14:paraId="7D881773" w14:textId="77777777" w:rsidR="005357C6" w:rsidRPr="00481176" w:rsidRDefault="005357C6" w:rsidP="000A10CA">
      <w:pPr>
        <w:spacing w:before="120" w:after="120"/>
        <w:jc w:val="both"/>
        <w:rPr>
          <w:rFonts w:eastAsia="Times New Roman" w:cs="Arial"/>
          <w:spacing w:val="-2"/>
          <w:szCs w:val="18"/>
          <w:lang w:val="en-US" w:eastAsia="pt-BR"/>
        </w:rPr>
      </w:pPr>
      <w:r w:rsidRPr="00C85CE7">
        <w:rPr>
          <w:rFonts w:eastAsia="Times New Roman" w:cs="Arial"/>
          <w:spacing w:val="-2"/>
          <w:szCs w:val="18"/>
          <w:lang w:val="en-US" w:eastAsia="pt-BR"/>
        </w:rPr>
        <w:t>During the year, there was no recognition and payment of interest on shareholders' equity.</w:t>
      </w:r>
    </w:p>
    <w:p w14:paraId="68F89627" w14:textId="77777777" w:rsidR="005357C6" w:rsidRPr="00EB4ACA" w:rsidRDefault="005357C6" w:rsidP="00481176">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m</w:t>
      </w:r>
      <w:r w:rsidRPr="00EB4ACA">
        <w:rPr>
          <w:rFonts w:eastAsia="Times New Roman" w:cs="Times New Roman"/>
          <w:b/>
          <w:color w:val="244061"/>
          <w:spacing w:val="-2"/>
          <w:szCs w:val="18"/>
          <w:lang w:val="en-US" w:eastAsia="pt-BR"/>
        </w:rPr>
        <w:t>) Earning per share</w:t>
      </w:r>
    </w:p>
    <w:p w14:paraId="23A54E48" w14:textId="77777777" w:rsidR="005357C6" w:rsidRDefault="005357C6" w:rsidP="000A10CA">
      <w:pPr>
        <w:spacing w:before="120" w:after="120"/>
        <w:jc w:val="both"/>
        <w:rPr>
          <w:rFonts w:eastAsia="Times New Roman" w:cs="Arial"/>
          <w:spacing w:val="-2"/>
          <w:szCs w:val="18"/>
          <w:lang w:val="en-US" w:eastAsia="pt-BR"/>
        </w:rPr>
      </w:pPr>
      <w:r>
        <w:rPr>
          <w:rFonts w:eastAsia="Times New Roman" w:cs="Arial"/>
          <w:spacing w:val="-2"/>
          <w:szCs w:val="18"/>
          <w:lang w:val="en-US" w:eastAsia="pt-BR"/>
        </w:rPr>
        <w:t xml:space="preserve">The disclosure of the earnings per share is made in accordance with the criteria defined in the CPC 41 [IAS 33] – Earnings per Share – approved by the CVM Resolution 636/2010. The basic and diluted earnings per share of BB Seguridade was calculated by dividing the net profit attributable to the shareholders by the weighted average number of total common shares, excluding treasury shares. BB Seguridade has no option instruments, subscription bonus or their equivalents that provide for its holder the right to acquire shares. Thus, basic and diluted earnings per share are equivalents. </w:t>
      </w:r>
    </w:p>
    <w:p w14:paraId="17B8DA27" w14:textId="77777777" w:rsidR="005357C6" w:rsidRPr="001358CA" w:rsidRDefault="005357C6" w:rsidP="00273CA3">
      <w:pPr>
        <w:spacing w:before="120" w:after="120"/>
        <w:jc w:val="both"/>
        <w:rPr>
          <w:rFonts w:eastAsia="Times New Roman" w:cs="Times New Roman"/>
          <w:b/>
          <w:color w:val="244061"/>
          <w:spacing w:val="-2"/>
          <w:szCs w:val="18"/>
          <w:lang w:val="en-US" w:eastAsia="pt-BR"/>
        </w:rPr>
      </w:pPr>
      <w:r>
        <w:rPr>
          <w:rFonts w:eastAsia="Times New Roman" w:cs="Times New Roman"/>
          <w:b/>
          <w:color w:val="244061"/>
          <w:spacing w:val="-2"/>
          <w:szCs w:val="18"/>
          <w:lang w:val="en-US" w:eastAsia="pt-BR"/>
        </w:rPr>
        <w:t>n</w:t>
      </w:r>
      <w:r w:rsidRPr="00481176">
        <w:rPr>
          <w:rFonts w:eastAsia="Times New Roman" w:cs="Times New Roman"/>
          <w:b/>
          <w:color w:val="244061"/>
          <w:spacing w:val="-2"/>
          <w:szCs w:val="18"/>
          <w:lang w:val="en-US" w:eastAsia="pt-BR"/>
        </w:rPr>
        <w:t xml:space="preserve">) </w:t>
      </w:r>
      <w:r>
        <w:rPr>
          <w:rFonts w:eastAsia="Times New Roman" w:cs="Times New Roman"/>
          <w:b/>
          <w:color w:val="244061"/>
          <w:spacing w:val="-2"/>
          <w:szCs w:val="18"/>
          <w:lang w:val="en-US" w:eastAsia="pt-BR"/>
        </w:rPr>
        <w:t>Leases</w:t>
      </w:r>
    </w:p>
    <w:p w14:paraId="2995D446" w14:textId="77777777" w:rsidR="005357C6" w:rsidRPr="000A10CA" w:rsidRDefault="005357C6" w:rsidP="000A10CA">
      <w:pPr>
        <w:spacing w:before="120" w:after="120"/>
        <w:jc w:val="both"/>
        <w:rPr>
          <w:rFonts w:eastAsia="Times New Roman" w:cs="Times New Roman"/>
          <w:spacing w:val="-2"/>
          <w:szCs w:val="18"/>
          <w:lang w:val="en-US" w:eastAsia="pt-BR"/>
        </w:rPr>
      </w:pPr>
      <w:r w:rsidRPr="000A10CA">
        <w:rPr>
          <w:rFonts w:eastAsia="Times New Roman" w:cs="Times New Roman"/>
          <w:spacing w:val="-2"/>
          <w:szCs w:val="18"/>
          <w:lang w:val="en-US" w:eastAsia="pt-BR"/>
        </w:rPr>
        <w:t xml:space="preserve">The recognition, measurement and disclosure of leases are carried out in accordance with the criteria defined in the CPC 06 (R2) </w:t>
      </w:r>
      <w:r>
        <w:rPr>
          <w:rFonts w:eastAsia="Times New Roman" w:cs="Times New Roman"/>
          <w:spacing w:val="-2"/>
          <w:szCs w:val="18"/>
          <w:lang w:val="en-US" w:eastAsia="pt-BR"/>
        </w:rPr>
        <w:t>[</w:t>
      </w:r>
      <w:r w:rsidRPr="000A10CA">
        <w:rPr>
          <w:rFonts w:eastAsia="Times New Roman" w:cs="Times New Roman"/>
          <w:spacing w:val="-2"/>
          <w:szCs w:val="18"/>
          <w:lang w:val="en-US" w:eastAsia="pt-BR"/>
        </w:rPr>
        <w:t>IFRS 16</w:t>
      </w:r>
      <w:r>
        <w:rPr>
          <w:rFonts w:eastAsia="Times New Roman" w:cs="Times New Roman"/>
          <w:spacing w:val="-2"/>
          <w:szCs w:val="18"/>
          <w:lang w:val="en-US" w:eastAsia="pt-BR"/>
        </w:rPr>
        <w:t>]</w:t>
      </w:r>
      <w:r w:rsidRPr="000A10CA">
        <w:rPr>
          <w:rFonts w:eastAsia="Times New Roman" w:cs="Times New Roman"/>
          <w:spacing w:val="-2"/>
          <w:szCs w:val="18"/>
          <w:lang w:val="en-US" w:eastAsia="pt-BR"/>
        </w:rPr>
        <w:t xml:space="preserve"> – Leases. BB Seguridade and its controlled companies do not have significant lease operations.</w:t>
      </w:r>
    </w:p>
    <w:p w14:paraId="73FD4D8E" w14:textId="77777777" w:rsidR="005357C6" w:rsidRPr="000A10CA" w:rsidRDefault="005357C6" w:rsidP="000A10CA">
      <w:pPr>
        <w:spacing w:before="120" w:after="120"/>
        <w:jc w:val="both"/>
        <w:rPr>
          <w:rFonts w:eastAsia="Times New Roman" w:cs="Times New Roman"/>
          <w:spacing w:val="-2"/>
          <w:szCs w:val="18"/>
          <w:lang w:val="en-US" w:eastAsia="pt-BR"/>
        </w:rPr>
      </w:pPr>
      <w:r w:rsidRPr="000A10CA">
        <w:rPr>
          <w:rFonts w:eastAsia="Times New Roman" w:cs="Times New Roman"/>
          <w:spacing w:val="-2"/>
          <w:szCs w:val="18"/>
          <w:lang w:val="en-US" w:eastAsia="pt-BR"/>
        </w:rPr>
        <w:t>Lease operations are present in insurance companies and health operators in which BB Seguridade has an interest. For insurance companies, the Superintendência de Seguros Privados (</w:t>
      </w:r>
      <w:r>
        <w:rPr>
          <w:rFonts w:eastAsia="Times New Roman" w:cs="Times New Roman"/>
          <w:spacing w:val="-2"/>
          <w:szCs w:val="18"/>
          <w:lang w:val="en-US" w:eastAsia="pt-BR"/>
        </w:rPr>
        <w:t>SUSEP</w:t>
      </w:r>
      <w:r w:rsidRPr="000A10CA">
        <w:rPr>
          <w:rFonts w:eastAsia="Times New Roman" w:cs="Times New Roman"/>
          <w:spacing w:val="-2"/>
          <w:szCs w:val="18"/>
          <w:lang w:val="en-US" w:eastAsia="pt-BR"/>
        </w:rPr>
        <w:t>) approved, through Circular No. 615, of September 2020, the adoption of the CPC 06 (R2)</w:t>
      </w:r>
      <w:r>
        <w:rPr>
          <w:rFonts w:eastAsia="Times New Roman" w:cs="Times New Roman"/>
          <w:spacing w:val="-2"/>
          <w:szCs w:val="18"/>
          <w:lang w:val="en-US" w:eastAsia="pt-BR"/>
        </w:rPr>
        <w:t xml:space="preserve"> [IFRS 16]</w:t>
      </w:r>
      <w:r w:rsidRPr="000A10CA">
        <w:rPr>
          <w:rFonts w:eastAsia="Times New Roman" w:cs="Times New Roman"/>
          <w:spacing w:val="-2"/>
          <w:szCs w:val="18"/>
          <w:lang w:val="en-US" w:eastAsia="pt-BR"/>
        </w:rPr>
        <w:t xml:space="preserve"> – Leases, effective from January 1, 2021. </w:t>
      </w:r>
      <w:r w:rsidRPr="00A63204">
        <w:rPr>
          <w:rFonts w:eastAsia="Times New Roman" w:cs="Times New Roman"/>
          <w:spacing w:val="-2"/>
          <w:szCs w:val="18"/>
          <w:lang w:val="en-US" w:eastAsia="pt-BR"/>
        </w:rPr>
        <w:t>For health operators, the National Supplementary Health Agency (ANS) approved, through Normative Resolution No. 472, of September 2021, the adoption of that standard as of January 1, 2022.</w:t>
      </w:r>
    </w:p>
    <w:p w14:paraId="57952F67" w14:textId="77777777" w:rsidR="005357C6" w:rsidRPr="000A10CA" w:rsidRDefault="005357C6" w:rsidP="000A10CA">
      <w:pPr>
        <w:spacing w:before="120" w:after="120"/>
        <w:jc w:val="both"/>
        <w:rPr>
          <w:rFonts w:eastAsia="Times New Roman" w:cs="Times New Roman"/>
          <w:spacing w:val="-2"/>
          <w:szCs w:val="18"/>
          <w:lang w:val="en-US" w:eastAsia="pt-BR"/>
        </w:rPr>
      </w:pPr>
      <w:r w:rsidRPr="000A10CA">
        <w:rPr>
          <w:rFonts w:eastAsia="Times New Roman" w:cs="Times New Roman"/>
          <w:spacing w:val="-2"/>
          <w:szCs w:val="18"/>
          <w:lang w:val="en-US" w:eastAsia="pt-BR"/>
        </w:rPr>
        <w:t>When there is a divergence in the accounting practice adopted by the investor in relation to the affiliate companies, adjustment procedures are necessary for purposes of standardization. Considering the current lease operations of the affiliate companies, the necessary adjustments in investments were carried out in order standardize the practices.</w:t>
      </w:r>
    </w:p>
    <w:p w14:paraId="11487523" w14:textId="77777777" w:rsidR="005357C6" w:rsidRDefault="005357C6" w:rsidP="000A10CA">
      <w:pPr>
        <w:spacing w:before="120" w:after="120"/>
        <w:jc w:val="both"/>
        <w:rPr>
          <w:rFonts w:eastAsia="Times New Roman" w:cs="Times New Roman"/>
          <w:spacing w:val="-2"/>
          <w:szCs w:val="18"/>
          <w:lang w:val="en-US" w:eastAsia="pt-BR"/>
        </w:rPr>
      </w:pPr>
      <w:r w:rsidRPr="00A63204">
        <w:rPr>
          <w:rFonts w:eastAsia="Times New Roman" w:cs="Times New Roman"/>
          <w:spacing w:val="-2"/>
          <w:szCs w:val="18"/>
          <w:lang w:val="en-US" w:eastAsia="pt-BR"/>
        </w:rPr>
        <w:t>The companies Brasilseg, Aliança do Brasil Seguros, Brasilprev and Brasilcap (from January 1, 2021) and Brasildental (from January 1, 2022) started to adopt CPC 06 (R2) [IFRS 16] – Leases, since then, there is no divergence of accounting practice related to the treatment of leases, leaving only the balance of difference in practice from periods prior to the adoption of the CPC, shown in Note 07 – Investments in Equity Interests.</w:t>
      </w:r>
    </w:p>
    <w:p w14:paraId="23C276B7" w14:textId="77777777" w:rsidR="005357C6" w:rsidRPr="00C23B25" w:rsidRDefault="005357C6" w:rsidP="000A10CA">
      <w:pPr>
        <w:spacing w:before="120" w:after="120"/>
        <w:jc w:val="both"/>
        <w:rPr>
          <w:rFonts w:eastAsia="Times New Roman" w:cs="Arial"/>
          <w:b/>
          <w:color w:val="1F3864" w:themeColor="accent5" w:themeShade="80"/>
          <w:spacing w:val="-2"/>
          <w:szCs w:val="18"/>
          <w:lang w:val="en-US" w:eastAsia="pt-BR"/>
        </w:rPr>
      </w:pPr>
      <w:r>
        <w:rPr>
          <w:rFonts w:eastAsia="Times New Roman" w:cs="Times New Roman"/>
          <w:b/>
          <w:color w:val="1F3864" w:themeColor="accent5" w:themeShade="80"/>
          <w:spacing w:val="-2"/>
          <w:szCs w:val="18"/>
          <w:lang w:val="en-US" w:eastAsia="pt-BR"/>
        </w:rPr>
        <w:t>o</w:t>
      </w:r>
      <w:r w:rsidRPr="00C23B25">
        <w:rPr>
          <w:rFonts w:eastAsia="Times New Roman" w:cs="Times New Roman"/>
          <w:b/>
          <w:color w:val="1F3864" w:themeColor="accent5" w:themeShade="80"/>
          <w:spacing w:val="-2"/>
          <w:szCs w:val="18"/>
          <w:lang w:val="en-US" w:eastAsia="pt-BR"/>
        </w:rPr>
        <w:t xml:space="preserve">) </w:t>
      </w:r>
      <w:r>
        <w:rPr>
          <w:rFonts w:eastAsia="Times New Roman" w:cs="Times New Roman"/>
          <w:b/>
          <w:color w:val="1F3864" w:themeColor="accent5" w:themeShade="80"/>
          <w:spacing w:val="-2"/>
          <w:szCs w:val="18"/>
          <w:lang w:val="en-US" w:eastAsia="pt-BR"/>
        </w:rPr>
        <w:t>Improvements to the IFRS and Recently Issued Pronouncements</w:t>
      </w:r>
    </w:p>
    <w:p w14:paraId="76510A64" w14:textId="77777777" w:rsidR="005357C6" w:rsidRDefault="005357C6" w:rsidP="000A10CA">
      <w:pPr>
        <w:spacing w:before="120" w:after="120"/>
        <w:jc w:val="both"/>
        <w:rPr>
          <w:rFonts w:eastAsia="Times New Roman" w:cs="Arial"/>
          <w:color w:val="000000" w:themeColor="text1"/>
          <w:spacing w:val="-2"/>
          <w:szCs w:val="18"/>
          <w:lang w:val="en-US" w:eastAsia="pt-BR"/>
        </w:rPr>
      </w:pPr>
      <w:r w:rsidRPr="005F2641">
        <w:rPr>
          <w:rFonts w:eastAsia="Times New Roman" w:cs="Arial"/>
          <w:color w:val="000000" w:themeColor="text1"/>
          <w:spacing w:val="-2"/>
          <w:szCs w:val="18"/>
          <w:lang w:val="en-US" w:eastAsia="pt-BR"/>
        </w:rPr>
        <w:t>Improvements to IFRS are amendments issued by the International Accounting Standards Board (IASB) and comprise changes in the recognition, measurement and disclosure rules related to several IFRS. We present below a summary of the main amendments, as well as the interpretations and pronouncements recently issued by the IASB and the Accounting Pronouncements Committee - CPC, which will come into effect after the year ended December 31, 2022:</w:t>
      </w:r>
    </w:p>
    <w:p w14:paraId="1E089C36"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4908CB">
        <w:rPr>
          <w:rFonts w:eastAsia="Times New Roman" w:cs="Times New Roman"/>
          <w:b/>
          <w:color w:val="1F3864" w:themeColor="accent5" w:themeShade="80"/>
          <w:spacing w:val="-2"/>
          <w:szCs w:val="18"/>
          <w:lang w:val="en-US" w:eastAsia="pt-BR"/>
        </w:rPr>
        <w:lastRenderedPageBreak/>
        <w:t>CPC 50 [IFRS 17] – Insurance Contracts</w:t>
      </w:r>
      <w:r w:rsidRPr="00E375F9">
        <w:rPr>
          <w:rFonts w:eastAsia="Times New Roman" w:cs="Arial"/>
          <w:color w:val="000000" w:themeColor="text1"/>
          <w:spacing w:val="-2"/>
          <w:szCs w:val="18"/>
          <w:lang w:val="en-US" w:eastAsia="pt-BR"/>
        </w:rPr>
        <w:t xml:space="preserve"> – The IASB issued </w:t>
      </w:r>
      <w:r>
        <w:rPr>
          <w:rFonts w:eastAsia="Times New Roman" w:cs="Arial"/>
          <w:color w:val="000000" w:themeColor="text1"/>
          <w:spacing w:val="-2"/>
          <w:szCs w:val="18"/>
          <w:lang w:val="en-US" w:eastAsia="pt-BR"/>
        </w:rPr>
        <w:t xml:space="preserve">the </w:t>
      </w:r>
      <w:r w:rsidRPr="00E375F9">
        <w:rPr>
          <w:rFonts w:eastAsia="Times New Roman" w:cs="Arial"/>
          <w:color w:val="000000" w:themeColor="text1"/>
          <w:spacing w:val="-2"/>
          <w:szCs w:val="18"/>
          <w:lang w:val="en-US" w:eastAsia="pt-BR"/>
        </w:rPr>
        <w:t xml:space="preserve">IFRS 17 [CPC 50], replacing IFRS 4 [CPC 11] – Insurance Contracts, which establishes the principles for the recognition, measurement, presentation and disclosure of insurance contracts within the </w:t>
      </w:r>
      <w:r>
        <w:rPr>
          <w:rFonts w:eastAsia="Times New Roman" w:cs="Arial"/>
          <w:color w:val="000000" w:themeColor="text1"/>
          <w:spacing w:val="-2"/>
          <w:szCs w:val="18"/>
          <w:lang w:val="en-US" w:eastAsia="pt-BR"/>
        </w:rPr>
        <w:t xml:space="preserve">standard </w:t>
      </w:r>
      <w:r w:rsidRPr="00E375F9">
        <w:rPr>
          <w:rFonts w:eastAsia="Times New Roman" w:cs="Arial"/>
          <w:color w:val="000000" w:themeColor="text1"/>
          <w:spacing w:val="-2"/>
          <w:szCs w:val="18"/>
          <w:lang w:val="en-US" w:eastAsia="pt-BR"/>
        </w:rPr>
        <w:t>scope. The objective of IFRS 17 [CPC 50] is to ensure that an entity provides relevant information that faithfully represents these contracts. That information provides a basis for users of financial statements to assess the effect that insurance contracts have on the entity's financial position, financial performance and cash flows.</w:t>
      </w:r>
    </w:p>
    <w:p w14:paraId="4B5D7D16" w14:textId="6A665830"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 xml:space="preserve">The new standard </w:t>
      </w:r>
      <w:r>
        <w:rPr>
          <w:rFonts w:eastAsia="Times New Roman" w:cs="Arial"/>
          <w:color w:val="000000" w:themeColor="text1"/>
          <w:spacing w:val="-2"/>
          <w:szCs w:val="18"/>
          <w:lang w:val="en-US" w:eastAsia="pt-BR"/>
        </w:rPr>
        <w:t>seeks</w:t>
      </w:r>
      <w:r w:rsidRPr="00E375F9">
        <w:rPr>
          <w:rFonts w:eastAsia="Times New Roman" w:cs="Arial"/>
          <w:color w:val="000000" w:themeColor="text1"/>
          <w:spacing w:val="-2"/>
          <w:szCs w:val="18"/>
          <w:lang w:val="en-US" w:eastAsia="pt-BR"/>
        </w:rPr>
        <w:t xml:space="preserve"> to solve some inadequacies in the wide variety of existing accounting practices in the global insurance market, which impaired the comparability of accounting information from insurers in different jurisdictions. The regulation requires all insurers to reflect the effects of changes in their financial statements timely and transparent</w:t>
      </w:r>
      <w:r>
        <w:rPr>
          <w:rFonts w:eastAsia="Times New Roman" w:cs="Arial"/>
          <w:color w:val="000000" w:themeColor="text1"/>
          <w:spacing w:val="-2"/>
          <w:szCs w:val="18"/>
          <w:lang w:val="en-US" w:eastAsia="pt-BR"/>
        </w:rPr>
        <w:t>ly</w:t>
      </w:r>
      <w:r w:rsidRPr="00E375F9">
        <w:rPr>
          <w:rFonts w:eastAsia="Times New Roman" w:cs="Arial"/>
          <w:color w:val="000000" w:themeColor="text1"/>
          <w:spacing w:val="-2"/>
          <w:szCs w:val="18"/>
          <w:lang w:val="en-US" w:eastAsia="pt-BR"/>
        </w:rPr>
        <w:t xml:space="preserve"> manner, providing improved information about the current and future profitability of their insurance contracts.</w:t>
      </w:r>
    </w:p>
    <w:p w14:paraId="5C949B0B"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In addition to this comparability, the standard instituted insurance contract grouping levels (</w:t>
      </w:r>
      <w:r>
        <w:rPr>
          <w:rFonts w:eastAsia="Times New Roman" w:cs="Arial"/>
          <w:color w:val="000000" w:themeColor="text1"/>
          <w:spacing w:val="-2"/>
          <w:szCs w:val="18"/>
          <w:lang w:val="en-US" w:eastAsia="pt-BR"/>
        </w:rPr>
        <w:t>vintage</w:t>
      </w:r>
      <w:r w:rsidRPr="00E375F9">
        <w:rPr>
          <w:rFonts w:eastAsia="Times New Roman" w:cs="Arial"/>
          <w:color w:val="000000" w:themeColor="text1"/>
          <w:spacing w:val="-2"/>
          <w:szCs w:val="18"/>
          <w:lang w:val="en-US" w:eastAsia="pt-BR"/>
        </w:rPr>
        <w:t xml:space="preserve"> level, portfolio and groups) and application of accounting models that must be defined according to the characteristics of insurance contracts. These models are divided into:</w:t>
      </w:r>
    </w:p>
    <w:p w14:paraId="4C0CDDF8" w14:textId="77777777" w:rsidR="005357C6" w:rsidRPr="00B21132" w:rsidRDefault="005357C6" w:rsidP="00910B6A">
      <w:pPr>
        <w:pStyle w:val="05-Textonormal"/>
        <w:ind w:left="720" w:hanging="360"/>
        <w:rPr>
          <w:i/>
          <w:iCs/>
          <w:lang w:val="en-US"/>
        </w:rPr>
      </w:pPr>
      <w:r w:rsidRPr="00B21132">
        <w:rPr>
          <w:i/>
          <w:iCs/>
          <w:lang w:val="en-US"/>
        </w:rPr>
        <w:t xml:space="preserve">• BBA - </w:t>
      </w:r>
      <w:r w:rsidRPr="00B21132">
        <w:rPr>
          <w:lang w:val="en-US"/>
        </w:rPr>
        <w:t>Building Block Approach (General Measurement Model): standard model for all insurance contracts.</w:t>
      </w:r>
    </w:p>
    <w:p w14:paraId="24AC5F4B" w14:textId="77777777" w:rsidR="005357C6" w:rsidRPr="004908CB" w:rsidRDefault="005357C6" w:rsidP="00910B6A">
      <w:pPr>
        <w:pStyle w:val="05-Textonormal"/>
        <w:ind w:left="357"/>
        <w:rPr>
          <w:i/>
          <w:iCs/>
          <w:lang w:val="en-US"/>
        </w:rPr>
      </w:pPr>
      <w:r w:rsidRPr="004908CB">
        <w:rPr>
          <w:i/>
          <w:iCs/>
          <w:lang w:val="en-US"/>
        </w:rPr>
        <w:t xml:space="preserve">• PAA - </w:t>
      </w:r>
      <w:r w:rsidRPr="004908CB">
        <w:rPr>
          <w:lang w:val="en-US"/>
        </w:rPr>
        <w:t>Premium Allocation Approach: optional simplified model, indicated for short-term contracts (coverage up to one year) or when the remaining coverage is not materially different from the value calculated in the BBA model.</w:t>
      </w:r>
    </w:p>
    <w:p w14:paraId="03D07ED1" w14:textId="77777777" w:rsidR="005357C6" w:rsidRPr="00B21132" w:rsidRDefault="005357C6" w:rsidP="00910B6A">
      <w:pPr>
        <w:pStyle w:val="05-Textonormal"/>
        <w:ind w:left="720" w:hanging="360"/>
        <w:rPr>
          <w:i/>
          <w:iCs/>
          <w:lang w:val="en-US"/>
        </w:rPr>
      </w:pPr>
      <w:r w:rsidRPr="00B21132">
        <w:rPr>
          <w:i/>
          <w:iCs/>
          <w:lang w:val="en-US"/>
        </w:rPr>
        <w:t xml:space="preserve">• VFA - </w:t>
      </w:r>
      <w:r w:rsidRPr="00B21132">
        <w:rPr>
          <w:lang w:val="en-US"/>
        </w:rPr>
        <w:t>Variable Fee Approach: model for dealing with contracts with underlying return components.</w:t>
      </w:r>
    </w:p>
    <w:p w14:paraId="709DBEBC"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 xml:space="preserve">Upon initial recognition of the BBA model, estimates of future cash flows, adjustments to the time value of money (adjustments to present value) and adjustments for non-financial risks must be considered to assess whether the contract is in surplus or in deficit. </w:t>
      </w:r>
      <w:r>
        <w:rPr>
          <w:rFonts w:eastAsia="Times New Roman" w:cs="Arial"/>
          <w:color w:val="000000" w:themeColor="text1"/>
          <w:spacing w:val="-2"/>
          <w:szCs w:val="18"/>
          <w:lang w:val="en-US" w:eastAsia="pt-BR"/>
        </w:rPr>
        <w:t>Thus</w:t>
      </w:r>
      <w:r w:rsidRPr="00E375F9">
        <w:rPr>
          <w:rFonts w:eastAsia="Times New Roman" w:cs="Arial"/>
          <w:color w:val="000000" w:themeColor="text1"/>
          <w:spacing w:val="-2"/>
          <w:szCs w:val="18"/>
          <w:lang w:val="en-US" w:eastAsia="pt-BR"/>
        </w:rPr>
        <w:t>, the concept of contractual service margin (CSM – Contractual Service Margin) arises, which should be accounted for in liabilities, being converted to revenue over the term of the contract. In the case of onerous contracts (when this contractual service margin i</w:t>
      </w:r>
      <w:r>
        <w:rPr>
          <w:rFonts w:eastAsia="Times New Roman" w:cs="Arial"/>
          <w:color w:val="000000" w:themeColor="text1"/>
          <w:spacing w:val="-2"/>
          <w:szCs w:val="18"/>
          <w:lang w:val="en-US" w:eastAsia="pt-BR"/>
        </w:rPr>
        <w:t>n</w:t>
      </w:r>
      <w:r w:rsidRPr="00E375F9">
        <w:rPr>
          <w:rFonts w:eastAsia="Times New Roman" w:cs="Arial"/>
          <w:color w:val="000000" w:themeColor="text1"/>
          <w:spacing w:val="-2"/>
          <w:szCs w:val="18"/>
          <w:lang w:val="en-US" w:eastAsia="pt-BR"/>
        </w:rPr>
        <w:t xml:space="preserve"> deficit), these amounts must be immediately re</w:t>
      </w:r>
      <w:r>
        <w:rPr>
          <w:rFonts w:eastAsia="Times New Roman" w:cs="Arial"/>
          <w:color w:val="000000" w:themeColor="text1"/>
          <w:spacing w:val="-2"/>
          <w:szCs w:val="18"/>
          <w:lang w:val="en-US" w:eastAsia="pt-BR"/>
        </w:rPr>
        <w:t>gistred</w:t>
      </w:r>
      <w:r w:rsidRPr="00E375F9">
        <w:rPr>
          <w:rFonts w:eastAsia="Times New Roman" w:cs="Arial"/>
          <w:color w:val="000000" w:themeColor="text1"/>
          <w:spacing w:val="-2"/>
          <w:szCs w:val="18"/>
          <w:lang w:val="en-US" w:eastAsia="pt-BR"/>
        </w:rPr>
        <w:t xml:space="preserve"> in income.</w:t>
      </w:r>
    </w:p>
    <w:p w14:paraId="6EAB35F2"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In the PAA model, based on the remaining coverage liability, similar to the current methodology of unearned premiums, liability amounts are recognized in income according to the term of the contracts.</w:t>
      </w:r>
    </w:p>
    <w:p w14:paraId="3941644C" w14:textId="77777777" w:rsidR="005357C6"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In May 2021, the Accounting Pronouncements Committee issued Technical Pronouncement CPC 50 – Insurance Contracts, a standard equivalent to IFRS 17, which was approved by the CVM in July</w:t>
      </w:r>
      <w:r>
        <w:rPr>
          <w:rFonts w:eastAsia="Times New Roman" w:cs="Arial"/>
          <w:color w:val="000000" w:themeColor="text1"/>
          <w:spacing w:val="-2"/>
          <w:szCs w:val="18"/>
          <w:lang w:val="en-US" w:eastAsia="pt-BR"/>
        </w:rPr>
        <w:t>,</w:t>
      </w:r>
      <w:r w:rsidRPr="00E375F9">
        <w:rPr>
          <w:rFonts w:eastAsia="Times New Roman" w:cs="Arial"/>
          <w:color w:val="000000" w:themeColor="text1"/>
          <w:spacing w:val="-2"/>
          <w:szCs w:val="18"/>
          <w:lang w:val="en-US" w:eastAsia="pt-BR"/>
        </w:rPr>
        <w:t xml:space="preserve"> 2021, through CVM Resolution 42/2021. The effectiveness of this pronouncement will be established by  other regulatory </w:t>
      </w:r>
      <w:r>
        <w:rPr>
          <w:rFonts w:eastAsia="Times New Roman" w:cs="Arial"/>
          <w:color w:val="000000" w:themeColor="text1"/>
          <w:spacing w:val="-2"/>
          <w:szCs w:val="18"/>
          <w:lang w:val="en-US" w:eastAsia="pt-BR"/>
        </w:rPr>
        <w:t>bureaus</w:t>
      </w:r>
      <w:r w:rsidRPr="00E375F9">
        <w:rPr>
          <w:rFonts w:eastAsia="Times New Roman" w:cs="Arial"/>
          <w:color w:val="000000" w:themeColor="text1"/>
          <w:spacing w:val="-2"/>
          <w:szCs w:val="18"/>
          <w:lang w:val="en-US" w:eastAsia="pt-BR"/>
        </w:rPr>
        <w:t xml:space="preserve"> approv</w:t>
      </w:r>
      <w:r>
        <w:rPr>
          <w:rFonts w:eastAsia="Times New Roman" w:cs="Arial"/>
          <w:color w:val="000000" w:themeColor="text1"/>
          <w:spacing w:val="-2"/>
          <w:szCs w:val="18"/>
          <w:lang w:val="en-US" w:eastAsia="pt-BR"/>
        </w:rPr>
        <w:t>ing</w:t>
      </w:r>
      <w:r w:rsidRPr="00E375F9">
        <w:rPr>
          <w:rFonts w:eastAsia="Times New Roman" w:cs="Arial"/>
          <w:color w:val="000000" w:themeColor="text1"/>
          <w:spacing w:val="-2"/>
          <w:szCs w:val="18"/>
          <w:lang w:val="en-US" w:eastAsia="pt-BR"/>
        </w:rPr>
        <w:t xml:space="preserve"> it, and for full compliance with international accounting standards, BB Seguridade must apply this pronouncement for annual periods beginning on or after January 1, 2023. was not accepted by Susep and ANS.</w:t>
      </w:r>
    </w:p>
    <w:p w14:paraId="1CB19A4B"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4908CB">
        <w:rPr>
          <w:rFonts w:eastAsia="Times New Roman" w:cs="Times New Roman"/>
          <w:b/>
          <w:color w:val="1F3864" w:themeColor="accent5" w:themeShade="80"/>
          <w:spacing w:val="-2"/>
          <w:szCs w:val="18"/>
          <w:lang w:val="en-US" w:eastAsia="pt-BR"/>
        </w:rPr>
        <w:t>CPC 48 [IFRS 9] – Financial Instruments</w:t>
      </w:r>
      <w:r w:rsidRPr="00E375F9">
        <w:rPr>
          <w:rFonts w:eastAsia="Times New Roman" w:cs="Arial"/>
          <w:color w:val="000000" w:themeColor="text1"/>
          <w:spacing w:val="-2"/>
          <w:szCs w:val="18"/>
          <w:lang w:val="en-US" w:eastAsia="pt-BR"/>
        </w:rPr>
        <w:t xml:space="preserve"> – For companies regulated by the CVM, IFRS 9 [CPC 48] came into force for the years beginning on or after January 1, 2018 and introduced changes with respect to the classification level and measurement of financial instruments, calculation and recognition of impairment, new rules for hedge accounting and respective disclosures.</w:t>
      </w:r>
    </w:p>
    <w:p w14:paraId="6478EB30"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 xml:space="preserve">For entities that transact insurance contracts, due to the complexity and requirements associated with the implementation of IFRS 9 [CPC 48] in conjunction with IFRS 17 [CPC 50], the IASB allowed the extension of the </w:t>
      </w:r>
      <w:r>
        <w:rPr>
          <w:rFonts w:eastAsia="Times New Roman" w:cs="Arial"/>
          <w:color w:val="000000" w:themeColor="text1"/>
          <w:spacing w:val="-2"/>
          <w:szCs w:val="18"/>
          <w:lang w:val="en-US" w:eastAsia="pt-BR"/>
        </w:rPr>
        <w:t xml:space="preserve">standard’s validity </w:t>
      </w:r>
      <w:r w:rsidRPr="00E375F9">
        <w:rPr>
          <w:rFonts w:eastAsia="Times New Roman" w:cs="Arial"/>
          <w:color w:val="000000" w:themeColor="text1"/>
          <w:spacing w:val="-2"/>
          <w:szCs w:val="18"/>
          <w:lang w:val="en-US" w:eastAsia="pt-BR"/>
        </w:rPr>
        <w:t>effective</w:t>
      </w:r>
      <w:r>
        <w:rPr>
          <w:rFonts w:eastAsia="Times New Roman" w:cs="Arial"/>
          <w:color w:val="000000" w:themeColor="text1"/>
          <w:spacing w:val="-2"/>
          <w:szCs w:val="18"/>
          <w:lang w:val="en-US" w:eastAsia="pt-BR"/>
        </w:rPr>
        <w:t xml:space="preserve"> </w:t>
      </w:r>
      <w:r w:rsidRPr="00E375F9">
        <w:rPr>
          <w:rFonts w:eastAsia="Times New Roman" w:cs="Arial"/>
          <w:color w:val="000000" w:themeColor="text1"/>
          <w:spacing w:val="-2"/>
          <w:szCs w:val="18"/>
          <w:lang w:val="en-US" w:eastAsia="pt-BR"/>
        </w:rPr>
        <w:t>date for annual periods started on or after January 1, 2023, to allow for the implementation of these standards together. The CPC adopted the same decision, through Revision No. 20/2021.</w:t>
      </w:r>
    </w:p>
    <w:p w14:paraId="0DE37645"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 xml:space="preserve">Regarding the adoption of CPC 48 [IFRS 9] by the entities </w:t>
      </w:r>
      <w:r>
        <w:rPr>
          <w:rFonts w:eastAsia="Times New Roman" w:cs="Arial"/>
          <w:color w:val="000000" w:themeColor="text1"/>
          <w:spacing w:val="-2"/>
          <w:szCs w:val="18"/>
          <w:lang w:val="en-US" w:eastAsia="pt-BR"/>
        </w:rPr>
        <w:t>overseen</w:t>
      </w:r>
      <w:r w:rsidRPr="00E375F9">
        <w:rPr>
          <w:rFonts w:eastAsia="Times New Roman" w:cs="Arial"/>
          <w:color w:val="000000" w:themeColor="text1"/>
          <w:spacing w:val="-2"/>
          <w:szCs w:val="18"/>
          <w:lang w:val="en-US" w:eastAsia="pt-BR"/>
        </w:rPr>
        <w:t xml:space="preserve"> by SUSEP, </w:t>
      </w:r>
      <w:r>
        <w:rPr>
          <w:rFonts w:eastAsia="Times New Roman" w:cs="Arial"/>
          <w:color w:val="000000" w:themeColor="text1"/>
          <w:spacing w:val="-2"/>
          <w:szCs w:val="18"/>
          <w:lang w:val="en-US" w:eastAsia="pt-BR"/>
        </w:rPr>
        <w:t xml:space="preserve">the </w:t>
      </w:r>
      <w:r w:rsidRPr="00E375F9">
        <w:rPr>
          <w:rFonts w:eastAsia="Times New Roman" w:cs="Arial"/>
          <w:color w:val="000000" w:themeColor="text1"/>
          <w:spacing w:val="-2"/>
          <w:szCs w:val="18"/>
          <w:lang w:val="en-US" w:eastAsia="pt-BR"/>
        </w:rPr>
        <w:t>financial instrument standard</w:t>
      </w:r>
      <w:r>
        <w:rPr>
          <w:rFonts w:eastAsia="Times New Roman" w:cs="Arial"/>
          <w:color w:val="000000" w:themeColor="text1"/>
          <w:spacing w:val="-2"/>
          <w:szCs w:val="18"/>
          <w:lang w:val="en-US" w:eastAsia="pt-BR"/>
        </w:rPr>
        <w:t xml:space="preserve"> were accepted</w:t>
      </w:r>
      <w:r w:rsidRPr="00E375F9">
        <w:rPr>
          <w:rFonts w:eastAsia="Times New Roman" w:cs="Arial"/>
          <w:color w:val="000000" w:themeColor="text1"/>
          <w:spacing w:val="-2"/>
          <w:szCs w:val="18"/>
          <w:lang w:val="en-US" w:eastAsia="pt-BR"/>
        </w:rPr>
        <w:t>, through SUSEP Circular No. 678, of October 10, 2022, in which it does not contradict the other guidelines and circulars, for periods starting from January</w:t>
      </w:r>
      <w:r>
        <w:rPr>
          <w:rFonts w:eastAsia="Times New Roman" w:cs="Arial"/>
          <w:color w:val="000000" w:themeColor="text1"/>
          <w:spacing w:val="-2"/>
          <w:szCs w:val="18"/>
          <w:lang w:val="en-US" w:eastAsia="pt-BR"/>
        </w:rPr>
        <w:t>,</w:t>
      </w:r>
      <w:r w:rsidRPr="00E375F9">
        <w:rPr>
          <w:rFonts w:eastAsia="Times New Roman" w:cs="Arial"/>
          <w:color w:val="000000" w:themeColor="text1"/>
          <w:spacing w:val="-2"/>
          <w:szCs w:val="18"/>
          <w:lang w:val="en-US" w:eastAsia="pt-BR"/>
        </w:rPr>
        <w:t xml:space="preserve"> 2024.</w:t>
      </w:r>
    </w:p>
    <w:p w14:paraId="6A3CE2C5" w14:textId="77777777" w:rsidR="005357C6" w:rsidRPr="004908CB" w:rsidRDefault="005357C6" w:rsidP="00910B6A">
      <w:pPr>
        <w:spacing w:before="120" w:after="120"/>
        <w:jc w:val="both"/>
        <w:rPr>
          <w:rFonts w:eastAsia="Times New Roman" w:cs="Times New Roman"/>
          <w:b/>
          <w:color w:val="1F3864" w:themeColor="accent5" w:themeShade="80"/>
          <w:spacing w:val="-2"/>
          <w:szCs w:val="18"/>
          <w:lang w:val="en-US" w:eastAsia="pt-BR"/>
        </w:rPr>
      </w:pPr>
      <w:r w:rsidRPr="004908CB">
        <w:rPr>
          <w:rFonts w:eastAsia="Times New Roman" w:cs="Times New Roman"/>
          <w:b/>
          <w:color w:val="1F3864" w:themeColor="accent5" w:themeShade="80"/>
          <w:spacing w:val="-2"/>
          <w:szCs w:val="18"/>
          <w:lang w:val="en-US" w:eastAsia="pt-BR"/>
        </w:rPr>
        <w:t>Pre-transition - Initial adoption of IFRS 17 and IFRS 9 for investees that transact insurance</w:t>
      </w:r>
    </w:p>
    <w:p w14:paraId="3CD49820"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Although CPC 50 [IFRS 17] and CPC 48 [IFRS 9] standards have not yet been approved by SUSEP and ANS (except CPC 48 [IFRS 9], which was approved by SUSEP to start in 2024), the respective investees of BB Seguridade that transact insurance contracts and financial instruments within the scope of the aforementioned standards must prepare their financial statements in the new standard, in order to comply with the accounting standards applicable to BB Seguridade, as of January 1, 2023.</w:t>
      </w:r>
    </w:p>
    <w:p w14:paraId="42DCE76E"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In this sense, at the initial moment of adoption, the impacts on shareholders' equity and investments in equity will be reflected in BB Seguridade's financial statements and, subsequently, the subsequent impacts through equity equivalence.</w:t>
      </w:r>
    </w:p>
    <w:p w14:paraId="2FA73EB4"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 xml:space="preserve">For purposes of comparability and presentation of the financial statements, BB Seguridade will present, in the financial statements for the 1st quarter of 2023, the opening balance corresponding to January 1, 2022 and comparative information, in order to enable the understanding of the adjustments and /or relevant reclassifications of the impacts of adopting </w:t>
      </w:r>
      <w:r>
        <w:rPr>
          <w:rFonts w:eastAsia="Times New Roman" w:cs="Arial"/>
          <w:color w:val="000000" w:themeColor="text1"/>
          <w:spacing w:val="-2"/>
          <w:szCs w:val="18"/>
          <w:lang w:val="en-US" w:eastAsia="pt-BR"/>
        </w:rPr>
        <w:t>the</w:t>
      </w:r>
      <w:r w:rsidRPr="00E375F9">
        <w:rPr>
          <w:rFonts w:eastAsia="Times New Roman" w:cs="Arial"/>
          <w:color w:val="000000" w:themeColor="text1"/>
          <w:spacing w:val="-2"/>
          <w:szCs w:val="18"/>
          <w:lang w:val="en-US" w:eastAsia="pt-BR"/>
        </w:rPr>
        <w:t xml:space="preserve"> standards, as provided for in CPC 23 (R1) [IAS 8] - Accounting Policies, Changes in Estimates and Correction of Errors.</w:t>
      </w:r>
    </w:p>
    <w:p w14:paraId="3E1D4DC4"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 xml:space="preserve">Despite the initial adoption of accounting standards by investors, in which the accounting effects will occur through the harmonization of accounting practices, insurance companies and health plan operators are not yet adopting </w:t>
      </w:r>
      <w:r>
        <w:rPr>
          <w:rFonts w:eastAsia="Times New Roman" w:cs="Arial"/>
          <w:color w:val="000000" w:themeColor="text1"/>
          <w:spacing w:val="-2"/>
          <w:szCs w:val="18"/>
          <w:lang w:val="en-US" w:eastAsia="pt-BR"/>
        </w:rPr>
        <w:t>the</w:t>
      </w:r>
      <w:r w:rsidRPr="00E375F9">
        <w:rPr>
          <w:rFonts w:eastAsia="Times New Roman" w:cs="Arial"/>
          <w:color w:val="000000" w:themeColor="text1"/>
          <w:spacing w:val="-2"/>
          <w:szCs w:val="18"/>
          <w:lang w:val="en-US" w:eastAsia="pt-BR"/>
        </w:rPr>
        <w:t xml:space="preserve"> standards and, therefore, there will be no impacts for the purposes of regulatory requirements, determined by SUSEP and ANS.</w:t>
      </w:r>
    </w:p>
    <w:p w14:paraId="053D31E5" w14:textId="77777777" w:rsidR="005357C6"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lastRenderedPageBreak/>
        <w:t>Likewise, considering that the regulatory and corporate rules for insurance companies and health plan operators will not be affected by the aforementioned accounting standards, no impacts are expected on the distribution of dividends or on the capital management of such companies arising from the harmonization of its accounting practices to those of BB Seguridade and BB Seguros.</w:t>
      </w:r>
    </w:p>
    <w:p w14:paraId="17AFE1EE"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BB Seguridade has been monitoring the progress of the implementation of CPC 50 [IFRS 17] and CPC 48 [IFRS 9] in its respective investees that transact insurance contracts, aiming to meet the requirements of international standards and regulatory bodies of BB Seguridade.</w:t>
      </w:r>
    </w:p>
    <w:p w14:paraId="517B22BA"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Brasilcap's products are not within the scope of CPC 50 [IFRS 17] and the impacts related to CPC 48 [IFRS 9] ha</w:t>
      </w:r>
      <w:r>
        <w:rPr>
          <w:rFonts w:eastAsia="Times New Roman" w:cs="Arial"/>
          <w:color w:val="000000" w:themeColor="text1"/>
          <w:spacing w:val="-2"/>
          <w:szCs w:val="18"/>
          <w:lang w:val="en-US" w:eastAsia="pt-BR"/>
        </w:rPr>
        <w:t>d</w:t>
      </w:r>
      <w:r w:rsidRPr="00E375F9">
        <w:rPr>
          <w:rFonts w:eastAsia="Times New Roman" w:cs="Arial"/>
          <w:color w:val="000000" w:themeColor="text1"/>
          <w:spacing w:val="-2"/>
          <w:szCs w:val="18"/>
          <w:lang w:val="en-US" w:eastAsia="pt-BR"/>
        </w:rPr>
        <w:t xml:space="preserve"> already been</w:t>
      </w:r>
      <w:r>
        <w:rPr>
          <w:rFonts w:eastAsia="Times New Roman" w:cs="Arial"/>
          <w:color w:val="000000" w:themeColor="text1"/>
          <w:spacing w:val="-2"/>
          <w:szCs w:val="18"/>
          <w:lang w:val="en-US" w:eastAsia="pt-BR"/>
        </w:rPr>
        <w:t xml:space="preserve"> being</w:t>
      </w:r>
      <w:r w:rsidRPr="00E375F9">
        <w:rPr>
          <w:rFonts w:eastAsia="Times New Roman" w:cs="Arial"/>
          <w:color w:val="000000" w:themeColor="text1"/>
          <w:spacing w:val="-2"/>
          <w:szCs w:val="18"/>
          <w:lang w:val="en-US" w:eastAsia="pt-BR"/>
        </w:rPr>
        <w:t xml:space="preserve"> recognized at BB Seguridade since 2018, through the harmonization of accounting practices.</w:t>
      </w:r>
    </w:p>
    <w:p w14:paraId="7BF02D68"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The investee companies that transact insurance contracts and which, therefore, will be affected by the aforementioned accounting standards, are Brasilseg and Aliança do Brasil Seguros, controlled by the holding company BB MAPFRE, Brasilprev and Brasildental.</w:t>
      </w:r>
    </w:p>
    <w:p w14:paraId="480AE7F1"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 xml:space="preserve">Certain investees have their implementation process in progress and the respective impacts are being </w:t>
      </w:r>
      <w:r>
        <w:rPr>
          <w:rFonts w:eastAsia="Times New Roman" w:cs="Arial"/>
          <w:color w:val="000000" w:themeColor="text1"/>
          <w:spacing w:val="-2"/>
          <w:szCs w:val="18"/>
          <w:lang w:val="en-US" w:eastAsia="pt-BR"/>
        </w:rPr>
        <w:t>assessed</w:t>
      </w:r>
      <w:r w:rsidRPr="00E375F9">
        <w:rPr>
          <w:rFonts w:eastAsia="Times New Roman" w:cs="Arial"/>
          <w:color w:val="000000" w:themeColor="text1"/>
          <w:spacing w:val="-2"/>
          <w:szCs w:val="18"/>
          <w:lang w:val="en-US" w:eastAsia="pt-BR"/>
        </w:rPr>
        <w:t xml:space="preserve"> by their respective Management. As a result, determining the impacts of adopting CPC 50 [IFRS 17] and CPC 48 [IFRS 9] will depend on the conclusion of: (i) accounting processes being improved in the new systems; (ii) testing in a finishing production environment; and (iii) validation of the new accounting policies, assumptions, judgments and estimation techniques used, subject to change until the first financial statements that include the date of initial </w:t>
      </w:r>
      <w:r>
        <w:rPr>
          <w:rFonts w:eastAsia="Times New Roman" w:cs="Arial"/>
          <w:color w:val="000000" w:themeColor="text1"/>
          <w:spacing w:val="-2"/>
          <w:szCs w:val="18"/>
          <w:lang w:val="en-US" w:eastAsia="pt-BR"/>
        </w:rPr>
        <w:t>validity</w:t>
      </w:r>
      <w:r w:rsidRPr="00E375F9">
        <w:rPr>
          <w:rFonts w:eastAsia="Times New Roman" w:cs="Arial"/>
          <w:color w:val="000000" w:themeColor="text1"/>
          <w:spacing w:val="-2"/>
          <w:szCs w:val="18"/>
          <w:lang w:val="en-US" w:eastAsia="pt-BR"/>
        </w:rPr>
        <w:t xml:space="preserve"> are completed.</w:t>
      </w:r>
    </w:p>
    <w:p w14:paraId="6570D773" w14:textId="77777777" w:rsidR="005357C6" w:rsidRPr="00E375F9"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Therefore, due to the reasons mentioned above, it was not possible to reasonably estimate the initial impacts for January 1, 2023.</w:t>
      </w:r>
    </w:p>
    <w:p w14:paraId="35063AE2" w14:textId="77777777" w:rsidR="005357C6" w:rsidRDefault="005357C6" w:rsidP="00910B6A">
      <w:pPr>
        <w:spacing w:before="120" w:after="120"/>
        <w:jc w:val="both"/>
        <w:rPr>
          <w:rFonts w:eastAsia="Times New Roman" w:cs="Arial"/>
          <w:color w:val="000000" w:themeColor="text1"/>
          <w:spacing w:val="-2"/>
          <w:szCs w:val="18"/>
          <w:lang w:val="en-US" w:eastAsia="pt-BR"/>
        </w:rPr>
      </w:pPr>
      <w:r w:rsidRPr="00E375F9">
        <w:rPr>
          <w:rFonts w:eastAsia="Times New Roman" w:cs="Arial"/>
          <w:color w:val="000000" w:themeColor="text1"/>
          <w:spacing w:val="-2"/>
          <w:szCs w:val="18"/>
          <w:lang w:val="en-US" w:eastAsia="pt-BR"/>
        </w:rPr>
        <w:t>Thus, the effective impacts of the initial adoption of the standards will be presented in the interim financial statements for the 1st quarter of 2023.</w:t>
      </w:r>
    </w:p>
    <w:p w14:paraId="4B0DBD5A" w14:textId="77777777" w:rsidR="005357C6" w:rsidRPr="00805674" w:rsidRDefault="005357C6" w:rsidP="00805674">
      <w:pPr>
        <w:spacing w:before="120" w:after="120"/>
        <w:jc w:val="both"/>
        <w:rPr>
          <w:rFonts w:eastAsia="Times New Roman" w:cs="Arial"/>
          <w:color w:val="000000" w:themeColor="text1"/>
          <w:spacing w:val="-2"/>
          <w:szCs w:val="18"/>
          <w:lang w:val="en-US" w:eastAsia="pt-BR"/>
        </w:rPr>
      </w:pPr>
      <w:r w:rsidRPr="00805674">
        <w:rPr>
          <w:rFonts w:eastAsia="Times New Roman" w:cs="Times New Roman"/>
          <w:b/>
          <w:color w:val="244061"/>
          <w:spacing w:val="-2"/>
          <w:szCs w:val="18"/>
          <w:lang w:val="en-US" w:eastAsia="pt-BR"/>
        </w:rPr>
        <w:t>Revision No. 19/2021 of CPC Technical Pronouncements</w:t>
      </w:r>
      <w:r w:rsidRPr="00805674">
        <w:rPr>
          <w:rFonts w:eastAsia="Times New Roman" w:cs="Arial"/>
          <w:color w:val="000000" w:themeColor="text1"/>
          <w:spacing w:val="-2"/>
          <w:szCs w:val="18"/>
          <w:lang w:val="en-US" w:eastAsia="pt-BR"/>
        </w:rPr>
        <w:t xml:space="preserve"> - Establishes amendments to Technical Pronouncements CPC 37 (R1)</w:t>
      </w:r>
      <w:r>
        <w:rPr>
          <w:rFonts w:eastAsia="Times New Roman" w:cs="Arial"/>
          <w:color w:val="000000" w:themeColor="text1"/>
          <w:spacing w:val="-2"/>
          <w:szCs w:val="18"/>
          <w:lang w:val="en-US" w:eastAsia="pt-BR"/>
        </w:rPr>
        <w:t xml:space="preserve"> [IFRS 1]</w:t>
      </w:r>
      <w:r w:rsidRPr="00805674">
        <w:rPr>
          <w:rFonts w:eastAsia="Times New Roman" w:cs="Arial"/>
          <w:color w:val="000000" w:themeColor="text1"/>
          <w:spacing w:val="-2"/>
          <w:szCs w:val="18"/>
          <w:lang w:val="en-US" w:eastAsia="pt-BR"/>
        </w:rPr>
        <w:t>, CPC 48</w:t>
      </w:r>
      <w:r>
        <w:rPr>
          <w:rFonts w:eastAsia="Times New Roman" w:cs="Arial"/>
          <w:color w:val="000000" w:themeColor="text1"/>
          <w:spacing w:val="-2"/>
          <w:szCs w:val="18"/>
          <w:lang w:val="en-US" w:eastAsia="pt-BR"/>
        </w:rPr>
        <w:t xml:space="preserve"> [IFRS 9]</w:t>
      </w:r>
      <w:r w:rsidRPr="00805674">
        <w:rPr>
          <w:rFonts w:eastAsia="Times New Roman" w:cs="Arial"/>
          <w:color w:val="000000" w:themeColor="text1"/>
          <w:spacing w:val="-2"/>
          <w:szCs w:val="18"/>
          <w:lang w:val="en-US" w:eastAsia="pt-BR"/>
        </w:rPr>
        <w:t>, CPC 29</w:t>
      </w:r>
      <w:r>
        <w:rPr>
          <w:rFonts w:eastAsia="Times New Roman" w:cs="Arial"/>
          <w:color w:val="000000" w:themeColor="text1"/>
          <w:spacing w:val="-2"/>
          <w:szCs w:val="18"/>
          <w:lang w:val="en-US" w:eastAsia="pt-BR"/>
        </w:rPr>
        <w:t xml:space="preserve"> [IAS 41]</w:t>
      </w:r>
      <w:r w:rsidRPr="00805674">
        <w:rPr>
          <w:rFonts w:eastAsia="Times New Roman" w:cs="Arial"/>
          <w:color w:val="000000" w:themeColor="text1"/>
          <w:spacing w:val="-2"/>
          <w:szCs w:val="18"/>
          <w:lang w:val="en-US" w:eastAsia="pt-BR"/>
        </w:rPr>
        <w:t>, CPC 27</w:t>
      </w:r>
      <w:r>
        <w:rPr>
          <w:rFonts w:eastAsia="Times New Roman" w:cs="Arial"/>
          <w:color w:val="000000" w:themeColor="text1"/>
          <w:spacing w:val="-2"/>
          <w:szCs w:val="18"/>
          <w:lang w:val="en-US" w:eastAsia="pt-BR"/>
        </w:rPr>
        <w:t xml:space="preserve"> [IAS 16]</w:t>
      </w:r>
      <w:r w:rsidRPr="00805674">
        <w:rPr>
          <w:rFonts w:eastAsia="Times New Roman" w:cs="Arial"/>
          <w:color w:val="000000" w:themeColor="text1"/>
          <w:spacing w:val="-2"/>
          <w:szCs w:val="18"/>
          <w:lang w:val="en-US" w:eastAsia="pt-BR"/>
        </w:rPr>
        <w:t>, CPC 25</w:t>
      </w:r>
      <w:r>
        <w:rPr>
          <w:rFonts w:eastAsia="Times New Roman" w:cs="Arial"/>
          <w:color w:val="000000" w:themeColor="text1"/>
          <w:spacing w:val="-2"/>
          <w:szCs w:val="18"/>
          <w:lang w:val="en-US" w:eastAsia="pt-BR"/>
        </w:rPr>
        <w:t xml:space="preserve"> [IAS 37]</w:t>
      </w:r>
      <w:r w:rsidRPr="00805674">
        <w:rPr>
          <w:rFonts w:eastAsia="Times New Roman" w:cs="Arial"/>
          <w:color w:val="000000" w:themeColor="text1"/>
          <w:spacing w:val="-2"/>
          <w:szCs w:val="18"/>
          <w:lang w:val="en-US" w:eastAsia="pt-BR"/>
        </w:rPr>
        <w:t xml:space="preserve"> and CPC 15 (R1)</w:t>
      </w:r>
      <w:r>
        <w:rPr>
          <w:rFonts w:eastAsia="Times New Roman" w:cs="Arial"/>
          <w:color w:val="000000" w:themeColor="text1"/>
          <w:spacing w:val="-2"/>
          <w:szCs w:val="18"/>
          <w:lang w:val="en-US" w:eastAsia="pt-BR"/>
        </w:rPr>
        <w:t xml:space="preserve"> [IFRS 3]</w:t>
      </w:r>
      <w:r w:rsidRPr="00805674">
        <w:rPr>
          <w:rFonts w:eastAsia="Times New Roman" w:cs="Arial"/>
          <w:color w:val="000000" w:themeColor="text1"/>
          <w:spacing w:val="-2"/>
          <w:szCs w:val="18"/>
          <w:lang w:val="en-US" w:eastAsia="pt-BR"/>
        </w:rPr>
        <w:t xml:space="preserve"> as a result of the annual changes related to the improvement cycle 2018-2020, related to property, plant and equipment - sales before intended use, onerous contract - contract compliance costs and references to the Conceptual Framework.</w:t>
      </w:r>
    </w:p>
    <w:p w14:paraId="692609F2" w14:textId="77777777" w:rsidR="005357C6" w:rsidRPr="009213A3" w:rsidRDefault="005357C6" w:rsidP="00805674">
      <w:pPr>
        <w:spacing w:before="120" w:after="120"/>
        <w:jc w:val="both"/>
        <w:rPr>
          <w:rFonts w:eastAsia="Times New Roman" w:cs="Arial"/>
          <w:color w:val="000000" w:themeColor="text1"/>
          <w:spacing w:val="-2"/>
          <w:szCs w:val="18"/>
          <w:lang w:val="en-US" w:eastAsia="pt-BR"/>
        </w:rPr>
      </w:pPr>
      <w:r w:rsidRPr="00805674">
        <w:rPr>
          <w:rFonts w:eastAsia="Times New Roman" w:cs="Arial"/>
          <w:color w:val="000000" w:themeColor="text1"/>
          <w:spacing w:val="-2"/>
          <w:szCs w:val="18"/>
          <w:lang w:val="en-US" w:eastAsia="pt-BR"/>
        </w:rPr>
        <w:t xml:space="preserve">The purpose of the Review is to improve the quality of the respective standards to clarify guidelines and wording adjustments </w:t>
      </w:r>
      <w:r w:rsidRPr="009213A3">
        <w:rPr>
          <w:rFonts w:eastAsia="Times New Roman" w:cs="Arial"/>
          <w:color w:val="000000" w:themeColor="text1"/>
          <w:spacing w:val="-2"/>
          <w:szCs w:val="18"/>
          <w:lang w:val="en-US" w:eastAsia="pt-BR"/>
        </w:rPr>
        <w:t>that may lead to divergent interpretations.</w:t>
      </w:r>
    </w:p>
    <w:p w14:paraId="73588A76" w14:textId="77777777" w:rsidR="005357C6" w:rsidRPr="009213A3" w:rsidRDefault="005357C6" w:rsidP="00805674">
      <w:pPr>
        <w:spacing w:before="120" w:after="120"/>
        <w:jc w:val="both"/>
        <w:rPr>
          <w:rFonts w:eastAsia="Times New Roman" w:cs="Arial"/>
          <w:color w:val="000000" w:themeColor="text1"/>
          <w:spacing w:val="-2"/>
          <w:szCs w:val="18"/>
          <w:lang w:val="en-US" w:eastAsia="pt-BR"/>
        </w:rPr>
      </w:pPr>
      <w:r w:rsidRPr="009213A3">
        <w:rPr>
          <w:rFonts w:eastAsia="Times New Roman" w:cs="Arial"/>
          <w:color w:val="000000" w:themeColor="text1"/>
          <w:spacing w:val="-2"/>
          <w:szCs w:val="18"/>
          <w:lang w:val="en-US" w:eastAsia="pt-BR"/>
        </w:rPr>
        <w:t>The validity of these changes must be established by Organs regulatory bodies that approve them, and, in order to fully comply with international accounting standards, the entity must apply these changes in annual periods beginning on or after January 1, 2022.</w:t>
      </w:r>
    </w:p>
    <w:p w14:paraId="26C4D33F" w14:textId="77777777" w:rsidR="005357C6" w:rsidRDefault="005357C6" w:rsidP="001B3D85">
      <w:pPr>
        <w:spacing w:before="120" w:after="120"/>
        <w:jc w:val="both"/>
        <w:rPr>
          <w:rFonts w:eastAsia="Times New Roman" w:cs="Arial"/>
          <w:color w:val="000000" w:themeColor="text1"/>
          <w:spacing w:val="-2"/>
          <w:szCs w:val="18"/>
          <w:lang w:val="en-US" w:eastAsia="pt-BR"/>
        </w:rPr>
      </w:pPr>
      <w:r w:rsidRPr="00A63204">
        <w:rPr>
          <w:rFonts w:eastAsia="Times New Roman" w:cs="Arial"/>
          <w:color w:val="000000" w:themeColor="text1"/>
          <w:spacing w:val="-2"/>
          <w:szCs w:val="18"/>
          <w:lang w:val="en-US" w:eastAsia="pt-BR"/>
        </w:rPr>
        <w:t>There were no significant impacts for BB Seguridade, including within the scope of its subsidiaries and other investees.</w:t>
      </w:r>
    </w:p>
    <w:p w14:paraId="67E8CD75" w14:textId="77777777" w:rsidR="005357C6" w:rsidRPr="001B3D85" w:rsidRDefault="005357C6" w:rsidP="001B3D85">
      <w:pPr>
        <w:spacing w:before="120" w:after="120"/>
        <w:jc w:val="both"/>
        <w:rPr>
          <w:rFonts w:eastAsia="Times New Roman" w:cs="Arial"/>
          <w:color w:val="000000" w:themeColor="text1"/>
          <w:spacing w:val="-2"/>
          <w:szCs w:val="18"/>
          <w:lang w:val="en-US" w:eastAsia="pt-BR"/>
        </w:rPr>
      </w:pPr>
      <w:r w:rsidRPr="001B3D85">
        <w:rPr>
          <w:rFonts w:eastAsia="Times New Roman" w:cs="Times New Roman"/>
          <w:b/>
          <w:color w:val="244061"/>
          <w:spacing w:val="-2"/>
          <w:szCs w:val="18"/>
          <w:lang w:val="en-US" w:eastAsia="pt-BR"/>
        </w:rPr>
        <w:t>Revision No. 20/2021 of CPC Technical Pronouncements</w:t>
      </w:r>
      <w:r w:rsidRPr="001B3D85">
        <w:rPr>
          <w:rFonts w:eastAsia="Times New Roman" w:cs="Arial"/>
          <w:color w:val="000000" w:themeColor="text1"/>
          <w:spacing w:val="-2"/>
          <w:szCs w:val="18"/>
          <w:lang w:val="en-US" w:eastAsia="pt-BR"/>
        </w:rPr>
        <w:t xml:space="preserve"> - Establishes changes to Technical Pronouncements CPC 11 [IFRS 4], CPC 23 [IAS 8], CPC 26 (R1) [IAS 1], CPC 40 (R1) [IFRS 7] , CPC 49 [IAS 26], CPC 21 (R1) [IAS 34], CPC 32 [IAS</w:t>
      </w:r>
      <w:r>
        <w:rPr>
          <w:rFonts w:eastAsia="Times New Roman" w:cs="Arial"/>
          <w:color w:val="000000" w:themeColor="text1"/>
          <w:spacing w:val="-2"/>
          <w:szCs w:val="18"/>
          <w:lang w:val="en-US" w:eastAsia="pt-BR"/>
        </w:rPr>
        <w:t> </w:t>
      </w:r>
      <w:r w:rsidRPr="001B3D85">
        <w:rPr>
          <w:rFonts w:eastAsia="Times New Roman" w:cs="Arial"/>
          <w:color w:val="000000" w:themeColor="text1"/>
          <w:spacing w:val="-2"/>
          <w:szCs w:val="18"/>
          <w:lang w:val="en-US" w:eastAsia="pt-BR"/>
        </w:rPr>
        <w:t>12], CPC 37 (R1) [IFRS 1] and CPC 47 [IFRS 15] as a result of changes in the Classification of Liabilities as Current or non-current; Postponement of the Temporary Exemption from CPC 48 [IFRS 9]; Definition of Accounting Policy; Accounting Policy Disclosures; and Deferred Taxes related to Assets and Liabilities arising from a Single Transaction.</w:t>
      </w:r>
    </w:p>
    <w:p w14:paraId="691EFCD5" w14:textId="77777777" w:rsidR="005357C6" w:rsidRPr="001B3D85" w:rsidRDefault="005357C6" w:rsidP="001B3D85">
      <w:pPr>
        <w:spacing w:before="120" w:after="120"/>
        <w:jc w:val="both"/>
        <w:rPr>
          <w:rFonts w:eastAsia="Times New Roman" w:cs="Arial"/>
          <w:color w:val="000000" w:themeColor="text1"/>
          <w:spacing w:val="-2"/>
          <w:szCs w:val="18"/>
          <w:lang w:val="en-US" w:eastAsia="pt-BR"/>
        </w:rPr>
      </w:pPr>
      <w:r w:rsidRPr="001B3D85">
        <w:rPr>
          <w:rFonts w:eastAsia="Times New Roman" w:cs="Arial"/>
          <w:color w:val="000000" w:themeColor="text1"/>
          <w:spacing w:val="-2"/>
          <w:szCs w:val="18"/>
          <w:lang w:val="en-US" w:eastAsia="pt-BR"/>
        </w:rPr>
        <w:t>The validity of these changes will be established by regulators that approve them, and in order to fully comply with international accounting standards, the entity must apply these changes in annual periods beginning on, or after, January 1, 2023.</w:t>
      </w:r>
    </w:p>
    <w:p w14:paraId="64D676D4" w14:textId="77777777" w:rsidR="005357C6" w:rsidRPr="005F2641" w:rsidRDefault="005357C6" w:rsidP="005F2641">
      <w:pPr>
        <w:spacing w:before="120" w:after="120"/>
        <w:jc w:val="both"/>
        <w:rPr>
          <w:rFonts w:eastAsia="Times New Roman" w:cs="Arial"/>
          <w:color w:val="000000" w:themeColor="text1"/>
          <w:spacing w:val="-2"/>
          <w:szCs w:val="18"/>
          <w:lang w:val="en-US" w:eastAsia="pt-BR"/>
        </w:rPr>
      </w:pPr>
      <w:r w:rsidRPr="001B3D85">
        <w:rPr>
          <w:rFonts w:eastAsia="Times New Roman" w:cs="Arial"/>
          <w:color w:val="000000" w:themeColor="text1"/>
          <w:spacing w:val="-2"/>
          <w:szCs w:val="18"/>
          <w:lang w:val="en-US" w:eastAsia="pt-BR"/>
        </w:rPr>
        <w:t>Regarding the postponement of the temporary exemption from CPC 48 [IFRS 9], applicable to insurance companies, the Accounting Pronouncements Committee formalized its extension to January 1, 2023. This exemption is being applied to investee companies Brasilseg, ABS, Brasilprev and Brasildental, for application in conjunction with the amendments proposed by CPC 50 [IFRS 17] – Insurance Contracts.</w:t>
      </w:r>
      <w:r>
        <w:rPr>
          <w:rFonts w:eastAsia="Times New Roman" w:cs="Arial"/>
          <w:color w:val="000000" w:themeColor="text1"/>
          <w:spacing w:val="-2"/>
          <w:szCs w:val="18"/>
          <w:lang w:val="en-US" w:eastAsia="pt-BR"/>
        </w:rPr>
        <w:t xml:space="preserve"> </w:t>
      </w:r>
      <w:r w:rsidRPr="005F2641">
        <w:rPr>
          <w:rFonts w:eastAsia="Times New Roman" w:cs="Arial"/>
          <w:color w:val="000000" w:themeColor="text1"/>
          <w:spacing w:val="-2"/>
          <w:szCs w:val="18"/>
          <w:lang w:val="en-US" w:eastAsia="pt-BR"/>
        </w:rPr>
        <w:t>The impacts related to the adoption of CPC 48 [IFRS 9] are presented in the item "Pre-transition - Initial adoption of IFRS 17 and IFRS 9 for investees that transact insurance" of this explanatory note.</w:t>
      </w:r>
    </w:p>
    <w:p w14:paraId="1299A219" w14:textId="77777777" w:rsidR="005357C6" w:rsidRPr="001B3D85" w:rsidRDefault="005357C6" w:rsidP="005F2641">
      <w:pPr>
        <w:spacing w:before="120" w:after="120"/>
        <w:jc w:val="both"/>
        <w:rPr>
          <w:rFonts w:eastAsia="Times New Roman" w:cs="Arial"/>
          <w:color w:val="000000" w:themeColor="text1"/>
          <w:spacing w:val="-2"/>
          <w:szCs w:val="18"/>
          <w:lang w:val="en-US" w:eastAsia="pt-BR"/>
        </w:rPr>
      </w:pPr>
      <w:r w:rsidRPr="005F2641">
        <w:rPr>
          <w:rFonts w:eastAsia="Times New Roman" w:cs="Arial"/>
          <w:color w:val="000000" w:themeColor="text1"/>
          <w:spacing w:val="-2"/>
          <w:szCs w:val="18"/>
          <w:lang w:val="en-US" w:eastAsia="pt-BR"/>
        </w:rPr>
        <w:t>With regard to the other amendments, effective as of January 1, 2023, no impacts are expected for BB Seguridade.</w:t>
      </w:r>
    </w:p>
    <w:p w14:paraId="2AEC4EF5" w14:textId="77777777" w:rsidR="005357C6" w:rsidRPr="00C85CE7" w:rsidRDefault="005357C6" w:rsidP="005F2641">
      <w:pPr>
        <w:spacing w:before="120" w:after="120"/>
        <w:jc w:val="both"/>
        <w:rPr>
          <w:rFonts w:eastAsia="Times New Roman" w:cs="Times New Roman"/>
          <w:bCs/>
          <w:spacing w:val="-2"/>
          <w:szCs w:val="18"/>
          <w:lang w:val="en-US" w:eastAsia="pt-BR"/>
        </w:rPr>
      </w:pPr>
      <w:r w:rsidRPr="001B3D85">
        <w:rPr>
          <w:rFonts w:eastAsia="Times New Roman" w:cs="Times New Roman"/>
          <w:b/>
          <w:color w:val="244061"/>
          <w:spacing w:val="-2"/>
          <w:szCs w:val="18"/>
          <w:lang w:val="en-US" w:eastAsia="pt-BR"/>
        </w:rPr>
        <w:t>Revision No. 2</w:t>
      </w:r>
      <w:r>
        <w:rPr>
          <w:rFonts w:eastAsia="Times New Roman" w:cs="Times New Roman"/>
          <w:b/>
          <w:color w:val="244061"/>
          <w:spacing w:val="-2"/>
          <w:szCs w:val="18"/>
          <w:lang w:val="en-US" w:eastAsia="pt-BR"/>
        </w:rPr>
        <w:t>1</w:t>
      </w:r>
      <w:r w:rsidRPr="001B3D85">
        <w:rPr>
          <w:rFonts w:eastAsia="Times New Roman" w:cs="Times New Roman"/>
          <w:b/>
          <w:color w:val="244061"/>
          <w:spacing w:val="-2"/>
          <w:szCs w:val="18"/>
          <w:lang w:val="en-US" w:eastAsia="pt-BR"/>
        </w:rPr>
        <w:t>/2021 of CPC Technical Pronouncements</w:t>
      </w:r>
      <w:r>
        <w:rPr>
          <w:rFonts w:eastAsia="Times New Roman" w:cs="Times New Roman"/>
          <w:b/>
          <w:color w:val="244061"/>
          <w:spacing w:val="-2"/>
          <w:szCs w:val="18"/>
          <w:lang w:val="en-US" w:eastAsia="pt-BR"/>
        </w:rPr>
        <w:t xml:space="preserve"> </w:t>
      </w:r>
      <w:r w:rsidRPr="00C85CE7">
        <w:rPr>
          <w:rFonts w:eastAsia="Times New Roman" w:cs="Times New Roman"/>
          <w:bCs/>
          <w:spacing w:val="-2"/>
          <w:szCs w:val="18"/>
          <w:lang w:val="en-US" w:eastAsia="pt-BR"/>
        </w:rPr>
        <w:t>- Establishes changes to Technical Pronouncements CPC 37 (R1) [IFRS 1], CPC 15 (R1) [IFRS 3], CPC 31 [IFRS 5], CPC 40 (R1) [IFRS 7], CPC 48 [IFRS 9], CPC 47 [IFRS 15], CPC 26 (R1) [IAS 1], CPC 03 (R2) [IAS 7], CPC 27 [IAS 16], CPC 33 (R1) [IAS 19], CPC 18 (R2) [IAS 28], CPC 39 [IAS 32], CPC 01 (R1) [IAS 36], CPC 25 [IAS 37], CPC 04 (R1) [IAS 38], CPC 28 [IAS 40] e CPC 50 [IFRS 17] as a result of the issuance of CPC 50 – Insurance Contracts and subsequent amendments to IFRS 17. Additionally, the Revision aims to comply with IASB guidelines for the initial application of IFRS 17 and IFRS 9, with regard to comparative information to be considered in the initial adoption of the respective standards for companies that transact insurance contracts.</w:t>
      </w:r>
    </w:p>
    <w:p w14:paraId="469DD77C" w14:textId="77777777" w:rsidR="005357C6" w:rsidRPr="00C85CE7" w:rsidRDefault="005357C6" w:rsidP="00C85CE7">
      <w:pPr>
        <w:spacing w:before="120" w:after="120"/>
        <w:jc w:val="both"/>
        <w:rPr>
          <w:rFonts w:eastAsia="Times New Roman" w:cs="Times New Roman"/>
          <w:bCs/>
          <w:spacing w:val="-2"/>
          <w:szCs w:val="18"/>
          <w:lang w:val="en-US" w:eastAsia="pt-BR"/>
        </w:rPr>
      </w:pPr>
      <w:r w:rsidRPr="00C85CE7">
        <w:rPr>
          <w:rFonts w:eastAsia="Times New Roman" w:cs="Times New Roman"/>
          <w:bCs/>
          <w:spacing w:val="-2"/>
          <w:szCs w:val="18"/>
          <w:lang w:val="en-US" w:eastAsia="pt-BR"/>
        </w:rPr>
        <w:t>The effectiveness of these changes will be established by organs regulatory bodies that approve them, and, for full compliance with international accounting standards, the entity must apply these changes in annual periods beginning on, or after, January 1, 2023.</w:t>
      </w:r>
    </w:p>
    <w:p w14:paraId="306078A7" w14:textId="77777777" w:rsidR="005357C6" w:rsidRPr="00C85CE7" w:rsidRDefault="005357C6" w:rsidP="005F2641">
      <w:pPr>
        <w:spacing w:before="120" w:after="120"/>
        <w:jc w:val="both"/>
        <w:rPr>
          <w:rFonts w:eastAsia="Times New Roman" w:cs="Arial"/>
          <w:bCs/>
          <w:spacing w:val="-2"/>
          <w:szCs w:val="18"/>
          <w:lang w:val="en-US" w:eastAsia="pt-BR"/>
        </w:rPr>
      </w:pPr>
      <w:r w:rsidRPr="005F2641">
        <w:rPr>
          <w:rFonts w:eastAsia="Times New Roman" w:cs="Times New Roman"/>
          <w:bCs/>
          <w:spacing w:val="-2"/>
          <w:szCs w:val="18"/>
          <w:lang w:val="en-US" w:eastAsia="pt-BR"/>
        </w:rPr>
        <w:lastRenderedPageBreak/>
        <w:t>The expected impacts due to CPC 50 [IFRS 17] and Revision No. 21/2022 are described in the item "Pre-transition - Initial adoption of IFRS 17 and IFRS 9 for investees that transact insurance" of this explanatory note.</w:t>
      </w:r>
    </w:p>
    <w:p w14:paraId="7D09239C" w14:textId="460239DD" w:rsidR="005357C6" w:rsidRPr="00D3472F" w:rsidRDefault="005357C6" w:rsidP="00FC4475">
      <w:pPr>
        <w:pStyle w:val="Ttulo1"/>
      </w:pPr>
      <w:bookmarkStart w:id="28" w:name="_Toc126781096"/>
      <w:bookmarkEnd w:id="27"/>
      <w:r w:rsidRPr="00D3472F">
        <w:t>5 – RISK MANAGEMENT</w:t>
      </w:r>
      <w:bookmarkEnd w:id="28"/>
    </w:p>
    <w:p w14:paraId="62A81553" w14:textId="77777777" w:rsidR="005357C6" w:rsidRPr="00993FCA" w:rsidRDefault="005357C6" w:rsidP="003F1E22">
      <w:pPr>
        <w:pStyle w:val="05-Textonormal"/>
        <w:rPr>
          <w:lang w:val="en-US"/>
        </w:rPr>
      </w:pPr>
      <w:r w:rsidRPr="00993FCA">
        <w:rPr>
          <w:lang w:val="en-US"/>
        </w:rPr>
        <w:t xml:space="preserve">The risk management at BB Seguridade follows the guidelines established in its </w:t>
      </w:r>
      <w:r w:rsidRPr="00993FCA">
        <w:rPr>
          <w:lang w:val="en"/>
        </w:rPr>
        <w:t>Capital, Risk, Internal Controls and Compliance Management Policy</w:t>
      </w:r>
      <w:r w:rsidRPr="00993FCA">
        <w:rPr>
          <w:lang w:val="en-US"/>
        </w:rPr>
        <w:t>, approved by the Board of Directors and disclosed to the market through the investors’ relations website.</w:t>
      </w:r>
    </w:p>
    <w:p w14:paraId="65470284" w14:textId="77777777" w:rsidR="005357C6" w:rsidRPr="00FF21C9" w:rsidRDefault="005357C6" w:rsidP="003F1E22">
      <w:pPr>
        <w:pStyle w:val="05-Textonormal"/>
        <w:rPr>
          <w:lang w:val="en-US"/>
        </w:rPr>
      </w:pPr>
      <w:r w:rsidRPr="00993FCA">
        <w:rPr>
          <w:lang w:val="en-US"/>
        </w:rPr>
        <w:t xml:space="preserve">The Company understands that its risk exposure originates from its interests, and therefore the </w:t>
      </w:r>
      <w:r w:rsidRPr="00993FCA">
        <w:rPr>
          <w:lang w:val="en"/>
        </w:rPr>
        <w:t xml:space="preserve">Capital, Risk, Internal Controls and Compliance Management Policy </w:t>
      </w:r>
      <w:r w:rsidRPr="00993FCA">
        <w:rPr>
          <w:lang w:val="en-US"/>
        </w:rPr>
        <w:t>contemplates two risk management dimensions: risk management (risks arising from the operations of BB Seguridade and its subsidiaries) and risk governance (risks arising from associates/joint ventures).</w:t>
      </w:r>
    </w:p>
    <w:p w14:paraId="70387B56" w14:textId="77777777" w:rsidR="005357C6" w:rsidRPr="00993FCA" w:rsidRDefault="005357C6" w:rsidP="003F1E22">
      <w:pPr>
        <w:pStyle w:val="05-Textonormal"/>
        <w:rPr>
          <w:lang w:val="en-US"/>
        </w:rPr>
      </w:pPr>
      <w:r w:rsidRPr="00993FCA">
        <w:rPr>
          <w:lang w:val="en-US"/>
        </w:rPr>
        <w:t>By means of its Risk Appetite Statement, approved by the Board of Directors, the Company defines the maximum levels of risks that it accepts to incur in the fulfillment of its objectives.</w:t>
      </w:r>
    </w:p>
    <w:p w14:paraId="41E075F9" w14:textId="77777777" w:rsidR="005357C6" w:rsidRPr="00993FCA" w:rsidRDefault="005357C6" w:rsidP="003F1E22">
      <w:pPr>
        <w:pStyle w:val="05-Textonormal"/>
        <w:rPr>
          <w:lang w:val="en-US"/>
        </w:rPr>
      </w:pPr>
      <w:r w:rsidRPr="00A53B07">
        <w:rPr>
          <w:lang w:val="en-US"/>
        </w:rPr>
        <w:t>The risk management process at BB Seguridade is based on the international framework of ISO 31000:2018 and comprises the steps of setting the context, identifying, analyzing, evaluating and treating risks. Transversal to each steps of risk management, there are consultations with interested parties, monitoring and critical analysis, which help in continuous improvement. This process is internally documented in the Group’s Risk Management, Internal Controls and Compliance Model.</w:t>
      </w:r>
    </w:p>
    <w:p w14:paraId="5B1AA24E" w14:textId="77777777" w:rsidR="005357C6" w:rsidRPr="00993FCA" w:rsidRDefault="005357C6" w:rsidP="003F1E22">
      <w:pPr>
        <w:pStyle w:val="05-Textonormal"/>
        <w:rPr>
          <w:lang w:val="en-US"/>
        </w:rPr>
      </w:pPr>
      <w:r w:rsidRPr="00A53B07">
        <w:rPr>
          <w:lang w:val="en"/>
        </w:rPr>
        <w:t>BB Seguridade's risk management is integrated into the corporate strategy, from the preparation of planning, as well as during the execution of the strategy, scenario analysis and decision-making support at all levels of the Company.</w:t>
      </w:r>
    </w:p>
    <w:p w14:paraId="27D163CD" w14:textId="77777777" w:rsidR="005357C6" w:rsidRPr="00993FCA" w:rsidRDefault="005357C6" w:rsidP="00417C4F">
      <w:pPr>
        <w:pStyle w:val="05-Textonormal"/>
        <w:rPr>
          <w:lang w:val="en-US"/>
        </w:rPr>
      </w:pPr>
      <w:r w:rsidRPr="00993FCA">
        <w:rPr>
          <w:lang w:val="en-US"/>
        </w:rPr>
        <w:t>The Company has the Superintendence of Risk Management and Capital and the Superintendence of Internal Controls Management and Integrity. The first is responsible for providing fundamentals and support for the execution of the risk management process; the second is responsible for internal controls, compliance and the Integrity Program. Both also act in the governance of risks and controls, respectively, in the companies in which BB Seguridade holds interests. For this to work properly, the areas are segregated from the business and Internal Audit areas.</w:t>
      </w:r>
    </w:p>
    <w:p w14:paraId="26EE84AB" w14:textId="77777777" w:rsidR="005357C6" w:rsidRPr="004F76D8" w:rsidRDefault="005357C6" w:rsidP="003F1E22">
      <w:pPr>
        <w:pStyle w:val="05-Textonormal"/>
        <w:rPr>
          <w:b/>
          <w:color w:val="1F4E79" w:themeColor="accent1" w:themeShade="80"/>
          <w:lang w:val="en-US"/>
        </w:rPr>
      </w:pPr>
      <w:r w:rsidRPr="004F76D8">
        <w:rPr>
          <w:b/>
          <w:color w:val="1F4E79" w:themeColor="accent1" w:themeShade="80"/>
          <w:lang w:val="en-US"/>
        </w:rPr>
        <w:t>a) Risk management at BB Seguridade and its subsidiaries</w:t>
      </w:r>
    </w:p>
    <w:p w14:paraId="27645BC1" w14:textId="77777777" w:rsidR="005357C6" w:rsidRPr="00993FCA" w:rsidRDefault="005357C6" w:rsidP="00417C4F">
      <w:pPr>
        <w:pStyle w:val="05-Textonormal"/>
        <w:rPr>
          <w:lang w:val="en-US"/>
        </w:rPr>
      </w:pPr>
      <w:r w:rsidRPr="00993FCA">
        <w:rPr>
          <w:lang w:val="en-US"/>
        </w:rPr>
        <w:t>The risk management framework adopted by BB Seguridade, as defined in its Risk Management, Internal Control and Compliance Policy, is structured based on a three-line model: in the first line, the process managers (risk owners) are responsible for implementing preventive and corrective actions that mitigate the weaknesses identified in the processes and control deficiencies; in the second line, the Superintendence of Risk Management and Capital and the Superintendence of Internal Controls Management and Integrity assist and monitor the risk owner in managing risks and internal controls in order to adjust them to the Group's risk appetite; and in the third line, the Internal Audit works independently, by providing to governance bodies assessments on the risk management and internal control effectiveness.</w:t>
      </w:r>
    </w:p>
    <w:p w14:paraId="5020C777" w14:textId="77777777" w:rsidR="005357C6" w:rsidRPr="00993FCA" w:rsidRDefault="005357C6" w:rsidP="00417C4F">
      <w:pPr>
        <w:pStyle w:val="05-Textonormal"/>
        <w:rPr>
          <w:lang w:val="en-US"/>
        </w:rPr>
      </w:pPr>
      <w:r w:rsidRPr="00993FCA">
        <w:rPr>
          <w:lang w:val="en-US"/>
        </w:rPr>
        <w:t xml:space="preserve">The risk management mechanisms and tools also include, among others: segregation of duties; joint decisions; </w:t>
      </w:r>
      <w:r w:rsidRPr="00993FCA">
        <w:rPr>
          <w:lang w:val="en"/>
        </w:rPr>
        <w:t>Information Security and Cybernetics Policy</w:t>
      </w:r>
      <w:r w:rsidRPr="00993FCA">
        <w:rPr>
          <w:lang w:val="en-US"/>
        </w:rPr>
        <w:t>, Preventing and Combating Money Laundering and Terrorist Financing Policy; Preventing and Combating Corruption Policy, Code of Ethics and Conduct and an Integrity Program in line with Law 12,846/2013 (Anti-Corruption Law) and the Decree 11.129/</w:t>
      </w:r>
      <w:r>
        <w:rPr>
          <w:lang w:val="en-US"/>
        </w:rPr>
        <w:t>22</w:t>
      </w:r>
      <w:r w:rsidRPr="00993FCA">
        <w:rPr>
          <w:lang w:val="en"/>
        </w:rPr>
        <w:t xml:space="preserve"> </w:t>
      </w:r>
      <w:r w:rsidRPr="00993FCA">
        <w:rPr>
          <w:lang w:val="en-US"/>
        </w:rPr>
        <w:t>(documents disclosed internally and also to the market, available at the investors relations website); internal risk management, internal controls and compliance regulations, in addition to internal communication program on risk management, internal controls and compliance, continuously promoting the adaptation of the entire Group to these subjects.</w:t>
      </w:r>
    </w:p>
    <w:p w14:paraId="1490FD98" w14:textId="77777777" w:rsidR="005357C6" w:rsidRPr="00993FCA" w:rsidRDefault="005357C6" w:rsidP="00454A91">
      <w:pPr>
        <w:pStyle w:val="05-Textonormal"/>
        <w:rPr>
          <w:lang w:val="en-US"/>
        </w:rPr>
      </w:pPr>
      <w:r w:rsidRPr="00993FCA">
        <w:rPr>
          <w:lang w:val="en-US"/>
        </w:rPr>
        <w:t>The Executive Board is supported by the Continuity and Crisis Management Committee, which advises on the assessment and mitigation of risks of discontinuity, incidents or crises.</w:t>
      </w:r>
    </w:p>
    <w:p w14:paraId="195D7023" w14:textId="77777777" w:rsidR="005357C6" w:rsidRPr="00993FCA" w:rsidRDefault="005357C6" w:rsidP="00454A91">
      <w:pPr>
        <w:pStyle w:val="05-Textonormal"/>
        <w:rPr>
          <w:lang w:val="en-US"/>
        </w:rPr>
      </w:pPr>
      <w:r w:rsidRPr="00993FCA">
        <w:rPr>
          <w:lang w:val="en-US"/>
        </w:rPr>
        <w:t xml:space="preserve">BB Seguridade's governance structure also comprises the Risk </w:t>
      </w:r>
      <w:r>
        <w:rPr>
          <w:lang w:val="en-US"/>
        </w:rPr>
        <w:t xml:space="preserve">and Capital </w:t>
      </w:r>
      <w:r w:rsidRPr="00993FCA">
        <w:rPr>
          <w:lang w:val="en-US"/>
        </w:rPr>
        <w:t>Committee, a statutory agency to advise the Board of Directors, which is responsible, among other things, for assessing and monitoring the Group's risk exposures.</w:t>
      </w:r>
    </w:p>
    <w:p w14:paraId="30A39FDE" w14:textId="77777777" w:rsidR="005357C6" w:rsidRPr="00993FCA" w:rsidRDefault="005357C6" w:rsidP="00454A91">
      <w:pPr>
        <w:pStyle w:val="05-Textonormal"/>
        <w:rPr>
          <w:lang w:val="en-US"/>
        </w:rPr>
      </w:pPr>
      <w:r w:rsidRPr="00993FCA">
        <w:rPr>
          <w:lang w:val="en-US"/>
        </w:rPr>
        <w:t>The Audit Committee, a statutory agency, is responsible, among other things, for sharing, with the Board of Directors, the risks, weaknesses or concerns that may have a significant impact on the Company's financial conditions and business.</w:t>
      </w:r>
    </w:p>
    <w:p w14:paraId="1038E77C" w14:textId="77777777" w:rsidR="005357C6" w:rsidRPr="00993FCA" w:rsidRDefault="005357C6" w:rsidP="00417C4F">
      <w:pPr>
        <w:pStyle w:val="05-Textonormal"/>
        <w:rPr>
          <w:lang w:val="en-US"/>
        </w:rPr>
      </w:pPr>
      <w:r w:rsidRPr="00993FCA">
        <w:rPr>
          <w:lang w:val="en-US"/>
        </w:rPr>
        <w:t>Information related to risk management and internal controls is periodically reported to the Collegiate Board of Directors, the Administrative Counsil and the Fiscal Council.</w:t>
      </w:r>
    </w:p>
    <w:p w14:paraId="72153FBC" w14:textId="77777777" w:rsidR="005357C6" w:rsidRPr="004F76D8" w:rsidRDefault="005357C6" w:rsidP="00454A91">
      <w:pPr>
        <w:pStyle w:val="05-Textonormal"/>
        <w:rPr>
          <w:b/>
          <w:color w:val="1F4E79" w:themeColor="accent1" w:themeShade="80"/>
          <w:lang w:val="en-US"/>
        </w:rPr>
      </w:pPr>
      <w:r w:rsidRPr="004F76D8">
        <w:rPr>
          <w:b/>
          <w:color w:val="1F4E79" w:themeColor="accent1" w:themeShade="80"/>
          <w:lang w:val="en-US"/>
        </w:rPr>
        <w:t>a.1) Risks associated with investments in financial assets</w:t>
      </w:r>
    </w:p>
    <w:p w14:paraId="343AF846" w14:textId="77777777" w:rsidR="005357C6" w:rsidRPr="00993FCA" w:rsidRDefault="005357C6" w:rsidP="00454A91">
      <w:pPr>
        <w:pStyle w:val="05-Textonormal"/>
        <w:rPr>
          <w:lang w:val="en-US"/>
        </w:rPr>
      </w:pPr>
      <w:r w:rsidRPr="00993FCA">
        <w:rPr>
          <w:lang w:val="en-US"/>
        </w:rPr>
        <w:t>In addition to the Risk Management Policy, the Group has a Financial Investment Policy, approved by the Board of Directors and applicable to all companies of the Group, updated in 2021, that sets out the criteria relating to the nature, term and acceptable risks of the financial investments. The current policy allows the investment only in federal government bonds, repurchase agreement (or “repo”, covered by federal government bonds) and extra-market investment funds.</w:t>
      </w:r>
    </w:p>
    <w:p w14:paraId="55535B56" w14:textId="77777777" w:rsidR="005357C6" w:rsidRPr="00993FCA" w:rsidRDefault="005357C6" w:rsidP="00454A91">
      <w:pPr>
        <w:pStyle w:val="05-Textonormal"/>
        <w:rPr>
          <w:lang w:val="en-US"/>
        </w:rPr>
      </w:pPr>
      <w:r w:rsidRPr="00993FCA">
        <w:rPr>
          <w:lang w:val="en-US"/>
        </w:rPr>
        <w:lastRenderedPageBreak/>
        <w:t xml:space="preserve">The investments in financial assets of BB Seguridade and its subsidiaries, classified as cash equivalents, are concentrated on repurchase agreements backed by Federal Government Bonds (note 15). Other investments in financial assets classified as financial instruments are invested in fixed-income long-term mutual fund </w:t>
      </w:r>
      <w:r>
        <w:rPr>
          <w:lang w:val="en-US"/>
        </w:rPr>
        <w:t xml:space="preserve">and </w:t>
      </w:r>
      <w:r w:rsidRPr="000B28AF">
        <w:rPr>
          <w:lang w:val="en-US"/>
        </w:rPr>
        <w:t xml:space="preserve">federal government bonds </w:t>
      </w:r>
      <w:r w:rsidRPr="00993FCA">
        <w:rPr>
          <w:lang w:val="en-US"/>
        </w:rPr>
        <w:t>(note 16).</w:t>
      </w:r>
    </w:p>
    <w:p w14:paraId="79E3DE23" w14:textId="77777777" w:rsidR="005357C6" w:rsidRPr="004F76D8" w:rsidRDefault="005357C6" w:rsidP="00417C4F">
      <w:pPr>
        <w:pStyle w:val="05-Textonormal"/>
        <w:rPr>
          <w:b/>
          <w:color w:val="1F4E79" w:themeColor="accent1" w:themeShade="80"/>
          <w:lang w:val="en-US"/>
        </w:rPr>
      </w:pPr>
      <w:r w:rsidRPr="004F76D8">
        <w:rPr>
          <w:b/>
          <w:color w:val="1F4E79" w:themeColor="accent1" w:themeShade="80"/>
          <w:lang w:val="en-US"/>
        </w:rPr>
        <w:t>a.2) Market Risk</w:t>
      </w:r>
    </w:p>
    <w:p w14:paraId="35CDD422" w14:textId="77777777" w:rsidR="005357C6" w:rsidRPr="00993FCA" w:rsidRDefault="005357C6" w:rsidP="00417C4F">
      <w:pPr>
        <w:pStyle w:val="05-Textonormal"/>
        <w:rPr>
          <w:lang w:val="en-US"/>
        </w:rPr>
      </w:pPr>
      <w:r w:rsidRPr="00993FCA">
        <w:rPr>
          <w:lang w:val="en-US"/>
        </w:rPr>
        <w:t>Market risk is defined as the possibility of negative impacts resulting from fluctuation in the market values of positions in financial instruments held by the Group. At BB Seguridade and its subsidiaries, the exposure to this risk arises from the investment portfolio in financial assets. According to the latest Relevant Risks Inventory and considering the Financial Investment Policy and current portfolio, the risk is not considered relevant.</w:t>
      </w:r>
    </w:p>
    <w:p w14:paraId="344FFA17" w14:textId="77777777" w:rsidR="005357C6" w:rsidRPr="00993FCA" w:rsidRDefault="005357C6" w:rsidP="00417C4F">
      <w:pPr>
        <w:pStyle w:val="05-Textonormal"/>
        <w:rPr>
          <w:lang w:val="en-US"/>
        </w:rPr>
      </w:pPr>
      <w:r w:rsidRPr="00993FCA">
        <w:rPr>
          <w:lang w:val="en-US"/>
        </w:rPr>
        <w:t>The market risk is managed based in the Financial Investment Policy, that defines which assets may comprise the portfolio and the VaR (Value at Risk) limit, calculated for 21 business days, with the portfolio volatility estimated using the exponentially weighted moving average (EWMA) and 95% confidence level. The indicator is monitored by the Finance and Investment Committee and by the Executive Board.</w:t>
      </w:r>
    </w:p>
    <w:p w14:paraId="7B3A00BF" w14:textId="77777777" w:rsidR="005357C6" w:rsidRPr="004F76D8" w:rsidRDefault="005357C6" w:rsidP="003F1E22">
      <w:pPr>
        <w:pStyle w:val="05-Textonormal"/>
        <w:rPr>
          <w:b/>
          <w:color w:val="1F4E79" w:themeColor="accent1" w:themeShade="80"/>
          <w:lang w:val="en-US"/>
        </w:rPr>
      </w:pPr>
      <w:r w:rsidRPr="004F76D8">
        <w:rPr>
          <w:b/>
          <w:color w:val="1F4E79" w:themeColor="accent1" w:themeShade="80"/>
          <w:lang w:val="en-US"/>
        </w:rPr>
        <w:t>Market risk exposure in investments in financial assets</w:t>
      </w:r>
    </w:p>
    <w:p w14:paraId="7B3B88A8" w14:textId="77777777" w:rsidR="005357C6" w:rsidRPr="003F1E22" w:rsidRDefault="005357C6" w:rsidP="003F1E22">
      <w:pPr>
        <w:spacing w:after="0"/>
        <w:jc w:val="right"/>
        <w:rPr>
          <w:rFonts w:cs="Arial"/>
          <w:b/>
          <w:bCs/>
          <w:sz w:val="14"/>
          <w:szCs w:val="14"/>
          <w:lang w:val="en-US" w:eastAsia="pt-BR"/>
        </w:rPr>
      </w:pPr>
      <w:r w:rsidRPr="003F1E22">
        <w:rPr>
          <w:rFonts w:cs="Arial"/>
          <w:b/>
          <w:bCs/>
          <w:sz w:val="14"/>
          <w:szCs w:val="14"/>
          <w:lang w:val="en-US" w:eastAsia="pt-BR"/>
        </w:rPr>
        <w:t>R$ thousand</w:t>
      </w:r>
    </w:p>
    <w:tbl>
      <w:tblPr>
        <w:tblStyle w:val="TabeladeLista6Colorida-nfase5"/>
        <w:tblW w:w="9639" w:type="dxa"/>
        <w:jc w:val="center"/>
        <w:tblLayout w:type="fixed"/>
        <w:tblLook w:val="04A0" w:firstRow="1" w:lastRow="0" w:firstColumn="1" w:lastColumn="0" w:noHBand="0" w:noVBand="1"/>
      </w:tblPr>
      <w:tblGrid>
        <w:gridCol w:w="1501"/>
        <w:gridCol w:w="353"/>
        <w:gridCol w:w="1060"/>
        <w:gridCol w:w="630"/>
        <w:gridCol w:w="1418"/>
        <w:gridCol w:w="579"/>
        <w:gridCol w:w="242"/>
        <w:gridCol w:w="1163"/>
        <w:gridCol w:w="709"/>
        <w:gridCol w:w="1417"/>
        <w:gridCol w:w="567"/>
      </w:tblGrid>
      <w:tr w:rsidR="005357C6" w:rsidRPr="00993FCA" w14:paraId="50F8A2D6" w14:textId="77777777" w:rsidTr="003F1E22">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4E79" w:themeColor="accent1" w:themeShade="80"/>
              <w:bottom w:val="single" w:sz="2" w:space="0" w:color="1F4E79" w:themeColor="accent1" w:themeShade="80"/>
            </w:tcBorders>
            <w:shd w:val="clear" w:color="auto" w:fill="auto"/>
            <w:vAlign w:val="center"/>
          </w:tcPr>
          <w:p w14:paraId="35F69D2D" w14:textId="77777777" w:rsidR="005357C6" w:rsidRPr="00D71583" w:rsidRDefault="005357C6" w:rsidP="003F1E22">
            <w:pPr>
              <w:jc w:val="center"/>
              <w:rPr>
                <w:rFonts w:cs="Arial"/>
                <w:color w:val="auto"/>
                <w:sz w:val="14"/>
                <w:szCs w:val="14"/>
              </w:rPr>
            </w:pPr>
            <w:r w:rsidRPr="00D71583">
              <w:rPr>
                <w:rFonts w:cs="Arial"/>
                <w:color w:val="auto"/>
                <w:sz w:val="14"/>
                <w:szCs w:val="14"/>
              </w:rPr>
              <w:t xml:space="preserve">Impact in the </w:t>
            </w:r>
            <w:r w:rsidRPr="00D71583">
              <w:rPr>
                <w:rFonts w:cs="Arial"/>
                <w:sz w:val="14"/>
                <w:szCs w:val="14"/>
              </w:rPr>
              <w:t>Portfolio</w:t>
            </w:r>
          </w:p>
        </w:tc>
      </w:tr>
      <w:tr w:rsidR="005357C6" w:rsidRPr="00993FCA" w14:paraId="2C169989" w14:textId="77777777" w:rsidTr="003F1E2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4E79" w:themeColor="accent1" w:themeShade="80"/>
              <w:bottom w:val="nil"/>
            </w:tcBorders>
            <w:shd w:val="clear" w:color="auto" w:fill="auto"/>
            <w:vAlign w:val="center"/>
          </w:tcPr>
          <w:p w14:paraId="6D8BBD43" w14:textId="77777777" w:rsidR="005357C6" w:rsidRPr="00993FCA" w:rsidRDefault="005357C6" w:rsidP="00925E15">
            <w:pPr>
              <w:jc w:val="center"/>
              <w:rPr>
                <w:rFonts w:cs="Arial"/>
                <w:color w:val="auto"/>
                <w:szCs w:val="18"/>
              </w:rPr>
            </w:pPr>
          </w:p>
        </w:tc>
        <w:tc>
          <w:tcPr>
            <w:tcW w:w="353" w:type="dxa"/>
            <w:tcBorders>
              <w:top w:val="single" w:sz="2" w:space="0" w:color="1F4E79" w:themeColor="accent1" w:themeShade="80"/>
              <w:bottom w:val="nil"/>
            </w:tcBorders>
            <w:shd w:val="clear" w:color="auto" w:fill="auto"/>
          </w:tcPr>
          <w:p w14:paraId="24E8A528" w14:textId="77777777" w:rsidR="005357C6" w:rsidRPr="00993FCA" w:rsidRDefault="005357C6" w:rsidP="00925E15">
            <w:pPr>
              <w:jc w:val="center"/>
              <w:cnfStyle w:val="000000100000" w:firstRow="0" w:lastRow="0" w:firstColumn="0" w:lastColumn="0" w:oddVBand="0" w:evenVBand="0" w:oddHBand="1" w:evenHBand="0" w:firstRowFirstColumn="0" w:firstRowLastColumn="0" w:lastRowFirstColumn="0" w:lastRowLastColumn="0"/>
              <w:rPr>
                <w:rFonts w:cs="Arial"/>
                <w:b/>
                <w:color w:val="auto"/>
                <w:szCs w:val="18"/>
              </w:rPr>
            </w:pPr>
          </w:p>
        </w:tc>
        <w:tc>
          <w:tcPr>
            <w:tcW w:w="3687" w:type="dxa"/>
            <w:gridSpan w:val="4"/>
            <w:tcBorders>
              <w:top w:val="single" w:sz="2" w:space="0" w:color="1F4E79" w:themeColor="accent1" w:themeShade="80"/>
              <w:bottom w:val="single" w:sz="2" w:space="0" w:color="1F4E79" w:themeColor="accent1" w:themeShade="80"/>
            </w:tcBorders>
            <w:shd w:val="clear" w:color="auto" w:fill="auto"/>
            <w:vAlign w:val="center"/>
          </w:tcPr>
          <w:p w14:paraId="0C14C614" w14:textId="77777777" w:rsidR="005357C6" w:rsidRPr="00F73A24" w:rsidRDefault="005357C6" w:rsidP="00F73A24">
            <w:pPr>
              <w:jc w:val="center"/>
              <w:cnfStyle w:val="000000100000" w:firstRow="0" w:lastRow="0" w:firstColumn="0" w:lastColumn="0" w:oddVBand="0" w:evenVBand="0" w:oddHBand="1" w:evenHBand="0" w:firstRowFirstColumn="0" w:firstRowLastColumn="0" w:lastRowFirstColumn="0" w:lastRowLastColumn="0"/>
              <w:rPr>
                <w:rFonts w:cs="Arial"/>
                <w:b/>
                <w:color w:val="auto"/>
                <w:sz w:val="14"/>
                <w:szCs w:val="14"/>
              </w:rPr>
            </w:pPr>
            <w:r w:rsidRPr="00F73A24">
              <w:rPr>
                <w:rFonts w:cs="Arial"/>
                <w:b/>
                <w:color w:val="auto"/>
                <w:sz w:val="14"/>
                <w:szCs w:val="14"/>
              </w:rPr>
              <w:t>Parent Company</w:t>
            </w:r>
          </w:p>
        </w:tc>
        <w:tc>
          <w:tcPr>
            <w:tcW w:w="242" w:type="dxa"/>
            <w:tcBorders>
              <w:top w:val="single" w:sz="2" w:space="0" w:color="1F4E79" w:themeColor="accent1" w:themeShade="80"/>
              <w:bottom w:val="nil"/>
            </w:tcBorders>
            <w:shd w:val="clear" w:color="auto" w:fill="auto"/>
            <w:vAlign w:val="center"/>
          </w:tcPr>
          <w:p w14:paraId="13FF98E0" w14:textId="77777777" w:rsidR="005357C6" w:rsidRPr="00D71583" w:rsidRDefault="005357C6" w:rsidP="003F1E22">
            <w:pPr>
              <w:jc w:val="center"/>
              <w:cnfStyle w:val="000000100000" w:firstRow="0" w:lastRow="0" w:firstColumn="0" w:lastColumn="0" w:oddVBand="0" w:evenVBand="0" w:oddHBand="1" w:evenHBand="0" w:firstRowFirstColumn="0" w:firstRowLastColumn="0" w:lastRowFirstColumn="0" w:lastRowLastColumn="0"/>
              <w:rPr>
                <w:rFonts w:cs="Arial"/>
                <w:b/>
                <w:color w:val="auto"/>
                <w:sz w:val="14"/>
                <w:szCs w:val="14"/>
              </w:rPr>
            </w:pPr>
          </w:p>
        </w:tc>
        <w:tc>
          <w:tcPr>
            <w:tcW w:w="3856" w:type="dxa"/>
            <w:gridSpan w:val="4"/>
            <w:tcBorders>
              <w:top w:val="single" w:sz="2" w:space="0" w:color="1F4E79" w:themeColor="accent1" w:themeShade="80"/>
              <w:bottom w:val="single" w:sz="2" w:space="0" w:color="1F4E79" w:themeColor="accent1" w:themeShade="80"/>
            </w:tcBorders>
            <w:shd w:val="clear" w:color="auto" w:fill="auto"/>
            <w:vAlign w:val="center"/>
          </w:tcPr>
          <w:p w14:paraId="4F989846" w14:textId="77777777" w:rsidR="005357C6" w:rsidRPr="00D71583" w:rsidRDefault="005357C6" w:rsidP="00F73A24">
            <w:pPr>
              <w:jc w:val="center"/>
              <w:cnfStyle w:val="000000100000" w:firstRow="0" w:lastRow="0" w:firstColumn="0" w:lastColumn="0" w:oddVBand="0" w:evenVBand="0" w:oddHBand="1" w:evenHBand="0" w:firstRowFirstColumn="0" w:firstRowLastColumn="0" w:lastRowFirstColumn="0" w:lastRowLastColumn="0"/>
              <w:rPr>
                <w:rFonts w:cs="Arial"/>
                <w:b/>
                <w:color w:val="auto"/>
                <w:sz w:val="14"/>
                <w:szCs w:val="14"/>
              </w:rPr>
            </w:pPr>
            <w:r w:rsidRPr="00F73A24">
              <w:rPr>
                <w:rFonts w:cs="Arial"/>
                <w:b/>
                <w:color w:val="auto"/>
                <w:sz w:val="14"/>
                <w:szCs w:val="14"/>
              </w:rPr>
              <w:t>Consolidated</w:t>
            </w:r>
          </w:p>
        </w:tc>
      </w:tr>
      <w:tr w:rsidR="005357C6" w:rsidRPr="00993FCA" w14:paraId="2F4CF170" w14:textId="77777777" w:rsidTr="003F1E22">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7A0CEA04" w14:textId="77777777" w:rsidR="005357C6" w:rsidRPr="00993FCA" w:rsidRDefault="005357C6" w:rsidP="00925E15">
            <w:pPr>
              <w:pStyle w:val="08-Tabelageral"/>
              <w:jc w:val="left"/>
              <w:rPr>
                <w:rFonts w:cs="Arial"/>
                <w:b w:val="0"/>
                <w:color w:val="auto"/>
              </w:rPr>
            </w:pPr>
          </w:p>
        </w:tc>
        <w:tc>
          <w:tcPr>
            <w:tcW w:w="353" w:type="dxa"/>
            <w:tcBorders>
              <w:top w:val="nil"/>
              <w:bottom w:val="nil"/>
            </w:tcBorders>
            <w:shd w:val="clear" w:color="auto" w:fill="auto"/>
          </w:tcPr>
          <w:p w14:paraId="5C7AA612" w14:textId="77777777" w:rsidR="005357C6" w:rsidRPr="00993FCA" w:rsidRDefault="005357C6" w:rsidP="00925E15">
            <w:pPr>
              <w:pStyle w:val="08-Tabelageral"/>
              <w:jc w:val="center"/>
              <w:cnfStyle w:val="000000000000" w:firstRow="0" w:lastRow="0" w:firstColumn="0" w:lastColumn="0" w:oddVBand="0" w:evenVBand="0" w:oddHBand="0" w:evenHBand="0" w:firstRowFirstColumn="0" w:firstRowLastColumn="0" w:lastRowFirstColumn="0" w:lastRowLastColumn="0"/>
              <w:rPr>
                <w:rFonts w:cs="Arial"/>
                <w:b/>
                <w:color w:val="auto"/>
              </w:rPr>
            </w:pPr>
          </w:p>
        </w:tc>
        <w:tc>
          <w:tcPr>
            <w:tcW w:w="1060" w:type="dxa"/>
            <w:tcBorders>
              <w:top w:val="single" w:sz="2" w:space="0" w:color="1F4E79" w:themeColor="accent1" w:themeShade="80"/>
              <w:bottom w:val="nil"/>
            </w:tcBorders>
            <w:shd w:val="clear" w:color="auto" w:fill="auto"/>
            <w:vAlign w:val="center"/>
          </w:tcPr>
          <w:p w14:paraId="6841DBE0" w14:textId="77777777" w:rsidR="005357C6" w:rsidRPr="00D71583" w:rsidRDefault="005357C6" w:rsidP="003F1E22">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D71583">
              <w:rPr>
                <w:rFonts w:cs="Arial"/>
                <w:b/>
                <w:color w:val="auto"/>
                <w:szCs w:val="14"/>
              </w:rPr>
              <w:t>Dec 31, 2022</w:t>
            </w:r>
          </w:p>
        </w:tc>
        <w:tc>
          <w:tcPr>
            <w:tcW w:w="630" w:type="dxa"/>
            <w:tcBorders>
              <w:top w:val="single" w:sz="2" w:space="0" w:color="1F4E79" w:themeColor="accent1" w:themeShade="80"/>
              <w:bottom w:val="nil"/>
            </w:tcBorders>
            <w:shd w:val="clear" w:color="auto" w:fill="auto"/>
            <w:vAlign w:val="center"/>
          </w:tcPr>
          <w:p w14:paraId="419D0A53" w14:textId="77777777" w:rsidR="005357C6" w:rsidRPr="00D71583" w:rsidRDefault="005357C6" w:rsidP="003F1E22">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D71583">
              <w:rPr>
                <w:rFonts w:cs="Arial"/>
                <w:b/>
                <w:color w:val="auto"/>
                <w:szCs w:val="14"/>
              </w:rPr>
              <w:t>%</w:t>
            </w:r>
          </w:p>
        </w:tc>
        <w:tc>
          <w:tcPr>
            <w:tcW w:w="1418" w:type="dxa"/>
            <w:tcBorders>
              <w:top w:val="single" w:sz="2" w:space="0" w:color="1F4E79" w:themeColor="accent1" w:themeShade="80"/>
              <w:bottom w:val="nil"/>
            </w:tcBorders>
            <w:shd w:val="clear" w:color="auto" w:fill="auto"/>
            <w:vAlign w:val="center"/>
          </w:tcPr>
          <w:p w14:paraId="40A1E5D9" w14:textId="77777777" w:rsidR="005357C6" w:rsidRPr="00D71583" w:rsidRDefault="005357C6" w:rsidP="003F1E22">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D71583">
              <w:rPr>
                <w:rFonts w:cs="Arial"/>
                <w:b/>
                <w:color w:val="auto"/>
                <w:szCs w:val="14"/>
              </w:rPr>
              <w:t>Dec 31, 2021</w:t>
            </w:r>
          </w:p>
        </w:tc>
        <w:tc>
          <w:tcPr>
            <w:tcW w:w="579" w:type="dxa"/>
            <w:tcBorders>
              <w:top w:val="single" w:sz="2" w:space="0" w:color="1F4E79" w:themeColor="accent1" w:themeShade="80"/>
              <w:bottom w:val="nil"/>
            </w:tcBorders>
            <w:shd w:val="clear" w:color="auto" w:fill="auto"/>
            <w:vAlign w:val="center"/>
          </w:tcPr>
          <w:p w14:paraId="1DFB8B8D" w14:textId="77777777" w:rsidR="005357C6" w:rsidRPr="00D71583" w:rsidRDefault="005357C6" w:rsidP="003F1E22">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D71583">
              <w:rPr>
                <w:rFonts w:cs="Arial"/>
                <w:b/>
                <w:color w:val="auto"/>
                <w:szCs w:val="14"/>
              </w:rPr>
              <w:t>%</w:t>
            </w:r>
          </w:p>
        </w:tc>
        <w:tc>
          <w:tcPr>
            <w:tcW w:w="242" w:type="dxa"/>
            <w:tcBorders>
              <w:top w:val="nil"/>
              <w:bottom w:val="nil"/>
            </w:tcBorders>
            <w:shd w:val="clear" w:color="auto" w:fill="auto"/>
            <w:vAlign w:val="center"/>
          </w:tcPr>
          <w:p w14:paraId="56257245" w14:textId="77777777" w:rsidR="005357C6" w:rsidRPr="00D71583" w:rsidRDefault="005357C6" w:rsidP="003F1E22">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p>
        </w:tc>
        <w:tc>
          <w:tcPr>
            <w:tcW w:w="1163" w:type="dxa"/>
            <w:tcBorders>
              <w:top w:val="single" w:sz="2" w:space="0" w:color="1F4E79" w:themeColor="accent1" w:themeShade="80"/>
              <w:bottom w:val="nil"/>
            </w:tcBorders>
            <w:shd w:val="clear" w:color="auto" w:fill="auto"/>
            <w:vAlign w:val="center"/>
          </w:tcPr>
          <w:p w14:paraId="759D96EE" w14:textId="77777777" w:rsidR="005357C6" w:rsidRPr="00D71583" w:rsidRDefault="005357C6" w:rsidP="003F1E22">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D71583">
              <w:rPr>
                <w:rFonts w:cs="Arial"/>
                <w:b/>
                <w:color w:val="auto"/>
                <w:szCs w:val="14"/>
              </w:rPr>
              <w:t>Dec 31, 2022</w:t>
            </w:r>
          </w:p>
        </w:tc>
        <w:tc>
          <w:tcPr>
            <w:tcW w:w="709" w:type="dxa"/>
            <w:tcBorders>
              <w:top w:val="single" w:sz="2" w:space="0" w:color="1F4E79" w:themeColor="accent1" w:themeShade="80"/>
              <w:bottom w:val="nil"/>
            </w:tcBorders>
            <w:shd w:val="clear" w:color="auto" w:fill="auto"/>
            <w:vAlign w:val="center"/>
          </w:tcPr>
          <w:p w14:paraId="39B42ECF" w14:textId="77777777" w:rsidR="005357C6" w:rsidRPr="00D71583" w:rsidRDefault="005357C6" w:rsidP="003F1E22">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D71583">
              <w:rPr>
                <w:rFonts w:cs="Arial"/>
                <w:b/>
                <w:color w:val="auto"/>
                <w:szCs w:val="14"/>
              </w:rPr>
              <w:t>%</w:t>
            </w:r>
          </w:p>
        </w:tc>
        <w:tc>
          <w:tcPr>
            <w:tcW w:w="1417" w:type="dxa"/>
            <w:tcBorders>
              <w:top w:val="single" w:sz="2" w:space="0" w:color="1F4E79" w:themeColor="accent1" w:themeShade="80"/>
              <w:bottom w:val="nil"/>
            </w:tcBorders>
            <w:shd w:val="clear" w:color="auto" w:fill="auto"/>
            <w:vAlign w:val="center"/>
          </w:tcPr>
          <w:p w14:paraId="507488E6" w14:textId="77777777" w:rsidR="005357C6" w:rsidRPr="00D71583" w:rsidRDefault="005357C6" w:rsidP="003F1E22">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D71583">
              <w:rPr>
                <w:rFonts w:cs="Arial"/>
                <w:b/>
                <w:color w:val="auto"/>
                <w:szCs w:val="14"/>
              </w:rPr>
              <w:t>Dec 31, 2021</w:t>
            </w:r>
          </w:p>
        </w:tc>
        <w:tc>
          <w:tcPr>
            <w:tcW w:w="567" w:type="dxa"/>
            <w:tcBorders>
              <w:top w:val="single" w:sz="2" w:space="0" w:color="1F4E79" w:themeColor="accent1" w:themeShade="80"/>
              <w:bottom w:val="nil"/>
            </w:tcBorders>
            <w:shd w:val="clear" w:color="auto" w:fill="auto"/>
            <w:vAlign w:val="center"/>
          </w:tcPr>
          <w:p w14:paraId="21B4C742" w14:textId="77777777" w:rsidR="005357C6" w:rsidRPr="00D71583" w:rsidRDefault="005357C6" w:rsidP="003F1E22">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D71583">
              <w:rPr>
                <w:rFonts w:cs="Arial"/>
                <w:b/>
                <w:color w:val="auto"/>
                <w:szCs w:val="14"/>
              </w:rPr>
              <w:t>%</w:t>
            </w:r>
          </w:p>
        </w:tc>
      </w:tr>
      <w:tr w:rsidR="005357C6" w:rsidRPr="00993FCA" w14:paraId="4DBD6087" w14:textId="77777777" w:rsidTr="003F1E22">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4E79" w:themeColor="accent1" w:themeShade="80"/>
            </w:tcBorders>
            <w:shd w:val="clear" w:color="auto" w:fill="auto"/>
            <w:vAlign w:val="center"/>
          </w:tcPr>
          <w:p w14:paraId="35D733F3" w14:textId="77777777" w:rsidR="005357C6" w:rsidRPr="00D71583" w:rsidRDefault="005357C6" w:rsidP="003F1E22">
            <w:pPr>
              <w:pStyle w:val="08-Tabelageral"/>
              <w:jc w:val="left"/>
              <w:rPr>
                <w:rFonts w:cs="Arial"/>
                <w:b w:val="0"/>
                <w:color w:val="auto"/>
                <w:szCs w:val="14"/>
              </w:rPr>
            </w:pPr>
            <w:r w:rsidRPr="00D71583">
              <w:rPr>
                <w:rFonts w:cs="Arial"/>
                <w:b w:val="0"/>
                <w:iCs/>
                <w:color w:val="auto"/>
                <w:szCs w:val="14"/>
              </w:rPr>
              <w:t>Value at Risk (VaR</w:t>
            </w:r>
            <w:r w:rsidRPr="00D71583">
              <w:rPr>
                <w:rFonts w:cs="Arial"/>
                <w:b w:val="0"/>
                <w:color w:val="auto"/>
                <w:szCs w:val="14"/>
              </w:rPr>
              <w:t>)</w:t>
            </w:r>
          </w:p>
        </w:tc>
        <w:tc>
          <w:tcPr>
            <w:tcW w:w="353" w:type="dxa"/>
            <w:tcBorders>
              <w:top w:val="nil"/>
              <w:bottom w:val="single" w:sz="2" w:space="0" w:color="1F4E79" w:themeColor="accent1" w:themeShade="80"/>
            </w:tcBorders>
            <w:shd w:val="clear" w:color="auto" w:fill="auto"/>
            <w:vAlign w:val="center"/>
          </w:tcPr>
          <w:p w14:paraId="1BF0B816" w14:textId="77777777" w:rsidR="005357C6" w:rsidRPr="00993FCA" w:rsidRDefault="005357C6" w:rsidP="00925E15">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60" w:type="dxa"/>
            <w:tcBorders>
              <w:top w:val="nil"/>
              <w:bottom w:val="single" w:sz="2" w:space="0" w:color="1F4E79" w:themeColor="accent1" w:themeShade="80"/>
            </w:tcBorders>
            <w:shd w:val="clear" w:color="auto" w:fill="auto"/>
            <w:vAlign w:val="center"/>
          </w:tcPr>
          <w:p w14:paraId="7CD2F06A" w14:textId="77777777" w:rsidR="005357C6" w:rsidRPr="00D71583" w:rsidRDefault="005357C6" w:rsidP="003F1E2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0</w:t>
            </w:r>
          </w:p>
        </w:tc>
        <w:tc>
          <w:tcPr>
            <w:tcW w:w="630" w:type="dxa"/>
            <w:tcBorders>
              <w:top w:val="nil"/>
              <w:bottom w:val="single" w:sz="2" w:space="0" w:color="1F4E79" w:themeColor="accent1" w:themeShade="80"/>
            </w:tcBorders>
            <w:shd w:val="clear" w:color="auto" w:fill="auto"/>
            <w:vAlign w:val="center"/>
          </w:tcPr>
          <w:p w14:paraId="435E1D33" w14:textId="77777777" w:rsidR="005357C6" w:rsidRPr="00D71583" w:rsidRDefault="005357C6" w:rsidP="003F1E2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0.00</w:t>
            </w:r>
          </w:p>
        </w:tc>
        <w:tc>
          <w:tcPr>
            <w:tcW w:w="1418" w:type="dxa"/>
            <w:tcBorders>
              <w:top w:val="nil"/>
              <w:bottom w:val="single" w:sz="2" w:space="0" w:color="1F4E79" w:themeColor="accent1" w:themeShade="80"/>
            </w:tcBorders>
            <w:shd w:val="clear" w:color="auto" w:fill="auto"/>
            <w:vAlign w:val="center"/>
          </w:tcPr>
          <w:p w14:paraId="0C930FC3" w14:textId="77777777" w:rsidR="005357C6" w:rsidRPr="00D71583" w:rsidRDefault="005357C6" w:rsidP="003F1E2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1</w:t>
            </w:r>
          </w:p>
        </w:tc>
        <w:tc>
          <w:tcPr>
            <w:tcW w:w="579" w:type="dxa"/>
            <w:tcBorders>
              <w:top w:val="nil"/>
              <w:bottom w:val="single" w:sz="2" w:space="0" w:color="1F4E79" w:themeColor="accent1" w:themeShade="80"/>
            </w:tcBorders>
            <w:shd w:val="clear" w:color="auto" w:fill="auto"/>
            <w:vAlign w:val="center"/>
          </w:tcPr>
          <w:p w14:paraId="00D06457" w14:textId="77777777" w:rsidR="005357C6" w:rsidRPr="00D71583" w:rsidRDefault="005357C6" w:rsidP="003F1E2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0.00</w:t>
            </w:r>
          </w:p>
        </w:tc>
        <w:tc>
          <w:tcPr>
            <w:tcW w:w="242" w:type="dxa"/>
            <w:tcBorders>
              <w:top w:val="nil"/>
              <w:bottom w:val="single" w:sz="2" w:space="0" w:color="1F4E79" w:themeColor="accent1" w:themeShade="80"/>
            </w:tcBorders>
            <w:shd w:val="clear" w:color="auto" w:fill="auto"/>
            <w:vAlign w:val="center"/>
          </w:tcPr>
          <w:p w14:paraId="55A60F6F" w14:textId="77777777" w:rsidR="005357C6" w:rsidRPr="00D71583" w:rsidRDefault="005357C6" w:rsidP="003F1E2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163" w:type="dxa"/>
            <w:tcBorders>
              <w:top w:val="nil"/>
              <w:bottom w:val="single" w:sz="2" w:space="0" w:color="1F4E79" w:themeColor="accent1" w:themeShade="80"/>
            </w:tcBorders>
            <w:shd w:val="clear" w:color="auto" w:fill="auto"/>
            <w:vAlign w:val="center"/>
          </w:tcPr>
          <w:p w14:paraId="5EAAE725" w14:textId="77777777" w:rsidR="005357C6" w:rsidRPr="00D71583" w:rsidRDefault="005357C6" w:rsidP="003F1E2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4</w:t>
            </w:r>
          </w:p>
        </w:tc>
        <w:tc>
          <w:tcPr>
            <w:tcW w:w="709" w:type="dxa"/>
            <w:tcBorders>
              <w:top w:val="nil"/>
              <w:bottom w:val="single" w:sz="2" w:space="0" w:color="1F4E79" w:themeColor="accent1" w:themeShade="80"/>
            </w:tcBorders>
            <w:shd w:val="clear" w:color="auto" w:fill="auto"/>
            <w:vAlign w:val="center"/>
          </w:tcPr>
          <w:p w14:paraId="5D72693B" w14:textId="77777777" w:rsidR="005357C6" w:rsidRPr="00D71583" w:rsidRDefault="005357C6" w:rsidP="003F1E2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0.00</w:t>
            </w:r>
          </w:p>
        </w:tc>
        <w:tc>
          <w:tcPr>
            <w:tcW w:w="1417" w:type="dxa"/>
            <w:tcBorders>
              <w:top w:val="nil"/>
              <w:bottom w:val="single" w:sz="2" w:space="0" w:color="1F4E79" w:themeColor="accent1" w:themeShade="80"/>
            </w:tcBorders>
            <w:shd w:val="clear" w:color="auto" w:fill="auto"/>
            <w:vAlign w:val="center"/>
          </w:tcPr>
          <w:p w14:paraId="093BE0C4" w14:textId="77777777" w:rsidR="005357C6" w:rsidRPr="00D71583" w:rsidRDefault="005357C6" w:rsidP="003F1E2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8</w:t>
            </w:r>
          </w:p>
        </w:tc>
        <w:tc>
          <w:tcPr>
            <w:tcW w:w="567" w:type="dxa"/>
            <w:tcBorders>
              <w:top w:val="nil"/>
              <w:bottom w:val="single" w:sz="2" w:space="0" w:color="1F4E79" w:themeColor="accent1" w:themeShade="80"/>
            </w:tcBorders>
            <w:shd w:val="clear" w:color="auto" w:fill="auto"/>
            <w:vAlign w:val="center"/>
          </w:tcPr>
          <w:p w14:paraId="592A7AFF" w14:textId="77777777" w:rsidR="005357C6" w:rsidRPr="00D71583" w:rsidRDefault="005357C6" w:rsidP="003F1E22">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D71583">
              <w:rPr>
                <w:rFonts w:cs="Arial"/>
                <w:color w:val="auto"/>
                <w:szCs w:val="14"/>
              </w:rPr>
              <w:t>0.00</w:t>
            </w:r>
          </w:p>
        </w:tc>
      </w:tr>
    </w:tbl>
    <w:p w14:paraId="752CF75A" w14:textId="77777777" w:rsidR="005357C6" w:rsidRPr="00993FCA" w:rsidRDefault="005357C6" w:rsidP="003F1E22">
      <w:pPr>
        <w:pStyle w:val="07-Legenda"/>
        <w:rPr>
          <w:lang w:val="en-US"/>
        </w:rPr>
      </w:pPr>
    </w:p>
    <w:p w14:paraId="591A2F81" w14:textId="77777777" w:rsidR="005357C6" w:rsidRPr="004F76D8" w:rsidRDefault="005357C6" w:rsidP="003F1E22">
      <w:pPr>
        <w:pStyle w:val="05-Textonormal"/>
        <w:rPr>
          <w:b/>
          <w:color w:val="1F4E79" w:themeColor="accent1" w:themeShade="80"/>
          <w:lang w:val="en-US"/>
        </w:rPr>
      </w:pPr>
      <w:r w:rsidRPr="004F76D8">
        <w:rPr>
          <w:b/>
          <w:color w:val="1F4E79" w:themeColor="accent1" w:themeShade="80"/>
          <w:lang w:val="en-US"/>
        </w:rPr>
        <w:t>Sensitivity analysis on market risk factors</w:t>
      </w:r>
    </w:p>
    <w:p w14:paraId="5C9D52C9" w14:textId="77777777" w:rsidR="005357C6" w:rsidRPr="00993FCA" w:rsidRDefault="005357C6" w:rsidP="003F1E22">
      <w:pPr>
        <w:pStyle w:val="05-Textonormal"/>
        <w:rPr>
          <w:lang w:val="en-US"/>
        </w:rPr>
      </w:pPr>
      <w:r w:rsidRPr="00993FCA">
        <w:rPr>
          <w:lang w:val="en-US"/>
        </w:rPr>
        <w:t xml:space="preserve">On </w:t>
      </w:r>
      <w:r>
        <w:rPr>
          <w:lang w:val="en-US"/>
        </w:rPr>
        <w:t xml:space="preserve">December </w:t>
      </w:r>
      <w:r w:rsidRPr="00993FCA">
        <w:rPr>
          <w:lang w:val="en-US"/>
        </w:rPr>
        <w:t>3</w:t>
      </w:r>
      <w:r>
        <w:rPr>
          <w:lang w:val="en-US"/>
        </w:rPr>
        <w:t>1</w:t>
      </w:r>
      <w:r w:rsidRPr="00993FCA">
        <w:rPr>
          <w:lang w:val="en-US"/>
        </w:rPr>
        <w:t>, 2022, there were no derivative instruments in the Group's portfolio, which was entirely composed of post-fixed financial instruments linked to Selic rate. Based on the studies carried out, there is no relevant exposure to market risk factors.</w:t>
      </w:r>
    </w:p>
    <w:p w14:paraId="1A7DCA94" w14:textId="77777777" w:rsidR="005357C6" w:rsidRPr="004F76D8" w:rsidRDefault="005357C6" w:rsidP="003F1E22">
      <w:pPr>
        <w:pStyle w:val="05-Textonormal"/>
        <w:rPr>
          <w:b/>
          <w:color w:val="1F4E79" w:themeColor="accent1" w:themeShade="80"/>
          <w:lang w:val="en-US"/>
        </w:rPr>
      </w:pPr>
      <w:r w:rsidRPr="004F76D8">
        <w:rPr>
          <w:b/>
          <w:color w:val="1F4E79" w:themeColor="accent1" w:themeShade="80"/>
          <w:lang w:val="en-US"/>
        </w:rPr>
        <w:t>a.3) Credit Risk</w:t>
      </w:r>
    </w:p>
    <w:p w14:paraId="66D15645" w14:textId="77777777" w:rsidR="005357C6" w:rsidRPr="00993FCA" w:rsidRDefault="005357C6" w:rsidP="003F1E22">
      <w:pPr>
        <w:pStyle w:val="05-Textonormal"/>
        <w:rPr>
          <w:lang w:val="en-US"/>
        </w:rPr>
      </w:pPr>
      <w:r w:rsidRPr="00993FCA">
        <w:rPr>
          <w:lang w:val="en-US"/>
        </w:rPr>
        <w:t xml:space="preserve">The credit risk is defined by the Group as the possibility of negative impacts associated to the non-fulfillment, by a borrower or a counterparty, of its corresponding financial obligations according to negotiated terms, and/or to the devaluation of receivables due to a drop in the borrower's or counterparty’s risk rating. At BB Seguridade and its subsidiaries, the exposure to this risk arises from the investment portfolio in financial assets, </w:t>
      </w:r>
      <w:r w:rsidRPr="00FF21C9">
        <w:rPr>
          <w:lang w:val="en-US"/>
        </w:rPr>
        <w:t>which is composed of Bonds issued by private counterparties</w:t>
      </w:r>
      <w:r w:rsidRPr="00993FCA">
        <w:rPr>
          <w:lang w:val="en-US"/>
        </w:rPr>
        <w:t>. H</w:t>
      </w:r>
      <w:r w:rsidRPr="00993FCA">
        <w:rPr>
          <w:lang w:val="en"/>
        </w:rPr>
        <w:t>owever, currently, the portfolio does not include securities issued by private counterparties. Therefore, exposure to this risk is not relevant.</w:t>
      </w:r>
    </w:p>
    <w:p w14:paraId="07E7925A" w14:textId="77777777" w:rsidR="005357C6" w:rsidRPr="00993FCA" w:rsidRDefault="005357C6" w:rsidP="003F1E22">
      <w:pPr>
        <w:pStyle w:val="05-Textonormal"/>
        <w:rPr>
          <w:lang w:val="en-US"/>
        </w:rPr>
      </w:pPr>
      <w:r w:rsidRPr="00993FCA">
        <w:rPr>
          <w:lang w:val="en"/>
        </w:rPr>
        <w:t>The credit risk arising from the payment of brokerage for products sold by BB Corretora is considered duly mitigated due to the nature of the Group's operation, since most of the business takes place through the Banco do Brasil channel, whose brokerage is transferred automatically.</w:t>
      </w:r>
    </w:p>
    <w:p w14:paraId="59E62EC8" w14:textId="77777777" w:rsidR="005357C6" w:rsidRPr="004F76D8" w:rsidRDefault="005357C6" w:rsidP="003F1E22">
      <w:pPr>
        <w:pStyle w:val="05-Textonormal"/>
        <w:rPr>
          <w:b/>
          <w:color w:val="1F4E79" w:themeColor="accent1" w:themeShade="80"/>
          <w:lang w:val="en-US"/>
        </w:rPr>
      </w:pPr>
      <w:r w:rsidRPr="004F76D8">
        <w:rPr>
          <w:b/>
          <w:color w:val="1F4E79" w:themeColor="accent1" w:themeShade="80"/>
          <w:lang w:val="en-US"/>
        </w:rPr>
        <w:t>Credit risk exposure in investments in financial assets</w:t>
      </w:r>
    </w:p>
    <w:p w14:paraId="6E9D8F50" w14:textId="77777777" w:rsidR="005357C6" w:rsidRDefault="005357C6" w:rsidP="007D5853">
      <w:pPr>
        <w:pStyle w:val="06-Rmil"/>
        <w:rPr>
          <w:lang w:val="en-US"/>
        </w:rPr>
      </w:pPr>
      <w:r w:rsidRPr="003F1E22">
        <w:rPr>
          <w:lang w:val="en-US"/>
        </w:rPr>
        <w:t>R$ thousand</w:t>
      </w:r>
    </w:p>
    <w:tbl>
      <w:tblPr>
        <w:tblStyle w:val="TabeladeLista6Colorida-nfase510"/>
        <w:tblW w:w="9781" w:type="dxa"/>
        <w:jc w:val="center"/>
        <w:tblInd w:w="0" w:type="dxa"/>
        <w:tblLayout w:type="fixed"/>
        <w:tblLook w:val="04A0" w:firstRow="1" w:lastRow="0" w:firstColumn="1" w:lastColumn="0" w:noHBand="0" w:noVBand="1"/>
      </w:tblPr>
      <w:tblGrid>
        <w:gridCol w:w="1985"/>
        <w:gridCol w:w="1276"/>
        <w:gridCol w:w="708"/>
        <w:gridCol w:w="1134"/>
        <w:gridCol w:w="709"/>
        <w:gridCol w:w="284"/>
        <w:gridCol w:w="1134"/>
        <w:gridCol w:w="709"/>
        <w:gridCol w:w="1134"/>
        <w:gridCol w:w="566"/>
        <w:gridCol w:w="142"/>
      </w:tblGrid>
      <w:tr w:rsidR="005357C6" w:rsidRPr="00D71583" w14:paraId="3A68C645" w14:textId="77777777" w:rsidTr="00BC1030">
        <w:trPr>
          <w:gridAfter w:val="1"/>
          <w:cnfStyle w:val="100000000000" w:firstRow="1" w:lastRow="0" w:firstColumn="0" w:lastColumn="0" w:oddVBand="0" w:evenVBand="0" w:oddHBand="0" w:evenHBand="0" w:firstRowFirstColumn="0" w:firstRowLastColumn="0" w:lastRowFirstColumn="0" w:lastRowLastColumn="0"/>
          <w:wAfter w:w="142" w:type="dxa"/>
          <w:trHeight w:hRule="exact" w:val="238"/>
          <w:jc w:val="center"/>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single" w:sz="2" w:space="0" w:color="1F4E79" w:themeColor="accent1" w:themeShade="80"/>
            </w:tcBorders>
            <w:shd w:val="clear" w:color="auto" w:fill="auto"/>
            <w:vAlign w:val="center"/>
          </w:tcPr>
          <w:p w14:paraId="2D8FD60B" w14:textId="77777777" w:rsidR="005357C6" w:rsidRPr="00D71583" w:rsidRDefault="005357C6" w:rsidP="00D71583">
            <w:pPr>
              <w:rPr>
                <w:rFonts w:cs="Arial"/>
                <w:szCs w:val="18"/>
              </w:rPr>
            </w:pPr>
            <w:r w:rsidRPr="00D71583">
              <w:rPr>
                <w:rFonts w:cs="Arial"/>
                <w:sz w:val="14"/>
                <w:szCs w:val="18"/>
              </w:rPr>
              <w:t xml:space="preserve">Financial Assets </w:t>
            </w:r>
            <w:r w:rsidRPr="00D71583">
              <w:rPr>
                <w:rFonts w:cs="Arial"/>
                <w:sz w:val="14"/>
                <w:szCs w:val="18"/>
                <w:vertAlign w:val="superscript"/>
              </w:rPr>
              <w:t>(1)</w:t>
            </w:r>
          </w:p>
        </w:tc>
        <w:tc>
          <w:tcPr>
            <w:tcW w:w="3827" w:type="dxa"/>
            <w:gridSpan w:val="4"/>
            <w:tcBorders>
              <w:top w:val="single" w:sz="2" w:space="0" w:color="1F4E79" w:themeColor="accent1" w:themeShade="80"/>
              <w:bottom w:val="single" w:sz="2" w:space="0" w:color="1F4E79" w:themeColor="accent1" w:themeShade="80"/>
            </w:tcBorders>
            <w:shd w:val="clear" w:color="auto" w:fill="auto"/>
            <w:vAlign w:val="center"/>
          </w:tcPr>
          <w:p w14:paraId="02131FB8" w14:textId="77777777" w:rsidR="005357C6" w:rsidRPr="00D71583" w:rsidRDefault="005357C6" w:rsidP="00D71583">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D71583">
              <w:rPr>
                <w:rFonts w:cs="Arial"/>
                <w:sz w:val="14"/>
                <w:szCs w:val="18"/>
              </w:rPr>
              <w:t>Parent</w:t>
            </w:r>
          </w:p>
        </w:tc>
        <w:tc>
          <w:tcPr>
            <w:tcW w:w="284" w:type="dxa"/>
            <w:tcBorders>
              <w:top w:val="single" w:sz="2" w:space="0" w:color="1F4E79" w:themeColor="accent1" w:themeShade="80"/>
              <w:bottom w:val="nil"/>
            </w:tcBorders>
            <w:shd w:val="clear" w:color="auto" w:fill="auto"/>
            <w:vAlign w:val="center"/>
          </w:tcPr>
          <w:p w14:paraId="32B48067" w14:textId="77777777" w:rsidR="005357C6" w:rsidRPr="00D71583" w:rsidRDefault="005357C6" w:rsidP="00D71583">
            <w:pPr>
              <w:jc w:val="center"/>
              <w:cnfStyle w:val="100000000000" w:firstRow="1" w:lastRow="0" w:firstColumn="0" w:lastColumn="0" w:oddVBand="0" w:evenVBand="0" w:oddHBand="0" w:evenHBand="0" w:firstRowFirstColumn="0" w:firstRowLastColumn="0" w:lastRowFirstColumn="0" w:lastRowLastColumn="0"/>
              <w:rPr>
                <w:rFonts w:cs="Arial"/>
                <w:szCs w:val="18"/>
              </w:rPr>
            </w:pPr>
          </w:p>
        </w:tc>
        <w:tc>
          <w:tcPr>
            <w:tcW w:w="3543" w:type="dxa"/>
            <w:gridSpan w:val="4"/>
            <w:tcBorders>
              <w:top w:val="single" w:sz="2" w:space="0" w:color="1F4E79" w:themeColor="accent1" w:themeShade="80"/>
              <w:bottom w:val="single" w:sz="2" w:space="0" w:color="1F4E79" w:themeColor="accent1" w:themeShade="80"/>
            </w:tcBorders>
            <w:shd w:val="clear" w:color="auto" w:fill="auto"/>
            <w:vAlign w:val="center"/>
          </w:tcPr>
          <w:p w14:paraId="51AECFDA" w14:textId="77777777" w:rsidR="005357C6" w:rsidRPr="00D71583" w:rsidRDefault="005357C6" w:rsidP="00D71583">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D71583">
              <w:rPr>
                <w:rFonts w:cs="Arial"/>
                <w:sz w:val="14"/>
                <w:szCs w:val="18"/>
              </w:rPr>
              <w:t>Consolidated</w:t>
            </w:r>
          </w:p>
        </w:tc>
      </w:tr>
      <w:tr w:rsidR="005357C6" w:rsidRPr="00D71583" w14:paraId="2A1A394E" w14:textId="77777777" w:rsidTr="00BC1030">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985" w:type="dxa"/>
            <w:vMerge/>
            <w:tcBorders>
              <w:bottom w:val="single" w:sz="2" w:space="0" w:color="1F4E79" w:themeColor="accent1" w:themeShade="80"/>
            </w:tcBorders>
            <w:shd w:val="clear" w:color="auto" w:fill="auto"/>
          </w:tcPr>
          <w:p w14:paraId="608B2A5E" w14:textId="77777777" w:rsidR="005357C6" w:rsidRPr="00D71583" w:rsidRDefault="005357C6" w:rsidP="00D71583">
            <w:pPr>
              <w:keepNext/>
              <w:keepLines/>
              <w:spacing w:before="40" w:after="40"/>
              <w:rPr>
                <w:rFonts w:eastAsia="Times New Roman" w:cs="Arial"/>
                <w:b w:val="0"/>
                <w:spacing w:val="-2"/>
                <w:sz w:val="14"/>
                <w:szCs w:val="18"/>
                <w:lang w:eastAsia="pt-BR"/>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55E5482A" w14:textId="77777777" w:rsidR="005357C6" w:rsidRPr="00D71583" w:rsidRDefault="005357C6" w:rsidP="00D7158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Dec 31, 2022</w:t>
            </w:r>
          </w:p>
        </w:tc>
        <w:tc>
          <w:tcPr>
            <w:tcW w:w="708" w:type="dxa"/>
            <w:tcBorders>
              <w:top w:val="single" w:sz="2" w:space="0" w:color="1F4E79" w:themeColor="accent1" w:themeShade="80"/>
              <w:bottom w:val="single" w:sz="2" w:space="0" w:color="1F4E79" w:themeColor="accent1" w:themeShade="80"/>
            </w:tcBorders>
            <w:shd w:val="clear" w:color="auto" w:fill="auto"/>
            <w:vAlign w:val="center"/>
          </w:tcPr>
          <w:p w14:paraId="580E624D" w14:textId="77777777" w:rsidR="005357C6" w:rsidRPr="00D71583" w:rsidRDefault="005357C6" w:rsidP="00D7158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3ADE0528" w14:textId="77777777" w:rsidR="005357C6" w:rsidRPr="00D71583" w:rsidRDefault="005357C6" w:rsidP="00BC103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Dec 31, 202</w:t>
            </w:r>
            <w:r>
              <w:rPr>
                <w:rFonts w:eastAsia="Times New Roman" w:cs="Arial"/>
                <w:b/>
                <w:spacing w:val="-2"/>
                <w:sz w:val="14"/>
                <w:szCs w:val="18"/>
                <w:lang w:eastAsia="pt-BR"/>
              </w:rPr>
              <w:t>1</w:t>
            </w:r>
          </w:p>
        </w:tc>
        <w:tc>
          <w:tcPr>
            <w:tcW w:w="709" w:type="dxa"/>
            <w:tcBorders>
              <w:top w:val="single" w:sz="2" w:space="0" w:color="1F4E79" w:themeColor="accent1" w:themeShade="80"/>
              <w:bottom w:val="single" w:sz="2" w:space="0" w:color="1F4E79" w:themeColor="accent1" w:themeShade="80"/>
            </w:tcBorders>
            <w:shd w:val="clear" w:color="auto" w:fill="auto"/>
            <w:vAlign w:val="center"/>
          </w:tcPr>
          <w:p w14:paraId="7278998F" w14:textId="77777777" w:rsidR="005357C6" w:rsidRPr="00D71583" w:rsidRDefault="005357C6" w:rsidP="00D7158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w:t>
            </w:r>
          </w:p>
        </w:tc>
        <w:tc>
          <w:tcPr>
            <w:tcW w:w="284" w:type="dxa"/>
            <w:tcBorders>
              <w:top w:val="nil"/>
              <w:bottom w:val="single" w:sz="2" w:space="0" w:color="1F4E79" w:themeColor="accent1" w:themeShade="80"/>
            </w:tcBorders>
            <w:shd w:val="clear" w:color="auto" w:fill="auto"/>
            <w:vAlign w:val="center"/>
          </w:tcPr>
          <w:p w14:paraId="17A7EE79" w14:textId="77777777" w:rsidR="005357C6" w:rsidRPr="00D71583" w:rsidRDefault="005357C6" w:rsidP="00D7158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2074649C" w14:textId="77777777" w:rsidR="005357C6" w:rsidRPr="00D71583" w:rsidRDefault="005357C6" w:rsidP="00D7158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Dec 31, 2022</w:t>
            </w:r>
          </w:p>
        </w:tc>
        <w:tc>
          <w:tcPr>
            <w:tcW w:w="709" w:type="dxa"/>
            <w:tcBorders>
              <w:top w:val="single" w:sz="2" w:space="0" w:color="1F4E79" w:themeColor="accent1" w:themeShade="80"/>
              <w:bottom w:val="single" w:sz="2" w:space="0" w:color="1F4E79" w:themeColor="accent1" w:themeShade="80"/>
            </w:tcBorders>
            <w:shd w:val="clear" w:color="auto" w:fill="auto"/>
            <w:vAlign w:val="center"/>
          </w:tcPr>
          <w:p w14:paraId="2C44878B" w14:textId="77777777" w:rsidR="005357C6" w:rsidRPr="00D71583" w:rsidRDefault="005357C6" w:rsidP="00D7158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5C10B54A" w14:textId="77777777" w:rsidR="005357C6" w:rsidRPr="00D71583" w:rsidRDefault="005357C6" w:rsidP="00BC103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Dec 31, 202</w:t>
            </w:r>
            <w:r>
              <w:rPr>
                <w:rFonts w:eastAsia="Times New Roman" w:cs="Arial"/>
                <w:b/>
                <w:spacing w:val="-2"/>
                <w:sz w:val="14"/>
                <w:szCs w:val="18"/>
                <w:lang w:eastAsia="pt-BR"/>
              </w:rPr>
              <w:t>1</w:t>
            </w:r>
          </w:p>
        </w:tc>
        <w:tc>
          <w:tcPr>
            <w:tcW w:w="708" w:type="dxa"/>
            <w:gridSpan w:val="2"/>
            <w:tcBorders>
              <w:top w:val="single" w:sz="2" w:space="0" w:color="1F4E79" w:themeColor="accent1" w:themeShade="80"/>
              <w:bottom w:val="single" w:sz="2" w:space="0" w:color="1F4E79" w:themeColor="accent1" w:themeShade="80"/>
            </w:tcBorders>
            <w:shd w:val="clear" w:color="auto" w:fill="auto"/>
            <w:vAlign w:val="center"/>
          </w:tcPr>
          <w:p w14:paraId="0807B0E7" w14:textId="77777777" w:rsidR="005357C6" w:rsidRPr="00D71583" w:rsidRDefault="005357C6" w:rsidP="00D7158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D71583">
              <w:rPr>
                <w:rFonts w:eastAsia="Times New Roman" w:cs="Arial"/>
                <w:b/>
                <w:spacing w:val="-2"/>
                <w:sz w:val="14"/>
                <w:szCs w:val="18"/>
                <w:lang w:eastAsia="pt-BR"/>
              </w:rPr>
              <w:t>%</w:t>
            </w:r>
          </w:p>
        </w:tc>
      </w:tr>
      <w:tr w:rsidR="005357C6" w:rsidRPr="00D71583" w14:paraId="6CCB27AE" w14:textId="77777777" w:rsidTr="0015325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1F4E79" w:themeColor="accent1" w:themeShade="80"/>
              <w:bottom w:val="nil"/>
            </w:tcBorders>
            <w:shd w:val="clear" w:color="auto" w:fill="auto"/>
            <w:vAlign w:val="center"/>
          </w:tcPr>
          <w:p w14:paraId="4B151F55" w14:textId="77777777" w:rsidR="005357C6" w:rsidRPr="00D71583" w:rsidRDefault="005357C6" w:rsidP="00D71583">
            <w:pPr>
              <w:keepLines/>
              <w:tabs>
                <w:tab w:val="left" w:pos="284"/>
              </w:tabs>
              <w:spacing w:before="40"/>
              <w:rPr>
                <w:rFonts w:eastAsia="Times New Roman" w:cs="Times New Roman"/>
                <w:b w:val="0"/>
                <w:spacing w:val="-2"/>
                <w:sz w:val="14"/>
                <w:szCs w:val="18"/>
                <w:lang w:eastAsia="pt-BR"/>
              </w:rPr>
            </w:pPr>
            <w:r w:rsidRPr="00D71583">
              <w:rPr>
                <w:rFonts w:eastAsia="Times New Roman" w:cs="Times New Roman"/>
                <w:b w:val="0"/>
                <w:spacing w:val="-2"/>
                <w:sz w:val="14"/>
                <w:szCs w:val="18"/>
                <w:lang w:eastAsia="pt-BR"/>
              </w:rPr>
              <w:t>Federal Government Bonds</w:t>
            </w:r>
          </w:p>
        </w:tc>
        <w:tc>
          <w:tcPr>
            <w:tcW w:w="1276" w:type="dxa"/>
            <w:tcBorders>
              <w:top w:val="single" w:sz="2" w:space="0" w:color="1F4E79" w:themeColor="accent1" w:themeShade="80"/>
              <w:bottom w:val="nil"/>
            </w:tcBorders>
            <w:shd w:val="clear" w:color="auto" w:fill="auto"/>
            <w:vAlign w:val="center"/>
          </w:tcPr>
          <w:p w14:paraId="045FC9FD"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Pr>
                <w:rFonts w:eastAsia="Times New Roman" w:cs="Times New Roman"/>
                <w:spacing w:val="-2"/>
                <w:sz w:val="14"/>
                <w:szCs w:val="18"/>
                <w:lang w:eastAsia="pt-BR"/>
              </w:rPr>
              <w:t>58,</w:t>
            </w:r>
            <w:r w:rsidRPr="00153258">
              <w:rPr>
                <w:rFonts w:eastAsia="Times New Roman" w:cs="Times New Roman"/>
                <w:spacing w:val="-2"/>
                <w:sz w:val="14"/>
                <w:szCs w:val="18"/>
                <w:lang w:eastAsia="pt-BR"/>
              </w:rPr>
              <w:t>576</w:t>
            </w:r>
          </w:p>
        </w:tc>
        <w:tc>
          <w:tcPr>
            <w:tcW w:w="708" w:type="dxa"/>
            <w:tcBorders>
              <w:top w:val="single" w:sz="2" w:space="0" w:color="1F4E79" w:themeColor="accent1" w:themeShade="80"/>
              <w:bottom w:val="nil"/>
            </w:tcBorders>
            <w:shd w:val="clear" w:color="auto" w:fill="auto"/>
            <w:vAlign w:val="center"/>
          </w:tcPr>
          <w:p w14:paraId="69D494AC"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Pr>
                <w:rFonts w:eastAsia="Times New Roman" w:cs="Arial"/>
                <w:spacing w:val="-2"/>
                <w:sz w:val="14"/>
                <w:szCs w:val="14"/>
                <w:lang w:eastAsia="pt-BR"/>
              </w:rPr>
              <w:t>100.</w:t>
            </w:r>
            <w:r w:rsidRPr="00D71583">
              <w:rPr>
                <w:rFonts w:eastAsia="Times New Roman" w:cs="Arial"/>
                <w:spacing w:val="-2"/>
                <w:sz w:val="14"/>
                <w:szCs w:val="14"/>
                <w:lang w:eastAsia="pt-BR"/>
              </w:rPr>
              <w:t>00</w:t>
            </w:r>
          </w:p>
        </w:tc>
        <w:tc>
          <w:tcPr>
            <w:tcW w:w="1134" w:type="dxa"/>
            <w:tcBorders>
              <w:top w:val="single" w:sz="2" w:space="0" w:color="1F4E79" w:themeColor="accent1" w:themeShade="80"/>
              <w:bottom w:val="nil"/>
            </w:tcBorders>
            <w:shd w:val="clear" w:color="auto" w:fill="auto"/>
            <w:vAlign w:val="center"/>
          </w:tcPr>
          <w:p w14:paraId="1B58794E"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val="en-US" w:eastAsia="pt-BR"/>
              </w:rPr>
            </w:pPr>
            <w:r>
              <w:rPr>
                <w:rFonts w:eastAsia="Times New Roman" w:cs="Arial"/>
                <w:spacing w:val="-2"/>
                <w:sz w:val="14"/>
                <w:szCs w:val="14"/>
                <w:lang w:eastAsia="pt-BR"/>
              </w:rPr>
              <w:t>368,</w:t>
            </w:r>
            <w:r w:rsidRPr="00D71583">
              <w:rPr>
                <w:rFonts w:eastAsia="Times New Roman" w:cs="Arial"/>
                <w:spacing w:val="-2"/>
                <w:sz w:val="14"/>
                <w:szCs w:val="14"/>
                <w:lang w:eastAsia="pt-BR"/>
              </w:rPr>
              <w:t>889</w:t>
            </w:r>
          </w:p>
        </w:tc>
        <w:tc>
          <w:tcPr>
            <w:tcW w:w="709" w:type="dxa"/>
            <w:tcBorders>
              <w:top w:val="single" w:sz="2" w:space="0" w:color="1F4E79" w:themeColor="accent1" w:themeShade="80"/>
              <w:bottom w:val="nil"/>
            </w:tcBorders>
            <w:shd w:val="clear" w:color="auto" w:fill="auto"/>
            <w:vAlign w:val="center"/>
          </w:tcPr>
          <w:p w14:paraId="2C32719D"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val="en-US" w:eastAsia="pt-BR"/>
              </w:rPr>
            </w:pPr>
            <w:r>
              <w:rPr>
                <w:rFonts w:eastAsia="Times New Roman" w:cs="Arial"/>
                <w:spacing w:val="-2"/>
                <w:sz w:val="14"/>
                <w:szCs w:val="14"/>
                <w:lang w:eastAsia="pt-BR"/>
              </w:rPr>
              <w:t>100.</w:t>
            </w:r>
            <w:r w:rsidRPr="00D71583">
              <w:rPr>
                <w:rFonts w:eastAsia="Times New Roman" w:cs="Arial"/>
                <w:spacing w:val="-2"/>
                <w:sz w:val="14"/>
                <w:szCs w:val="14"/>
                <w:lang w:eastAsia="pt-BR"/>
              </w:rPr>
              <w:t>00</w:t>
            </w:r>
          </w:p>
        </w:tc>
        <w:tc>
          <w:tcPr>
            <w:tcW w:w="284" w:type="dxa"/>
            <w:tcBorders>
              <w:top w:val="single" w:sz="2" w:space="0" w:color="1F4E79" w:themeColor="accent1" w:themeShade="80"/>
              <w:bottom w:val="nil"/>
            </w:tcBorders>
            <w:shd w:val="clear" w:color="auto" w:fill="auto"/>
            <w:vAlign w:val="center"/>
          </w:tcPr>
          <w:p w14:paraId="263D6A6E"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val="en-US" w:eastAsia="pt-BR"/>
              </w:rPr>
            </w:pPr>
          </w:p>
        </w:tc>
        <w:tc>
          <w:tcPr>
            <w:tcW w:w="1134" w:type="dxa"/>
            <w:tcBorders>
              <w:top w:val="single" w:sz="2" w:space="0" w:color="1F4E79" w:themeColor="accent1" w:themeShade="80"/>
              <w:bottom w:val="nil"/>
            </w:tcBorders>
            <w:shd w:val="clear" w:color="auto" w:fill="auto"/>
            <w:vAlign w:val="center"/>
          </w:tcPr>
          <w:p w14:paraId="1D28C200"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lang w:eastAsia="pt-BR"/>
              </w:rPr>
            </w:pPr>
            <w:r>
              <w:rPr>
                <w:rFonts w:eastAsia="Times New Roman" w:cs="Times New Roman"/>
                <w:spacing w:val="-2"/>
                <w:sz w:val="14"/>
                <w:szCs w:val="18"/>
                <w:lang w:eastAsia="pt-BR"/>
              </w:rPr>
              <w:t>6,073,</w:t>
            </w:r>
            <w:r w:rsidRPr="00D71583">
              <w:rPr>
                <w:rFonts w:eastAsia="Times New Roman" w:cs="Times New Roman"/>
                <w:spacing w:val="-2"/>
                <w:sz w:val="14"/>
                <w:szCs w:val="18"/>
                <w:lang w:eastAsia="pt-BR"/>
              </w:rPr>
              <w:t>051</w:t>
            </w:r>
          </w:p>
        </w:tc>
        <w:tc>
          <w:tcPr>
            <w:tcW w:w="709" w:type="dxa"/>
            <w:tcBorders>
              <w:top w:val="single" w:sz="2" w:space="0" w:color="1F4E79" w:themeColor="accent1" w:themeShade="80"/>
              <w:bottom w:val="nil"/>
            </w:tcBorders>
            <w:shd w:val="clear" w:color="auto" w:fill="auto"/>
            <w:vAlign w:val="center"/>
          </w:tcPr>
          <w:p w14:paraId="3FA72AC7"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val="en-US" w:eastAsia="pt-BR"/>
              </w:rPr>
            </w:pPr>
            <w:r>
              <w:rPr>
                <w:rFonts w:eastAsia="Times New Roman" w:cs="Arial"/>
                <w:spacing w:val="-2"/>
                <w:sz w:val="14"/>
                <w:szCs w:val="14"/>
                <w:lang w:eastAsia="pt-BR"/>
              </w:rPr>
              <w:t>94.</w:t>
            </w:r>
            <w:r w:rsidRPr="00153258">
              <w:rPr>
                <w:rFonts w:eastAsia="Times New Roman" w:cs="Arial"/>
                <w:spacing w:val="-2"/>
                <w:sz w:val="14"/>
                <w:szCs w:val="14"/>
                <w:lang w:eastAsia="pt-BR"/>
              </w:rPr>
              <w:t>55</w:t>
            </w:r>
          </w:p>
        </w:tc>
        <w:tc>
          <w:tcPr>
            <w:tcW w:w="1134" w:type="dxa"/>
            <w:tcBorders>
              <w:top w:val="single" w:sz="2" w:space="0" w:color="1F4E79" w:themeColor="accent1" w:themeShade="80"/>
              <w:bottom w:val="nil"/>
            </w:tcBorders>
            <w:shd w:val="clear" w:color="auto" w:fill="auto"/>
            <w:vAlign w:val="center"/>
          </w:tcPr>
          <w:p w14:paraId="0B20F7A7"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val="en-US" w:eastAsia="pt-BR"/>
              </w:rPr>
            </w:pPr>
            <w:r>
              <w:rPr>
                <w:rFonts w:eastAsia="Times New Roman" w:cs="Arial"/>
                <w:spacing w:val="-2"/>
                <w:sz w:val="14"/>
                <w:szCs w:val="14"/>
                <w:lang w:eastAsia="pt-BR"/>
              </w:rPr>
              <w:t>4,086,</w:t>
            </w:r>
            <w:r w:rsidRPr="00D71583">
              <w:rPr>
                <w:rFonts w:eastAsia="Times New Roman" w:cs="Arial"/>
                <w:spacing w:val="-2"/>
                <w:sz w:val="14"/>
                <w:szCs w:val="14"/>
                <w:lang w:eastAsia="pt-BR"/>
              </w:rPr>
              <w:t>952</w:t>
            </w:r>
          </w:p>
        </w:tc>
        <w:tc>
          <w:tcPr>
            <w:tcW w:w="708" w:type="dxa"/>
            <w:gridSpan w:val="2"/>
            <w:tcBorders>
              <w:top w:val="single" w:sz="2" w:space="0" w:color="1F4E79" w:themeColor="accent1" w:themeShade="80"/>
              <w:bottom w:val="nil"/>
            </w:tcBorders>
            <w:shd w:val="clear" w:color="auto" w:fill="auto"/>
            <w:vAlign w:val="center"/>
          </w:tcPr>
          <w:p w14:paraId="0AC96F9A"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spacing w:val="-2"/>
                <w:sz w:val="14"/>
                <w:szCs w:val="18"/>
                <w:lang w:val="en-US" w:eastAsia="pt-BR"/>
              </w:rPr>
            </w:pPr>
            <w:r>
              <w:rPr>
                <w:rFonts w:eastAsia="Times New Roman" w:cs="Arial"/>
                <w:spacing w:val="-2"/>
                <w:sz w:val="14"/>
                <w:szCs w:val="14"/>
                <w:lang w:eastAsia="pt-BR"/>
              </w:rPr>
              <w:t>100.</w:t>
            </w:r>
            <w:r w:rsidRPr="00D71583">
              <w:rPr>
                <w:rFonts w:eastAsia="Times New Roman" w:cs="Arial"/>
                <w:spacing w:val="-2"/>
                <w:sz w:val="14"/>
                <w:szCs w:val="14"/>
                <w:lang w:eastAsia="pt-BR"/>
              </w:rPr>
              <w:t>00</w:t>
            </w:r>
          </w:p>
        </w:tc>
      </w:tr>
      <w:tr w:rsidR="005357C6" w:rsidRPr="00153258" w14:paraId="5A4A2EAA" w14:textId="77777777" w:rsidTr="0015325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85" w:type="dxa"/>
            <w:tcBorders>
              <w:top w:val="nil"/>
              <w:bottom w:val="nil"/>
            </w:tcBorders>
            <w:shd w:val="clear" w:color="auto" w:fill="auto"/>
            <w:vAlign w:val="center"/>
          </w:tcPr>
          <w:p w14:paraId="48BE3C04" w14:textId="77777777" w:rsidR="005357C6" w:rsidRPr="00153258" w:rsidRDefault="005357C6" w:rsidP="00153258">
            <w:pPr>
              <w:keepLines/>
              <w:tabs>
                <w:tab w:val="left" w:pos="284"/>
              </w:tabs>
              <w:spacing w:before="40"/>
              <w:rPr>
                <w:rFonts w:eastAsia="Times New Roman" w:cs="Times New Roman"/>
                <w:b w:val="0"/>
                <w:spacing w:val="-2"/>
                <w:sz w:val="14"/>
                <w:szCs w:val="18"/>
                <w:lang w:eastAsia="pt-BR"/>
              </w:rPr>
            </w:pPr>
            <w:r w:rsidRPr="00153258">
              <w:rPr>
                <w:rFonts w:eastAsia="Times New Roman" w:cs="Times New Roman"/>
                <w:b w:val="0"/>
                <w:spacing w:val="-2"/>
                <w:sz w:val="14"/>
                <w:szCs w:val="18"/>
                <w:lang w:eastAsia="pt-BR"/>
              </w:rPr>
              <w:t>Financial Treasury Bills</w:t>
            </w:r>
          </w:p>
        </w:tc>
        <w:tc>
          <w:tcPr>
            <w:tcW w:w="1276" w:type="dxa"/>
            <w:tcBorders>
              <w:top w:val="nil"/>
              <w:bottom w:val="nil"/>
            </w:tcBorders>
            <w:shd w:val="clear" w:color="auto" w:fill="auto"/>
            <w:vAlign w:val="center"/>
          </w:tcPr>
          <w:p w14:paraId="45113E65" w14:textId="77777777" w:rsidR="005357C6" w:rsidRPr="00041F63" w:rsidRDefault="005357C6" w:rsidP="00153258">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041F63">
              <w:rPr>
                <w:rFonts w:eastAsia="Times New Roman" w:cs="Arial"/>
                <w:spacing w:val="-2"/>
                <w:sz w:val="14"/>
                <w:szCs w:val="14"/>
                <w:lang w:eastAsia="pt-BR"/>
              </w:rPr>
              <w:t>--</w:t>
            </w:r>
          </w:p>
        </w:tc>
        <w:tc>
          <w:tcPr>
            <w:tcW w:w="708" w:type="dxa"/>
            <w:tcBorders>
              <w:top w:val="nil"/>
              <w:bottom w:val="nil"/>
            </w:tcBorders>
            <w:shd w:val="clear" w:color="auto" w:fill="auto"/>
            <w:vAlign w:val="center"/>
          </w:tcPr>
          <w:p w14:paraId="41937378" w14:textId="77777777" w:rsidR="005357C6" w:rsidRPr="00041F63" w:rsidRDefault="005357C6" w:rsidP="00153258">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041F63">
              <w:rPr>
                <w:rFonts w:eastAsia="Times New Roman" w:cs="Arial"/>
                <w:spacing w:val="-2"/>
                <w:sz w:val="14"/>
                <w:szCs w:val="14"/>
                <w:lang w:eastAsia="pt-BR"/>
              </w:rPr>
              <w:t>--</w:t>
            </w:r>
          </w:p>
        </w:tc>
        <w:tc>
          <w:tcPr>
            <w:tcW w:w="1134" w:type="dxa"/>
            <w:tcBorders>
              <w:top w:val="nil"/>
              <w:bottom w:val="nil"/>
            </w:tcBorders>
            <w:shd w:val="clear" w:color="auto" w:fill="auto"/>
            <w:vAlign w:val="center"/>
          </w:tcPr>
          <w:p w14:paraId="50C1A712" w14:textId="77777777" w:rsidR="005357C6" w:rsidRPr="00041F63" w:rsidRDefault="005357C6" w:rsidP="00153258">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041F63">
              <w:rPr>
                <w:rFonts w:eastAsia="Times New Roman" w:cs="Arial"/>
                <w:spacing w:val="-2"/>
                <w:sz w:val="14"/>
                <w:szCs w:val="14"/>
                <w:lang w:eastAsia="pt-BR"/>
              </w:rPr>
              <w:t>--</w:t>
            </w:r>
          </w:p>
        </w:tc>
        <w:tc>
          <w:tcPr>
            <w:tcW w:w="709" w:type="dxa"/>
            <w:tcBorders>
              <w:top w:val="nil"/>
              <w:bottom w:val="nil"/>
            </w:tcBorders>
            <w:shd w:val="clear" w:color="auto" w:fill="auto"/>
            <w:vAlign w:val="center"/>
          </w:tcPr>
          <w:p w14:paraId="30334DA2" w14:textId="77777777" w:rsidR="005357C6" w:rsidRPr="00041F63" w:rsidRDefault="005357C6" w:rsidP="00153258">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041F63">
              <w:rPr>
                <w:rFonts w:eastAsia="Times New Roman" w:cs="Arial"/>
                <w:spacing w:val="-2"/>
                <w:sz w:val="14"/>
                <w:szCs w:val="14"/>
                <w:lang w:eastAsia="pt-BR"/>
              </w:rPr>
              <w:t>--</w:t>
            </w:r>
          </w:p>
        </w:tc>
        <w:tc>
          <w:tcPr>
            <w:tcW w:w="284" w:type="dxa"/>
            <w:tcBorders>
              <w:top w:val="nil"/>
              <w:bottom w:val="nil"/>
            </w:tcBorders>
            <w:shd w:val="clear" w:color="auto" w:fill="auto"/>
            <w:vAlign w:val="center"/>
          </w:tcPr>
          <w:p w14:paraId="3B360F80" w14:textId="77777777" w:rsidR="005357C6" w:rsidRPr="00041F63" w:rsidRDefault="005357C6" w:rsidP="00153258">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34" w:type="dxa"/>
            <w:tcBorders>
              <w:top w:val="nil"/>
              <w:bottom w:val="nil"/>
            </w:tcBorders>
            <w:shd w:val="clear" w:color="auto" w:fill="auto"/>
            <w:vAlign w:val="center"/>
          </w:tcPr>
          <w:p w14:paraId="23FD7E90" w14:textId="77777777" w:rsidR="005357C6" w:rsidRPr="00041F63" w:rsidRDefault="005357C6" w:rsidP="00153258">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041F63">
              <w:rPr>
                <w:rFonts w:eastAsia="Times New Roman" w:cs="Arial"/>
                <w:spacing w:val="-2"/>
                <w:sz w:val="14"/>
                <w:szCs w:val="14"/>
                <w:lang w:eastAsia="pt-BR"/>
              </w:rPr>
              <w:t>350,217</w:t>
            </w:r>
          </w:p>
        </w:tc>
        <w:tc>
          <w:tcPr>
            <w:tcW w:w="709" w:type="dxa"/>
            <w:tcBorders>
              <w:top w:val="nil"/>
              <w:bottom w:val="nil"/>
            </w:tcBorders>
            <w:shd w:val="clear" w:color="auto" w:fill="auto"/>
            <w:vAlign w:val="center"/>
          </w:tcPr>
          <w:p w14:paraId="4EED24B7" w14:textId="77777777" w:rsidR="005357C6" w:rsidRPr="00041F63" w:rsidRDefault="005357C6" w:rsidP="00153258">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041F63">
              <w:rPr>
                <w:rFonts w:eastAsia="Times New Roman" w:cs="Arial"/>
                <w:spacing w:val="-2"/>
                <w:sz w:val="14"/>
                <w:szCs w:val="14"/>
                <w:lang w:eastAsia="pt-BR"/>
              </w:rPr>
              <w:t>5.45</w:t>
            </w:r>
          </w:p>
        </w:tc>
        <w:tc>
          <w:tcPr>
            <w:tcW w:w="1134" w:type="dxa"/>
            <w:tcBorders>
              <w:top w:val="nil"/>
              <w:bottom w:val="nil"/>
            </w:tcBorders>
            <w:shd w:val="clear" w:color="auto" w:fill="auto"/>
            <w:vAlign w:val="center"/>
          </w:tcPr>
          <w:p w14:paraId="7AA6687A" w14:textId="77777777" w:rsidR="005357C6" w:rsidRPr="00041F63" w:rsidRDefault="005357C6" w:rsidP="00153258">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041F63">
              <w:rPr>
                <w:rFonts w:eastAsia="Times New Roman" w:cs="Arial"/>
                <w:spacing w:val="-2"/>
                <w:sz w:val="14"/>
                <w:szCs w:val="14"/>
                <w:lang w:eastAsia="pt-BR"/>
              </w:rPr>
              <w:t>--</w:t>
            </w:r>
          </w:p>
        </w:tc>
        <w:tc>
          <w:tcPr>
            <w:tcW w:w="708" w:type="dxa"/>
            <w:gridSpan w:val="2"/>
            <w:tcBorders>
              <w:top w:val="nil"/>
              <w:bottom w:val="nil"/>
            </w:tcBorders>
            <w:shd w:val="clear" w:color="auto" w:fill="auto"/>
            <w:vAlign w:val="center"/>
          </w:tcPr>
          <w:p w14:paraId="5D031504" w14:textId="77777777" w:rsidR="005357C6" w:rsidRPr="00041F63" w:rsidRDefault="005357C6" w:rsidP="00153258">
            <w:pPr>
              <w:keepLines/>
              <w:tabs>
                <w:tab w:val="left" w:pos="284"/>
              </w:tabs>
              <w:spacing w:before="40"/>
              <w:ind w:left="284" w:hanging="284"/>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041F63">
              <w:rPr>
                <w:rFonts w:eastAsia="Times New Roman" w:cs="Arial"/>
                <w:spacing w:val="-2"/>
                <w:sz w:val="14"/>
                <w:szCs w:val="14"/>
                <w:lang w:eastAsia="pt-BR"/>
              </w:rPr>
              <w:t>--</w:t>
            </w:r>
          </w:p>
        </w:tc>
      </w:tr>
      <w:tr w:rsidR="005357C6" w:rsidRPr="00D71583" w14:paraId="7D7013DE" w14:textId="77777777" w:rsidTr="00BC103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2" w:space="0" w:color="1F4E79" w:themeColor="accent1" w:themeShade="80"/>
            </w:tcBorders>
            <w:shd w:val="clear" w:color="auto" w:fill="auto"/>
            <w:vAlign w:val="center"/>
          </w:tcPr>
          <w:p w14:paraId="6AED2565" w14:textId="77777777" w:rsidR="005357C6" w:rsidRPr="00D71583" w:rsidRDefault="005357C6" w:rsidP="00D71583">
            <w:pPr>
              <w:keepLines/>
              <w:tabs>
                <w:tab w:val="left" w:pos="284"/>
              </w:tabs>
              <w:spacing w:before="40"/>
              <w:ind w:left="284" w:hanging="284"/>
              <w:rPr>
                <w:rFonts w:eastAsia="Times New Roman" w:cs="Arial"/>
                <w:b w:val="0"/>
                <w:i/>
                <w:spacing w:val="-2"/>
                <w:sz w:val="14"/>
                <w:szCs w:val="18"/>
                <w:lang w:val="en-US" w:eastAsia="pt-BR"/>
              </w:rPr>
            </w:pPr>
            <w:r w:rsidRPr="00D71583">
              <w:rPr>
                <w:rFonts w:eastAsia="Times New Roman" w:cs="Times New Roman"/>
                <w:spacing w:val="-2"/>
                <w:sz w:val="14"/>
                <w:szCs w:val="18"/>
                <w:lang w:val="en-US" w:eastAsia="pt-BR"/>
              </w:rPr>
              <w:t>Total</w:t>
            </w:r>
          </w:p>
        </w:tc>
        <w:tc>
          <w:tcPr>
            <w:tcW w:w="1276" w:type="dxa"/>
            <w:tcBorders>
              <w:top w:val="nil"/>
              <w:bottom w:val="single" w:sz="2" w:space="0" w:color="1F4E79" w:themeColor="accent1" w:themeShade="80"/>
            </w:tcBorders>
            <w:shd w:val="clear" w:color="auto" w:fill="auto"/>
            <w:vAlign w:val="center"/>
          </w:tcPr>
          <w:p w14:paraId="26C07447"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lang w:eastAsia="pt-BR"/>
              </w:rPr>
            </w:pPr>
            <w:r>
              <w:rPr>
                <w:rFonts w:eastAsia="Times New Roman" w:cs="Times New Roman"/>
                <w:b/>
                <w:bCs/>
                <w:spacing w:val="-2"/>
                <w:sz w:val="14"/>
                <w:szCs w:val="18"/>
                <w:lang w:eastAsia="pt-BR"/>
              </w:rPr>
              <w:t>58,</w:t>
            </w:r>
            <w:r w:rsidRPr="00153258">
              <w:rPr>
                <w:rFonts w:eastAsia="Times New Roman" w:cs="Times New Roman"/>
                <w:b/>
                <w:bCs/>
                <w:spacing w:val="-2"/>
                <w:sz w:val="14"/>
                <w:szCs w:val="18"/>
                <w:lang w:eastAsia="pt-BR"/>
              </w:rPr>
              <w:t>576</w:t>
            </w:r>
          </w:p>
        </w:tc>
        <w:tc>
          <w:tcPr>
            <w:tcW w:w="708" w:type="dxa"/>
            <w:tcBorders>
              <w:top w:val="nil"/>
              <w:bottom w:val="single" w:sz="2" w:space="0" w:color="1F4E79" w:themeColor="accent1" w:themeShade="80"/>
            </w:tcBorders>
            <w:shd w:val="clear" w:color="auto" w:fill="auto"/>
            <w:vAlign w:val="center"/>
          </w:tcPr>
          <w:p w14:paraId="40398084"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lang w:eastAsia="pt-BR"/>
              </w:rPr>
            </w:pPr>
            <w:r>
              <w:rPr>
                <w:rFonts w:eastAsia="Times New Roman" w:cs="Arial"/>
                <w:b/>
                <w:bCs/>
                <w:spacing w:val="-2"/>
                <w:sz w:val="14"/>
                <w:szCs w:val="14"/>
                <w:lang w:eastAsia="pt-BR"/>
              </w:rPr>
              <w:t>100.</w:t>
            </w:r>
            <w:r w:rsidRPr="00D71583">
              <w:rPr>
                <w:rFonts w:eastAsia="Times New Roman" w:cs="Arial"/>
                <w:b/>
                <w:bCs/>
                <w:spacing w:val="-2"/>
                <w:sz w:val="14"/>
                <w:szCs w:val="14"/>
                <w:lang w:eastAsia="pt-BR"/>
              </w:rPr>
              <w:t>00</w:t>
            </w:r>
          </w:p>
        </w:tc>
        <w:tc>
          <w:tcPr>
            <w:tcW w:w="1134" w:type="dxa"/>
            <w:tcBorders>
              <w:top w:val="nil"/>
              <w:bottom w:val="single" w:sz="2" w:space="0" w:color="1F4E79" w:themeColor="accent1" w:themeShade="80"/>
            </w:tcBorders>
            <w:shd w:val="clear" w:color="auto" w:fill="auto"/>
            <w:vAlign w:val="center"/>
          </w:tcPr>
          <w:p w14:paraId="79040EAF"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spacing w:val="-2"/>
                <w:sz w:val="14"/>
                <w:szCs w:val="14"/>
                <w:lang w:val="en-US" w:eastAsia="pt-BR"/>
              </w:rPr>
            </w:pPr>
            <w:r>
              <w:rPr>
                <w:rFonts w:eastAsia="Times New Roman" w:cs="Arial"/>
                <w:b/>
                <w:bCs/>
                <w:spacing w:val="-2"/>
                <w:sz w:val="14"/>
                <w:szCs w:val="14"/>
                <w:lang w:eastAsia="pt-BR"/>
              </w:rPr>
              <w:t>368,</w:t>
            </w:r>
            <w:r w:rsidRPr="00D71583">
              <w:rPr>
                <w:rFonts w:eastAsia="Times New Roman" w:cs="Arial"/>
                <w:b/>
                <w:bCs/>
                <w:spacing w:val="-2"/>
                <w:sz w:val="14"/>
                <w:szCs w:val="14"/>
                <w:lang w:eastAsia="pt-BR"/>
              </w:rPr>
              <w:t>889</w:t>
            </w:r>
          </w:p>
        </w:tc>
        <w:tc>
          <w:tcPr>
            <w:tcW w:w="709" w:type="dxa"/>
            <w:tcBorders>
              <w:top w:val="nil"/>
              <w:bottom w:val="single" w:sz="2" w:space="0" w:color="1F4E79" w:themeColor="accent1" w:themeShade="80"/>
            </w:tcBorders>
            <w:shd w:val="clear" w:color="auto" w:fill="auto"/>
            <w:vAlign w:val="center"/>
          </w:tcPr>
          <w:p w14:paraId="2BB43B66"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spacing w:val="-2"/>
                <w:sz w:val="14"/>
                <w:szCs w:val="14"/>
                <w:lang w:val="en-US" w:eastAsia="pt-BR"/>
              </w:rPr>
            </w:pPr>
            <w:r>
              <w:rPr>
                <w:rFonts w:eastAsia="Times New Roman" w:cs="Arial"/>
                <w:b/>
                <w:bCs/>
                <w:spacing w:val="-2"/>
                <w:sz w:val="14"/>
                <w:szCs w:val="14"/>
                <w:lang w:eastAsia="pt-BR"/>
              </w:rPr>
              <w:t>100.</w:t>
            </w:r>
            <w:r w:rsidRPr="00D71583">
              <w:rPr>
                <w:rFonts w:eastAsia="Times New Roman" w:cs="Arial"/>
                <w:b/>
                <w:bCs/>
                <w:spacing w:val="-2"/>
                <w:sz w:val="14"/>
                <w:szCs w:val="14"/>
                <w:lang w:eastAsia="pt-BR"/>
              </w:rPr>
              <w:t>00</w:t>
            </w:r>
          </w:p>
        </w:tc>
        <w:tc>
          <w:tcPr>
            <w:tcW w:w="284" w:type="dxa"/>
            <w:tcBorders>
              <w:top w:val="nil"/>
              <w:bottom w:val="single" w:sz="2" w:space="0" w:color="1F4E79" w:themeColor="accent1" w:themeShade="80"/>
            </w:tcBorders>
            <w:shd w:val="clear" w:color="auto" w:fill="auto"/>
            <w:vAlign w:val="center"/>
          </w:tcPr>
          <w:p w14:paraId="3C577A38"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spacing w:val="-2"/>
                <w:sz w:val="14"/>
                <w:szCs w:val="14"/>
                <w:lang w:val="en-US" w:eastAsia="pt-BR"/>
              </w:rPr>
            </w:pPr>
          </w:p>
        </w:tc>
        <w:tc>
          <w:tcPr>
            <w:tcW w:w="1134" w:type="dxa"/>
            <w:tcBorders>
              <w:top w:val="nil"/>
              <w:bottom w:val="single" w:sz="2" w:space="0" w:color="1F4E79" w:themeColor="accent1" w:themeShade="80"/>
            </w:tcBorders>
            <w:shd w:val="clear" w:color="auto" w:fill="auto"/>
            <w:vAlign w:val="center"/>
          </w:tcPr>
          <w:p w14:paraId="02F878BC"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bCs/>
                <w:spacing w:val="-2"/>
                <w:sz w:val="14"/>
                <w:szCs w:val="14"/>
                <w:lang w:val="en-US" w:eastAsia="pt-BR"/>
              </w:rPr>
            </w:pPr>
            <w:r>
              <w:rPr>
                <w:rFonts w:eastAsia="Times New Roman" w:cs="Times New Roman"/>
                <w:b/>
                <w:bCs/>
                <w:spacing w:val="-2"/>
                <w:sz w:val="14"/>
                <w:szCs w:val="18"/>
                <w:lang w:eastAsia="pt-BR"/>
              </w:rPr>
              <w:t>6,423,</w:t>
            </w:r>
            <w:r w:rsidRPr="00153258">
              <w:rPr>
                <w:rFonts w:eastAsia="Times New Roman" w:cs="Times New Roman"/>
                <w:b/>
                <w:bCs/>
                <w:spacing w:val="-2"/>
                <w:sz w:val="14"/>
                <w:szCs w:val="18"/>
                <w:lang w:eastAsia="pt-BR"/>
              </w:rPr>
              <w:t>268</w:t>
            </w:r>
          </w:p>
        </w:tc>
        <w:tc>
          <w:tcPr>
            <w:tcW w:w="709" w:type="dxa"/>
            <w:tcBorders>
              <w:top w:val="nil"/>
              <w:bottom w:val="single" w:sz="2" w:space="0" w:color="1F4E79" w:themeColor="accent1" w:themeShade="80"/>
            </w:tcBorders>
            <w:shd w:val="clear" w:color="auto" w:fill="auto"/>
            <w:vAlign w:val="center"/>
          </w:tcPr>
          <w:p w14:paraId="113C753A"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spacing w:val="-2"/>
                <w:sz w:val="14"/>
                <w:szCs w:val="14"/>
                <w:lang w:val="en-US" w:eastAsia="pt-BR"/>
              </w:rPr>
            </w:pPr>
            <w:r>
              <w:rPr>
                <w:rFonts w:eastAsia="Times New Roman" w:cs="Arial"/>
                <w:b/>
                <w:bCs/>
                <w:spacing w:val="-2"/>
                <w:sz w:val="14"/>
                <w:szCs w:val="14"/>
                <w:lang w:eastAsia="pt-BR"/>
              </w:rPr>
              <w:t>100.</w:t>
            </w:r>
            <w:r w:rsidRPr="00D71583">
              <w:rPr>
                <w:rFonts w:eastAsia="Times New Roman" w:cs="Arial"/>
                <w:b/>
                <w:bCs/>
                <w:spacing w:val="-2"/>
                <w:sz w:val="14"/>
                <w:szCs w:val="14"/>
                <w:lang w:eastAsia="pt-BR"/>
              </w:rPr>
              <w:t>00</w:t>
            </w:r>
          </w:p>
        </w:tc>
        <w:tc>
          <w:tcPr>
            <w:tcW w:w="1134" w:type="dxa"/>
            <w:tcBorders>
              <w:top w:val="nil"/>
              <w:bottom w:val="single" w:sz="2" w:space="0" w:color="1F4E79" w:themeColor="accent1" w:themeShade="80"/>
            </w:tcBorders>
            <w:shd w:val="clear" w:color="auto" w:fill="auto"/>
            <w:vAlign w:val="center"/>
          </w:tcPr>
          <w:p w14:paraId="5769FD00"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spacing w:val="-2"/>
                <w:sz w:val="14"/>
                <w:szCs w:val="14"/>
                <w:lang w:val="en-US" w:eastAsia="pt-BR"/>
              </w:rPr>
            </w:pPr>
            <w:r>
              <w:rPr>
                <w:rFonts w:eastAsia="Times New Roman" w:cs="Arial"/>
                <w:b/>
                <w:bCs/>
                <w:spacing w:val="-2"/>
                <w:sz w:val="14"/>
                <w:szCs w:val="14"/>
                <w:lang w:eastAsia="pt-BR"/>
              </w:rPr>
              <w:t>4,086,</w:t>
            </w:r>
            <w:r w:rsidRPr="00D71583">
              <w:rPr>
                <w:rFonts w:eastAsia="Times New Roman" w:cs="Arial"/>
                <w:b/>
                <w:bCs/>
                <w:spacing w:val="-2"/>
                <w:sz w:val="14"/>
                <w:szCs w:val="14"/>
                <w:lang w:eastAsia="pt-BR"/>
              </w:rPr>
              <w:t>952</w:t>
            </w:r>
          </w:p>
        </w:tc>
        <w:tc>
          <w:tcPr>
            <w:tcW w:w="708" w:type="dxa"/>
            <w:gridSpan w:val="2"/>
            <w:tcBorders>
              <w:top w:val="nil"/>
              <w:bottom w:val="single" w:sz="2" w:space="0" w:color="1F4E79" w:themeColor="accent1" w:themeShade="80"/>
            </w:tcBorders>
            <w:shd w:val="clear" w:color="auto" w:fill="auto"/>
            <w:vAlign w:val="center"/>
          </w:tcPr>
          <w:p w14:paraId="181BCC0F" w14:textId="77777777" w:rsidR="005357C6" w:rsidRPr="00D71583" w:rsidRDefault="005357C6" w:rsidP="00D71583">
            <w:pPr>
              <w:keepLines/>
              <w:tabs>
                <w:tab w:val="left" w:pos="284"/>
              </w:tabs>
              <w:spacing w:before="40"/>
              <w:ind w:left="284" w:hanging="284"/>
              <w:jc w:val="right"/>
              <w:cnfStyle w:val="000000010000" w:firstRow="0" w:lastRow="0" w:firstColumn="0" w:lastColumn="0" w:oddVBand="0" w:evenVBand="0" w:oddHBand="0" w:evenHBand="1" w:firstRowFirstColumn="0" w:firstRowLastColumn="0" w:lastRowFirstColumn="0" w:lastRowLastColumn="0"/>
              <w:rPr>
                <w:rFonts w:eastAsia="Times New Roman" w:cs="Times New Roman"/>
                <w:b/>
                <w:spacing w:val="-2"/>
                <w:sz w:val="14"/>
                <w:szCs w:val="14"/>
                <w:lang w:val="en-US" w:eastAsia="pt-BR"/>
              </w:rPr>
            </w:pPr>
            <w:r>
              <w:rPr>
                <w:rFonts w:eastAsia="Times New Roman" w:cs="Arial"/>
                <w:b/>
                <w:bCs/>
                <w:spacing w:val="-2"/>
                <w:sz w:val="14"/>
                <w:szCs w:val="14"/>
                <w:lang w:eastAsia="pt-BR"/>
              </w:rPr>
              <w:t>100.</w:t>
            </w:r>
            <w:r w:rsidRPr="00D71583">
              <w:rPr>
                <w:rFonts w:eastAsia="Times New Roman" w:cs="Arial"/>
                <w:b/>
                <w:bCs/>
                <w:spacing w:val="-2"/>
                <w:sz w:val="14"/>
                <w:szCs w:val="14"/>
                <w:lang w:eastAsia="pt-BR"/>
              </w:rPr>
              <w:t>00</w:t>
            </w:r>
          </w:p>
        </w:tc>
      </w:tr>
    </w:tbl>
    <w:p w14:paraId="4FB7233C" w14:textId="77777777" w:rsidR="005357C6" w:rsidRPr="00AB1A73" w:rsidRDefault="005357C6" w:rsidP="005357C6">
      <w:pPr>
        <w:pStyle w:val="07-Legenda1"/>
        <w:numPr>
          <w:ilvl w:val="0"/>
          <w:numId w:val="34"/>
        </w:numPr>
        <w:tabs>
          <w:tab w:val="clear" w:pos="284"/>
        </w:tabs>
        <w:spacing w:line="240" w:lineRule="auto"/>
        <w:ind w:left="284" w:hanging="284"/>
        <w:rPr>
          <w:rFonts w:ascii="Arial" w:hAnsi="Arial" w:cs="Arial"/>
          <w:szCs w:val="14"/>
          <w:lang w:val="en"/>
        </w:rPr>
      </w:pPr>
      <w:r w:rsidRPr="00AB1A73">
        <w:rPr>
          <w:rFonts w:ascii="Arial" w:hAnsi="Arial" w:cs="Arial"/>
          <w:szCs w:val="14"/>
          <w:lang w:val="en-US"/>
        </w:rPr>
        <w:t xml:space="preserve">Does not include the amount invested in </w:t>
      </w:r>
      <w:r w:rsidRPr="00AB1A73">
        <w:rPr>
          <w:rFonts w:ascii="Arial" w:hAnsi="Arial" w:cs="Arial"/>
          <w:szCs w:val="14"/>
          <w:lang w:val="en"/>
        </w:rPr>
        <w:t>Equity Investment Funds (FIP)</w:t>
      </w:r>
      <w:r>
        <w:rPr>
          <w:rFonts w:ascii="Arial" w:hAnsi="Arial" w:cs="Arial"/>
          <w:szCs w:val="14"/>
          <w:lang w:val="en"/>
        </w:rPr>
        <w:t>,</w:t>
      </w:r>
      <w:r w:rsidRPr="00AB1A73">
        <w:rPr>
          <w:rFonts w:ascii="Arial" w:hAnsi="Arial" w:cs="Arial"/>
          <w:szCs w:val="14"/>
          <w:lang w:val="en"/>
        </w:rPr>
        <w:t xml:space="preserve"> with a total amount of </w:t>
      </w:r>
      <w:r>
        <w:rPr>
          <w:rFonts w:ascii="Arial" w:hAnsi="Arial" w:cs="Arial"/>
          <w:szCs w:val="14"/>
          <w:lang w:val="en"/>
        </w:rPr>
        <w:t>R$</w:t>
      </w:r>
      <w:r w:rsidRPr="00AB1A73">
        <w:rPr>
          <w:rFonts w:ascii="Arial" w:hAnsi="Arial" w:cs="Arial"/>
          <w:szCs w:val="14"/>
          <w:lang w:val="en"/>
        </w:rPr>
        <w:t xml:space="preserve"> 18,064 thousand on </w:t>
      </w:r>
      <w:r>
        <w:rPr>
          <w:rFonts w:ascii="Arial" w:hAnsi="Arial" w:cs="Arial"/>
          <w:szCs w:val="14"/>
          <w:lang w:val="en"/>
        </w:rPr>
        <w:t xml:space="preserve">Dec </w:t>
      </w:r>
      <w:r w:rsidRPr="00AB1A73">
        <w:rPr>
          <w:rFonts w:ascii="Arial" w:hAnsi="Arial" w:cs="Arial"/>
          <w:szCs w:val="14"/>
          <w:lang w:val="en"/>
        </w:rPr>
        <w:t>31</w:t>
      </w:r>
      <w:r>
        <w:rPr>
          <w:rFonts w:ascii="Arial" w:hAnsi="Arial" w:cs="Arial"/>
          <w:szCs w:val="14"/>
          <w:lang w:val="en"/>
        </w:rPr>
        <w:t xml:space="preserve">, </w:t>
      </w:r>
      <w:r w:rsidRPr="00AB1A73">
        <w:rPr>
          <w:rFonts w:ascii="Arial" w:hAnsi="Arial" w:cs="Arial"/>
          <w:szCs w:val="14"/>
          <w:lang w:val="en"/>
        </w:rPr>
        <w:t xml:space="preserve">2022 </w:t>
      </w:r>
      <w:r>
        <w:rPr>
          <w:rFonts w:ascii="Arial" w:hAnsi="Arial" w:cs="Arial"/>
          <w:szCs w:val="14"/>
          <w:lang w:val="en"/>
        </w:rPr>
        <w:t>(R$</w:t>
      </w:r>
      <w:r w:rsidRPr="00AB1A73">
        <w:rPr>
          <w:rFonts w:ascii="Arial" w:hAnsi="Arial" w:cs="Arial"/>
          <w:szCs w:val="14"/>
          <w:lang w:val="en"/>
        </w:rPr>
        <w:t xml:space="preserve"> 14,011 on </w:t>
      </w:r>
      <w:r>
        <w:rPr>
          <w:rFonts w:ascii="Arial" w:hAnsi="Arial" w:cs="Arial"/>
          <w:szCs w:val="14"/>
          <w:lang w:val="en"/>
        </w:rPr>
        <w:t xml:space="preserve">Dec </w:t>
      </w:r>
      <w:r w:rsidRPr="00AB1A73">
        <w:rPr>
          <w:rFonts w:ascii="Arial" w:hAnsi="Arial" w:cs="Arial"/>
          <w:szCs w:val="14"/>
          <w:lang w:val="en"/>
        </w:rPr>
        <w:t>31</w:t>
      </w:r>
      <w:r>
        <w:rPr>
          <w:rFonts w:ascii="Arial" w:hAnsi="Arial" w:cs="Arial"/>
          <w:szCs w:val="14"/>
          <w:lang w:val="en"/>
        </w:rPr>
        <w:t xml:space="preserve">, </w:t>
      </w:r>
      <w:r w:rsidRPr="00AB1A73">
        <w:rPr>
          <w:rFonts w:ascii="Arial" w:hAnsi="Arial" w:cs="Arial"/>
          <w:szCs w:val="14"/>
          <w:lang w:val="en"/>
        </w:rPr>
        <w:t>2021</w:t>
      </w:r>
      <w:r>
        <w:rPr>
          <w:rFonts w:ascii="Arial" w:hAnsi="Arial" w:cs="Arial"/>
          <w:szCs w:val="14"/>
          <w:lang w:val="en"/>
        </w:rPr>
        <w:t>)</w:t>
      </w:r>
      <w:r w:rsidRPr="00AF04B6">
        <w:rPr>
          <w:rFonts w:ascii="Arial" w:hAnsi="Arial" w:cs="Arial"/>
          <w:color w:val="000000" w:themeColor="text1"/>
          <w:szCs w:val="14"/>
          <w:lang w:val="en-US"/>
        </w:rPr>
        <w:t>.</w:t>
      </w:r>
    </w:p>
    <w:p w14:paraId="3FCF8ABD" w14:textId="77777777" w:rsidR="005357C6" w:rsidRPr="00AF04B6" w:rsidRDefault="005357C6" w:rsidP="00AB1A73">
      <w:pPr>
        <w:pStyle w:val="05-Textonormal"/>
        <w:rPr>
          <w:b/>
          <w:color w:val="1F4E79" w:themeColor="accent1" w:themeShade="80"/>
          <w:lang w:val="en-US"/>
        </w:rPr>
      </w:pPr>
      <w:r w:rsidRPr="00AF04B6">
        <w:rPr>
          <w:b/>
          <w:color w:val="1F4E79" w:themeColor="accent1" w:themeShade="80"/>
          <w:lang w:val="en-US"/>
        </w:rPr>
        <w:t>a.4) Liquidity Risk and capital management</w:t>
      </w:r>
    </w:p>
    <w:p w14:paraId="180A5B9D" w14:textId="77777777" w:rsidR="005357C6" w:rsidRPr="00993FCA" w:rsidRDefault="005357C6" w:rsidP="00C466EA">
      <w:pPr>
        <w:pStyle w:val="05-Textonormal"/>
        <w:rPr>
          <w:lang w:val="en-US"/>
        </w:rPr>
      </w:pPr>
      <w:r w:rsidRPr="00993FCA">
        <w:rPr>
          <w:lang w:val="en-US"/>
        </w:rPr>
        <w:t>Liquidity risk is defined by the Group as the possibility of negative impacts due to the lack of resources to honor its obligations due to the mismatch between assets and liabilities</w:t>
      </w:r>
    </w:p>
    <w:p w14:paraId="60695F8A" w14:textId="77777777" w:rsidR="005357C6" w:rsidRPr="00FF21C9" w:rsidRDefault="005357C6" w:rsidP="00060194">
      <w:pPr>
        <w:pStyle w:val="05-Textonormal"/>
        <w:rPr>
          <w:lang w:val="en-US"/>
        </w:rPr>
      </w:pPr>
      <w:r w:rsidRPr="00993FCA">
        <w:rPr>
          <w:lang w:val="en-US"/>
        </w:rPr>
        <w:t xml:space="preserve">BB Seguridade and its subsidiaries maintain assets with a high degree of conversion in cash to cover liabilities and other expected allocations to short term. </w:t>
      </w:r>
      <w:r w:rsidRPr="00993FCA">
        <w:rPr>
          <w:lang w:val="en"/>
        </w:rPr>
        <w:t>The parameters used are defined by the Financial Investment Policy and the Capital Plan.</w:t>
      </w:r>
    </w:p>
    <w:p w14:paraId="4583123D" w14:textId="77777777" w:rsidR="005357C6" w:rsidRPr="00993FCA" w:rsidRDefault="005357C6" w:rsidP="00C466EA">
      <w:pPr>
        <w:pStyle w:val="05-Textonormal"/>
        <w:rPr>
          <w:lang w:val="en-US"/>
        </w:rPr>
      </w:pPr>
      <w:r w:rsidRPr="00993FCA">
        <w:rPr>
          <w:lang w:val="en-US"/>
        </w:rPr>
        <w:t>The Capital Plan, prepared for a minimum three-year horizon, presents the projected financial flows from the operational activity, such as compensation from commissions, equity interests, expenses inherent to the Group's activities and those resulting from strategic movements, such as allocation of funds to equity interests, strategic investments, divestitures and disposals and considers the maintenance of a liquidity margin in order to keep the financial balance in case of unpredictable events.</w:t>
      </w:r>
    </w:p>
    <w:p w14:paraId="505F9795" w14:textId="77777777" w:rsidR="005357C6" w:rsidRPr="00993FCA" w:rsidRDefault="005357C6" w:rsidP="005E3ACE">
      <w:pPr>
        <w:pStyle w:val="05-Textonormal"/>
        <w:rPr>
          <w:lang w:val="en-US" w:eastAsia="en-US"/>
        </w:rPr>
      </w:pPr>
      <w:r w:rsidRPr="00993FCA">
        <w:rPr>
          <w:lang w:val="en-US"/>
        </w:rPr>
        <w:lastRenderedPageBreak/>
        <w:t>The BB Seguridade and its subsidiaries main liabilities refer to administrative costs, payment of taxes and dividends, as presented below</w:t>
      </w:r>
      <w:r w:rsidRPr="00993FCA">
        <w:rPr>
          <w:lang w:val="en-US" w:eastAsia="en-US"/>
        </w:rPr>
        <w:t>.</w:t>
      </w:r>
      <w:bookmarkStart w:id="29" w:name="_Hlk109394925"/>
    </w:p>
    <w:p w14:paraId="7E471EC5" w14:textId="77777777" w:rsidR="005357C6" w:rsidRPr="00993FCA" w:rsidRDefault="005357C6" w:rsidP="007C510A">
      <w:pPr>
        <w:pStyle w:val="06-Rmil"/>
        <w:rPr>
          <w:lang w:val="en-US"/>
        </w:rPr>
      </w:pPr>
      <w:r w:rsidRPr="00993FCA">
        <w:rPr>
          <w:lang w:val="en-US"/>
        </w:rPr>
        <w:t>R$ thousand</w:t>
      </w:r>
    </w:p>
    <w:tbl>
      <w:tblPr>
        <w:tblStyle w:val="TabeladeLista6Colorida-nfase5"/>
        <w:tblW w:w="9840" w:type="dxa"/>
        <w:jc w:val="center"/>
        <w:tblLayout w:type="fixed"/>
        <w:tblLook w:val="04A0" w:firstRow="1" w:lastRow="0" w:firstColumn="1" w:lastColumn="0" w:noHBand="0" w:noVBand="1"/>
      </w:tblPr>
      <w:tblGrid>
        <w:gridCol w:w="2117"/>
        <w:gridCol w:w="718"/>
        <w:gridCol w:w="993"/>
        <w:gridCol w:w="1275"/>
        <w:gridCol w:w="1418"/>
        <w:gridCol w:w="283"/>
        <w:gridCol w:w="1134"/>
        <w:gridCol w:w="1902"/>
      </w:tblGrid>
      <w:tr w:rsidR="005357C6" w:rsidRPr="00BC1030" w14:paraId="10BC3353" w14:textId="77777777" w:rsidTr="00BC1030">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4E79" w:themeColor="accent1" w:themeShade="80"/>
              <w:bottom w:val="single" w:sz="2" w:space="0" w:color="1F4E79" w:themeColor="accent1" w:themeShade="80"/>
            </w:tcBorders>
            <w:shd w:val="clear" w:color="auto" w:fill="auto"/>
          </w:tcPr>
          <w:p w14:paraId="09745E23" w14:textId="77777777" w:rsidR="005357C6" w:rsidRPr="00BC1030" w:rsidRDefault="005357C6" w:rsidP="00925E15">
            <w:pPr>
              <w:keepNext/>
              <w:jc w:val="center"/>
              <w:rPr>
                <w:rFonts w:cs="Arial"/>
                <w:color w:val="auto"/>
                <w:sz w:val="14"/>
                <w:szCs w:val="14"/>
              </w:rPr>
            </w:pPr>
          </w:p>
        </w:tc>
        <w:tc>
          <w:tcPr>
            <w:tcW w:w="7723" w:type="dxa"/>
            <w:gridSpan w:val="7"/>
            <w:tcBorders>
              <w:top w:val="single" w:sz="2" w:space="0" w:color="1F4E79" w:themeColor="accent1" w:themeShade="80"/>
              <w:bottom w:val="single" w:sz="2" w:space="0" w:color="1F4E79" w:themeColor="accent1" w:themeShade="80"/>
            </w:tcBorders>
            <w:shd w:val="clear" w:color="auto" w:fill="auto"/>
            <w:vAlign w:val="center"/>
          </w:tcPr>
          <w:p w14:paraId="504C0DDA" w14:textId="77777777" w:rsidR="005357C6" w:rsidRPr="00BC1030" w:rsidRDefault="005357C6" w:rsidP="00BC1030">
            <w:pPr>
              <w:jc w:val="center"/>
              <w:cnfStyle w:val="100000000000" w:firstRow="1" w:lastRow="0" w:firstColumn="0" w:lastColumn="0" w:oddVBand="0" w:evenVBand="0" w:oddHBand="0" w:evenHBand="0" w:firstRowFirstColumn="0" w:firstRowLastColumn="0" w:lastRowFirstColumn="0" w:lastRowLastColumn="0"/>
              <w:rPr>
                <w:rFonts w:cs="Arial"/>
                <w:color w:val="auto"/>
                <w:sz w:val="14"/>
                <w:szCs w:val="14"/>
              </w:rPr>
            </w:pPr>
            <w:r w:rsidRPr="00BC1030">
              <w:rPr>
                <w:rFonts w:cs="Arial"/>
                <w:sz w:val="14"/>
                <w:szCs w:val="14"/>
              </w:rPr>
              <w:t>Parent</w:t>
            </w:r>
          </w:p>
        </w:tc>
      </w:tr>
      <w:tr w:rsidR="005357C6" w:rsidRPr="00BC1030" w14:paraId="66B2111C"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4E79" w:themeColor="accent1" w:themeShade="80"/>
              <w:bottom w:val="nil"/>
            </w:tcBorders>
            <w:shd w:val="clear" w:color="auto" w:fill="auto"/>
            <w:vAlign w:val="center"/>
          </w:tcPr>
          <w:p w14:paraId="1F09A370" w14:textId="77777777" w:rsidR="005357C6" w:rsidRPr="00BC1030" w:rsidRDefault="005357C6" w:rsidP="00BC1030">
            <w:pPr>
              <w:keepNext/>
              <w:rPr>
                <w:rFonts w:cs="Arial"/>
                <w:color w:val="auto"/>
                <w:sz w:val="14"/>
                <w:szCs w:val="14"/>
              </w:rPr>
            </w:pPr>
            <w:r w:rsidRPr="00BC1030">
              <w:rPr>
                <w:rFonts w:cs="Arial"/>
                <w:color w:val="auto"/>
                <w:sz w:val="14"/>
                <w:szCs w:val="14"/>
              </w:rPr>
              <w:t>Liquidy Risk</w:t>
            </w:r>
          </w:p>
        </w:tc>
        <w:tc>
          <w:tcPr>
            <w:tcW w:w="993" w:type="dxa"/>
            <w:tcBorders>
              <w:top w:val="single" w:sz="2" w:space="0" w:color="1F4E79" w:themeColor="accent1" w:themeShade="80"/>
              <w:bottom w:val="nil"/>
            </w:tcBorders>
            <w:shd w:val="clear" w:color="auto" w:fill="auto"/>
            <w:vAlign w:val="center"/>
          </w:tcPr>
          <w:p w14:paraId="4FCFC093" w14:textId="77777777" w:rsidR="005357C6" w:rsidRPr="00BC1030" w:rsidRDefault="005357C6" w:rsidP="00017A4B">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p>
        </w:tc>
        <w:tc>
          <w:tcPr>
            <w:tcW w:w="2693" w:type="dxa"/>
            <w:gridSpan w:val="2"/>
            <w:tcBorders>
              <w:top w:val="single" w:sz="2" w:space="0" w:color="1F4E79" w:themeColor="accent1" w:themeShade="80"/>
              <w:bottom w:val="single" w:sz="2" w:space="0" w:color="1F4E79" w:themeColor="accent1" w:themeShade="80"/>
            </w:tcBorders>
            <w:shd w:val="clear" w:color="auto" w:fill="auto"/>
            <w:vAlign w:val="center"/>
          </w:tcPr>
          <w:p w14:paraId="701BACC7" w14:textId="77777777" w:rsidR="005357C6" w:rsidRPr="00BC1030" w:rsidRDefault="005357C6" w:rsidP="00BC1030">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BC1030">
              <w:rPr>
                <w:rFonts w:cs="Arial"/>
                <w:b/>
                <w:sz w:val="14"/>
                <w:szCs w:val="18"/>
              </w:rPr>
              <w:t>Dec 31, 2022</w:t>
            </w:r>
          </w:p>
        </w:tc>
        <w:tc>
          <w:tcPr>
            <w:tcW w:w="283" w:type="dxa"/>
            <w:tcBorders>
              <w:top w:val="single" w:sz="2" w:space="0" w:color="1F4E79" w:themeColor="accent1" w:themeShade="80"/>
              <w:bottom w:val="nil"/>
            </w:tcBorders>
            <w:shd w:val="clear" w:color="auto" w:fill="auto"/>
            <w:vAlign w:val="center"/>
          </w:tcPr>
          <w:p w14:paraId="70C04547" w14:textId="77777777" w:rsidR="005357C6" w:rsidRPr="00BC1030" w:rsidRDefault="005357C6" w:rsidP="00BC1030">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p>
        </w:tc>
        <w:tc>
          <w:tcPr>
            <w:tcW w:w="3036" w:type="dxa"/>
            <w:gridSpan w:val="2"/>
            <w:tcBorders>
              <w:top w:val="single" w:sz="2" w:space="0" w:color="1F4E79" w:themeColor="accent1" w:themeShade="80"/>
              <w:bottom w:val="single" w:sz="2" w:space="0" w:color="1F4E79" w:themeColor="accent1" w:themeShade="80"/>
            </w:tcBorders>
            <w:shd w:val="clear" w:color="auto" w:fill="auto"/>
            <w:vAlign w:val="center"/>
          </w:tcPr>
          <w:p w14:paraId="1B2E9FB8" w14:textId="77777777" w:rsidR="005357C6" w:rsidRPr="00BC1030" w:rsidRDefault="005357C6" w:rsidP="00BC1030">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BC1030">
              <w:rPr>
                <w:rFonts w:cs="Arial"/>
                <w:b/>
                <w:sz w:val="14"/>
                <w:szCs w:val="18"/>
              </w:rPr>
              <w:t>Dec 31, 2021</w:t>
            </w:r>
          </w:p>
        </w:tc>
      </w:tr>
      <w:tr w:rsidR="005357C6" w:rsidRPr="00BC1030" w14:paraId="4D1F2BF8" w14:textId="77777777" w:rsidTr="00F73A24">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nil"/>
              <w:bottom w:val="single" w:sz="2" w:space="0" w:color="1F4E79" w:themeColor="accent1" w:themeShade="80"/>
            </w:tcBorders>
            <w:shd w:val="clear" w:color="auto" w:fill="auto"/>
          </w:tcPr>
          <w:p w14:paraId="58475303" w14:textId="77777777" w:rsidR="005357C6" w:rsidRPr="00BC1030" w:rsidRDefault="005357C6" w:rsidP="00D008EE">
            <w:pPr>
              <w:pStyle w:val="08-Tabelageral"/>
              <w:jc w:val="left"/>
              <w:rPr>
                <w:rFonts w:cs="Arial"/>
                <w:b w:val="0"/>
                <w:color w:val="auto"/>
                <w:szCs w:val="14"/>
              </w:rPr>
            </w:pPr>
          </w:p>
        </w:tc>
        <w:tc>
          <w:tcPr>
            <w:tcW w:w="993" w:type="dxa"/>
            <w:tcBorders>
              <w:top w:val="nil"/>
              <w:bottom w:val="single" w:sz="2" w:space="0" w:color="1F4E79" w:themeColor="accent1" w:themeShade="80"/>
            </w:tcBorders>
            <w:shd w:val="clear" w:color="auto" w:fill="auto"/>
            <w:vAlign w:val="center"/>
          </w:tcPr>
          <w:p w14:paraId="43486CE3" w14:textId="77777777" w:rsidR="005357C6" w:rsidRPr="00BC1030" w:rsidRDefault="005357C6" w:rsidP="00F73A24">
            <w:pPr>
              <w:keepNext/>
              <w:jc w:val="center"/>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Note</w:t>
            </w:r>
          </w:p>
        </w:tc>
        <w:tc>
          <w:tcPr>
            <w:tcW w:w="1275" w:type="dxa"/>
            <w:tcBorders>
              <w:top w:val="single" w:sz="2" w:space="0" w:color="1F4E79" w:themeColor="accent1" w:themeShade="80"/>
              <w:bottom w:val="single" w:sz="2" w:space="0" w:color="1F4E79" w:themeColor="accent1" w:themeShade="80"/>
            </w:tcBorders>
            <w:shd w:val="clear" w:color="auto" w:fill="auto"/>
            <w:vAlign w:val="center"/>
          </w:tcPr>
          <w:p w14:paraId="4C860F4A" w14:textId="77777777" w:rsidR="005357C6" w:rsidRPr="00BC1030" w:rsidRDefault="005357C6" w:rsidP="00F73A24">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Up to 1 year</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4E056705" w14:textId="77777777" w:rsidR="005357C6" w:rsidRPr="00BC1030" w:rsidRDefault="005357C6" w:rsidP="00F73A24">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More than 1</w:t>
            </w:r>
            <w:r>
              <w:rPr>
                <w:rFonts w:cs="Arial"/>
                <w:b/>
                <w:sz w:val="14"/>
                <w:szCs w:val="18"/>
              </w:rPr>
              <w:t xml:space="preserve"> </w:t>
            </w:r>
            <w:r w:rsidRPr="00BC1030">
              <w:rPr>
                <w:rFonts w:cs="Arial"/>
                <w:b/>
                <w:sz w:val="14"/>
                <w:szCs w:val="18"/>
              </w:rPr>
              <w:t>year</w:t>
            </w:r>
          </w:p>
        </w:tc>
        <w:tc>
          <w:tcPr>
            <w:tcW w:w="283" w:type="dxa"/>
            <w:tcBorders>
              <w:top w:val="nil"/>
              <w:bottom w:val="single" w:sz="2" w:space="0" w:color="1F4E79" w:themeColor="accent1" w:themeShade="80"/>
            </w:tcBorders>
            <w:shd w:val="clear" w:color="auto" w:fill="auto"/>
            <w:vAlign w:val="center"/>
          </w:tcPr>
          <w:p w14:paraId="404DFC30" w14:textId="77777777" w:rsidR="005357C6" w:rsidRPr="00BC1030" w:rsidRDefault="005357C6" w:rsidP="00F73A24">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0AD0A152" w14:textId="77777777" w:rsidR="005357C6" w:rsidRPr="00BC1030" w:rsidRDefault="005357C6" w:rsidP="00F73A24">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Up to 1 year</w:t>
            </w:r>
          </w:p>
        </w:tc>
        <w:tc>
          <w:tcPr>
            <w:tcW w:w="1902" w:type="dxa"/>
            <w:tcBorders>
              <w:top w:val="single" w:sz="2" w:space="0" w:color="1F4E79" w:themeColor="accent1" w:themeShade="80"/>
              <w:bottom w:val="single" w:sz="2" w:space="0" w:color="1F4E79" w:themeColor="accent1" w:themeShade="80"/>
            </w:tcBorders>
            <w:shd w:val="clear" w:color="auto" w:fill="auto"/>
            <w:vAlign w:val="center"/>
          </w:tcPr>
          <w:p w14:paraId="00C97F24" w14:textId="77777777" w:rsidR="005357C6" w:rsidRPr="00BC1030" w:rsidRDefault="005357C6" w:rsidP="00F73A24">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More than 1</w:t>
            </w:r>
            <w:r>
              <w:rPr>
                <w:rFonts w:cs="Arial"/>
                <w:b/>
                <w:sz w:val="14"/>
                <w:szCs w:val="18"/>
              </w:rPr>
              <w:t xml:space="preserve"> </w:t>
            </w:r>
            <w:r w:rsidRPr="00BC1030">
              <w:rPr>
                <w:rFonts w:cs="Arial"/>
                <w:b/>
                <w:sz w:val="14"/>
                <w:szCs w:val="18"/>
              </w:rPr>
              <w:t>y</w:t>
            </w:r>
            <w:r>
              <w:rPr>
                <w:rFonts w:cs="Arial"/>
                <w:b/>
                <w:sz w:val="14"/>
                <w:szCs w:val="18"/>
              </w:rPr>
              <w:t>ear</w:t>
            </w:r>
          </w:p>
        </w:tc>
      </w:tr>
      <w:tr w:rsidR="005357C6" w:rsidRPr="00BC1030" w14:paraId="73392A69"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4E79" w:themeColor="accent1" w:themeShade="80"/>
              <w:bottom w:val="nil"/>
            </w:tcBorders>
            <w:shd w:val="clear" w:color="auto" w:fill="auto"/>
            <w:vAlign w:val="center"/>
          </w:tcPr>
          <w:p w14:paraId="3FE6A329" w14:textId="77777777" w:rsidR="005357C6" w:rsidRPr="00F73A24" w:rsidRDefault="005357C6" w:rsidP="00F73A24">
            <w:pPr>
              <w:pStyle w:val="08-Tabelageral"/>
              <w:keepLines w:val="0"/>
              <w:jc w:val="left"/>
              <w:rPr>
                <w:b w:val="0"/>
              </w:rPr>
            </w:pPr>
            <w:r w:rsidRPr="00F73A24">
              <w:rPr>
                <w:b w:val="0"/>
              </w:rPr>
              <w:t>ASSETS</w:t>
            </w:r>
          </w:p>
        </w:tc>
        <w:tc>
          <w:tcPr>
            <w:tcW w:w="993" w:type="dxa"/>
            <w:tcBorders>
              <w:top w:val="single" w:sz="2" w:space="0" w:color="1F4E79" w:themeColor="accent1" w:themeShade="80"/>
              <w:bottom w:val="nil"/>
            </w:tcBorders>
            <w:shd w:val="clear" w:color="auto" w:fill="auto"/>
            <w:vAlign w:val="center"/>
          </w:tcPr>
          <w:p w14:paraId="0E0E2793" w14:textId="77777777" w:rsidR="005357C6" w:rsidRPr="00BC1030" w:rsidRDefault="005357C6" w:rsidP="00017A4B">
            <w:pPr>
              <w:pStyle w:val="08-Tabelageral"/>
              <w:keepLines w:val="0"/>
              <w:jc w:val="center"/>
              <w:cnfStyle w:val="000000100000" w:firstRow="0" w:lastRow="0" w:firstColumn="0" w:lastColumn="0" w:oddVBand="0" w:evenVBand="0" w:oddHBand="1" w:evenHBand="0" w:firstRowFirstColumn="0" w:firstRowLastColumn="0" w:lastRowFirstColumn="0" w:lastRowLastColumn="0"/>
            </w:pPr>
          </w:p>
        </w:tc>
        <w:tc>
          <w:tcPr>
            <w:tcW w:w="1275" w:type="dxa"/>
            <w:tcBorders>
              <w:top w:val="single" w:sz="2" w:space="0" w:color="1F4E79" w:themeColor="accent1" w:themeShade="80"/>
              <w:bottom w:val="nil"/>
            </w:tcBorders>
            <w:shd w:val="clear" w:color="auto" w:fill="auto"/>
            <w:vAlign w:val="center"/>
          </w:tcPr>
          <w:p w14:paraId="5010F769"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8" w:type="dxa"/>
            <w:tcBorders>
              <w:top w:val="single" w:sz="2" w:space="0" w:color="1F4E79" w:themeColor="accent1" w:themeShade="80"/>
              <w:bottom w:val="nil"/>
            </w:tcBorders>
            <w:shd w:val="clear" w:color="auto" w:fill="auto"/>
            <w:vAlign w:val="center"/>
          </w:tcPr>
          <w:p w14:paraId="35F05C26"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283" w:type="dxa"/>
            <w:tcBorders>
              <w:top w:val="single" w:sz="2" w:space="0" w:color="1F4E79" w:themeColor="accent1" w:themeShade="80"/>
              <w:bottom w:val="nil"/>
            </w:tcBorders>
            <w:shd w:val="clear" w:color="auto" w:fill="auto"/>
            <w:vAlign w:val="center"/>
          </w:tcPr>
          <w:p w14:paraId="610BF1F3"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single" w:sz="2" w:space="0" w:color="1F4E79" w:themeColor="accent1" w:themeShade="80"/>
              <w:bottom w:val="nil"/>
            </w:tcBorders>
            <w:shd w:val="clear" w:color="auto" w:fill="auto"/>
            <w:vAlign w:val="center"/>
          </w:tcPr>
          <w:p w14:paraId="224DD072"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902" w:type="dxa"/>
            <w:tcBorders>
              <w:top w:val="single" w:sz="2" w:space="0" w:color="1F4E79" w:themeColor="accent1" w:themeShade="80"/>
              <w:bottom w:val="nil"/>
            </w:tcBorders>
            <w:shd w:val="clear" w:color="auto" w:fill="auto"/>
            <w:vAlign w:val="center"/>
          </w:tcPr>
          <w:p w14:paraId="1E425EBD"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5357C6" w:rsidRPr="00BC1030" w14:paraId="51230C8D" w14:textId="77777777" w:rsidTr="00017A4B">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731CEF5C" w14:textId="77777777" w:rsidR="005357C6" w:rsidRPr="00F73A24" w:rsidRDefault="005357C6" w:rsidP="00F73A24">
            <w:pPr>
              <w:pStyle w:val="08-Tabelageral"/>
              <w:keepLines w:val="0"/>
              <w:jc w:val="left"/>
              <w:rPr>
                <w:b w:val="0"/>
              </w:rPr>
            </w:pPr>
            <w:r w:rsidRPr="00F73A24">
              <w:rPr>
                <w:b w:val="0"/>
              </w:rPr>
              <w:t>Cash and Cash Equivalents</w:t>
            </w:r>
          </w:p>
        </w:tc>
        <w:tc>
          <w:tcPr>
            <w:tcW w:w="993" w:type="dxa"/>
            <w:tcBorders>
              <w:top w:val="nil"/>
              <w:bottom w:val="nil"/>
            </w:tcBorders>
            <w:shd w:val="clear" w:color="auto" w:fill="auto"/>
            <w:vAlign w:val="center"/>
          </w:tcPr>
          <w:p w14:paraId="381787F2" w14:textId="77777777" w:rsidR="005357C6" w:rsidRPr="00BC1030" w:rsidRDefault="005357C6" w:rsidP="00017A4B">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[15]</w:t>
            </w:r>
          </w:p>
        </w:tc>
        <w:tc>
          <w:tcPr>
            <w:tcW w:w="1275" w:type="dxa"/>
            <w:tcBorders>
              <w:top w:val="nil"/>
              <w:bottom w:val="nil"/>
            </w:tcBorders>
            <w:shd w:val="clear" w:color="auto" w:fill="auto"/>
            <w:vAlign w:val="center"/>
          </w:tcPr>
          <w:p w14:paraId="79C71B90"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59,003</w:t>
            </w:r>
          </w:p>
        </w:tc>
        <w:tc>
          <w:tcPr>
            <w:tcW w:w="1418" w:type="dxa"/>
            <w:tcBorders>
              <w:top w:val="nil"/>
              <w:bottom w:val="nil"/>
            </w:tcBorders>
            <w:shd w:val="clear" w:color="auto" w:fill="auto"/>
            <w:vAlign w:val="center"/>
          </w:tcPr>
          <w:p w14:paraId="66795C8B"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w:t>
            </w:r>
          </w:p>
        </w:tc>
        <w:tc>
          <w:tcPr>
            <w:tcW w:w="283" w:type="dxa"/>
            <w:tcBorders>
              <w:top w:val="nil"/>
              <w:bottom w:val="nil"/>
            </w:tcBorders>
            <w:shd w:val="clear" w:color="auto" w:fill="auto"/>
            <w:vAlign w:val="center"/>
          </w:tcPr>
          <w:p w14:paraId="58E03CCD"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2D896B6D"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369,342</w:t>
            </w:r>
          </w:p>
        </w:tc>
        <w:tc>
          <w:tcPr>
            <w:tcW w:w="1902" w:type="dxa"/>
            <w:tcBorders>
              <w:top w:val="nil"/>
              <w:bottom w:val="nil"/>
            </w:tcBorders>
            <w:shd w:val="clear" w:color="auto" w:fill="auto"/>
            <w:vAlign w:val="center"/>
          </w:tcPr>
          <w:p w14:paraId="0BEAFE1B"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w:t>
            </w:r>
          </w:p>
        </w:tc>
      </w:tr>
      <w:tr w:rsidR="005357C6" w:rsidRPr="00BC1030" w14:paraId="6A1AC1B9"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48A566A6" w14:textId="77777777" w:rsidR="005357C6" w:rsidRPr="00AF04B6" w:rsidRDefault="005357C6" w:rsidP="00F73A24">
            <w:pPr>
              <w:pStyle w:val="08-Tabelageral"/>
              <w:keepLines w:val="0"/>
              <w:jc w:val="left"/>
              <w:rPr>
                <w:b w:val="0"/>
                <w:lang w:val="en-US"/>
              </w:rPr>
            </w:pPr>
            <w:r w:rsidRPr="00AF04B6">
              <w:rPr>
                <w:b w:val="0"/>
                <w:lang w:val="en-US"/>
              </w:rPr>
              <w:t>Financial assets at fair value through profit</w:t>
            </w:r>
          </w:p>
        </w:tc>
        <w:tc>
          <w:tcPr>
            <w:tcW w:w="993" w:type="dxa"/>
            <w:tcBorders>
              <w:top w:val="nil"/>
              <w:bottom w:val="nil"/>
            </w:tcBorders>
            <w:shd w:val="clear" w:color="auto" w:fill="auto"/>
            <w:vAlign w:val="center"/>
          </w:tcPr>
          <w:p w14:paraId="0C5FB797" w14:textId="77777777" w:rsidR="005357C6" w:rsidRPr="00BC1030" w:rsidRDefault="005357C6" w:rsidP="00017A4B">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[16.a]</w:t>
            </w:r>
          </w:p>
        </w:tc>
        <w:tc>
          <w:tcPr>
            <w:tcW w:w="1275" w:type="dxa"/>
            <w:tcBorders>
              <w:top w:val="nil"/>
              <w:bottom w:val="nil"/>
            </w:tcBorders>
            <w:shd w:val="clear" w:color="auto" w:fill="auto"/>
            <w:vAlign w:val="center"/>
          </w:tcPr>
          <w:p w14:paraId="4F12C1B2"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c>
          <w:tcPr>
            <w:tcW w:w="1418" w:type="dxa"/>
            <w:tcBorders>
              <w:top w:val="nil"/>
              <w:bottom w:val="nil"/>
            </w:tcBorders>
            <w:shd w:val="clear" w:color="auto" w:fill="auto"/>
            <w:vAlign w:val="center"/>
          </w:tcPr>
          <w:p w14:paraId="1D9D9917"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18,064</w:t>
            </w:r>
          </w:p>
        </w:tc>
        <w:tc>
          <w:tcPr>
            <w:tcW w:w="283" w:type="dxa"/>
            <w:tcBorders>
              <w:top w:val="nil"/>
              <w:bottom w:val="nil"/>
            </w:tcBorders>
            <w:shd w:val="clear" w:color="auto" w:fill="auto"/>
            <w:vAlign w:val="center"/>
          </w:tcPr>
          <w:p w14:paraId="4206CF83"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1A53AB5C"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c>
          <w:tcPr>
            <w:tcW w:w="1902" w:type="dxa"/>
            <w:tcBorders>
              <w:top w:val="nil"/>
              <w:bottom w:val="nil"/>
            </w:tcBorders>
            <w:shd w:val="clear" w:color="auto" w:fill="auto"/>
            <w:vAlign w:val="center"/>
          </w:tcPr>
          <w:p w14:paraId="16E1A8F0"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14,011</w:t>
            </w:r>
          </w:p>
        </w:tc>
      </w:tr>
      <w:tr w:rsidR="005357C6" w:rsidRPr="00BC1030" w14:paraId="039EFEB5" w14:textId="77777777" w:rsidTr="00017A4B">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1F86BB70" w14:textId="77777777" w:rsidR="005357C6" w:rsidRPr="00AF04B6" w:rsidRDefault="005357C6" w:rsidP="00F73A24">
            <w:pPr>
              <w:pStyle w:val="08-Tabelageral"/>
              <w:keepLines w:val="0"/>
              <w:jc w:val="left"/>
              <w:rPr>
                <w:b w:val="0"/>
                <w:lang w:val="en-US"/>
              </w:rPr>
            </w:pPr>
            <w:r w:rsidRPr="00AF04B6">
              <w:rPr>
                <w:b w:val="0"/>
                <w:lang w:val="en-US"/>
              </w:rPr>
              <w:t>Dividends/interest on equity receivable</w:t>
            </w:r>
          </w:p>
        </w:tc>
        <w:tc>
          <w:tcPr>
            <w:tcW w:w="993" w:type="dxa"/>
            <w:tcBorders>
              <w:top w:val="nil"/>
              <w:bottom w:val="nil"/>
            </w:tcBorders>
            <w:shd w:val="clear" w:color="auto" w:fill="auto"/>
            <w:vAlign w:val="center"/>
          </w:tcPr>
          <w:p w14:paraId="0ED17A61" w14:textId="77777777" w:rsidR="005357C6" w:rsidRPr="00BC1030" w:rsidRDefault="005357C6" w:rsidP="00017A4B">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[17]</w:t>
            </w:r>
          </w:p>
        </w:tc>
        <w:tc>
          <w:tcPr>
            <w:tcW w:w="1275" w:type="dxa"/>
            <w:tcBorders>
              <w:top w:val="nil"/>
              <w:bottom w:val="nil"/>
            </w:tcBorders>
            <w:shd w:val="clear" w:color="auto" w:fill="auto"/>
            <w:vAlign w:val="center"/>
          </w:tcPr>
          <w:p w14:paraId="155081AE"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3,683,355</w:t>
            </w:r>
          </w:p>
        </w:tc>
        <w:tc>
          <w:tcPr>
            <w:tcW w:w="1418" w:type="dxa"/>
            <w:tcBorders>
              <w:top w:val="nil"/>
              <w:bottom w:val="nil"/>
            </w:tcBorders>
            <w:shd w:val="clear" w:color="auto" w:fill="auto"/>
            <w:vAlign w:val="center"/>
          </w:tcPr>
          <w:p w14:paraId="4C8BAAA8"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w:t>
            </w:r>
          </w:p>
        </w:tc>
        <w:tc>
          <w:tcPr>
            <w:tcW w:w="283" w:type="dxa"/>
            <w:tcBorders>
              <w:top w:val="nil"/>
              <w:bottom w:val="nil"/>
            </w:tcBorders>
            <w:shd w:val="clear" w:color="auto" w:fill="auto"/>
            <w:vAlign w:val="center"/>
          </w:tcPr>
          <w:p w14:paraId="251EBC96"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273579E5"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1,572,428</w:t>
            </w:r>
          </w:p>
        </w:tc>
        <w:tc>
          <w:tcPr>
            <w:tcW w:w="1902" w:type="dxa"/>
            <w:tcBorders>
              <w:top w:val="nil"/>
              <w:bottom w:val="nil"/>
            </w:tcBorders>
            <w:shd w:val="clear" w:color="auto" w:fill="auto"/>
            <w:vAlign w:val="center"/>
          </w:tcPr>
          <w:p w14:paraId="499210E5"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w:t>
            </w:r>
          </w:p>
        </w:tc>
      </w:tr>
      <w:tr w:rsidR="005357C6" w:rsidRPr="00BC1030" w14:paraId="2EAEAA50"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059E0D3F" w14:textId="77777777" w:rsidR="005357C6" w:rsidRPr="00F73A24" w:rsidRDefault="005357C6" w:rsidP="00F73A24">
            <w:pPr>
              <w:pStyle w:val="08-Tabelageral"/>
              <w:keepLines w:val="0"/>
              <w:jc w:val="left"/>
              <w:rPr>
                <w:b w:val="0"/>
              </w:rPr>
            </w:pPr>
          </w:p>
        </w:tc>
        <w:tc>
          <w:tcPr>
            <w:tcW w:w="993" w:type="dxa"/>
            <w:tcBorders>
              <w:top w:val="nil"/>
              <w:bottom w:val="nil"/>
            </w:tcBorders>
            <w:shd w:val="clear" w:color="auto" w:fill="auto"/>
            <w:vAlign w:val="center"/>
          </w:tcPr>
          <w:p w14:paraId="1B6ED2CD" w14:textId="77777777" w:rsidR="005357C6" w:rsidRPr="00BC1030" w:rsidRDefault="005357C6" w:rsidP="00017A4B">
            <w:pPr>
              <w:pStyle w:val="08-Tabelageral"/>
              <w:keepLines w:val="0"/>
              <w:jc w:val="center"/>
              <w:cnfStyle w:val="000000100000" w:firstRow="0" w:lastRow="0" w:firstColumn="0" w:lastColumn="0" w:oddVBand="0" w:evenVBand="0" w:oddHBand="1" w:evenHBand="0" w:firstRowFirstColumn="0" w:firstRowLastColumn="0" w:lastRowFirstColumn="0" w:lastRowLastColumn="0"/>
            </w:pPr>
          </w:p>
        </w:tc>
        <w:tc>
          <w:tcPr>
            <w:tcW w:w="1275" w:type="dxa"/>
            <w:tcBorders>
              <w:top w:val="nil"/>
              <w:bottom w:val="nil"/>
            </w:tcBorders>
            <w:shd w:val="clear" w:color="auto" w:fill="auto"/>
            <w:vAlign w:val="center"/>
          </w:tcPr>
          <w:p w14:paraId="0599BCB2"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8" w:type="dxa"/>
            <w:tcBorders>
              <w:top w:val="nil"/>
              <w:bottom w:val="nil"/>
            </w:tcBorders>
            <w:shd w:val="clear" w:color="auto" w:fill="auto"/>
            <w:vAlign w:val="center"/>
          </w:tcPr>
          <w:p w14:paraId="75E8B14F"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7AE709D3"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0C70D3AC"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902" w:type="dxa"/>
            <w:tcBorders>
              <w:top w:val="nil"/>
              <w:bottom w:val="nil"/>
            </w:tcBorders>
            <w:shd w:val="clear" w:color="auto" w:fill="auto"/>
            <w:vAlign w:val="center"/>
          </w:tcPr>
          <w:p w14:paraId="5F75363D"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5357C6" w:rsidRPr="00BC1030" w14:paraId="7510BDB3" w14:textId="77777777" w:rsidTr="00017A4B">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7DC884F8" w14:textId="77777777" w:rsidR="005357C6" w:rsidRPr="00F73A24" w:rsidRDefault="005357C6" w:rsidP="00F73A24">
            <w:pPr>
              <w:pStyle w:val="08-Tabelageral"/>
              <w:keepLines w:val="0"/>
              <w:jc w:val="left"/>
              <w:rPr>
                <w:b w:val="0"/>
              </w:rPr>
            </w:pPr>
            <w:r w:rsidRPr="00F73A24">
              <w:rPr>
                <w:b w:val="0"/>
              </w:rPr>
              <w:t>LIABILLITIES</w:t>
            </w:r>
          </w:p>
        </w:tc>
        <w:tc>
          <w:tcPr>
            <w:tcW w:w="993" w:type="dxa"/>
            <w:tcBorders>
              <w:top w:val="nil"/>
              <w:bottom w:val="nil"/>
            </w:tcBorders>
            <w:shd w:val="clear" w:color="auto" w:fill="auto"/>
            <w:vAlign w:val="center"/>
          </w:tcPr>
          <w:p w14:paraId="10A209FE" w14:textId="77777777" w:rsidR="005357C6" w:rsidRPr="00BC1030" w:rsidRDefault="005357C6" w:rsidP="00017A4B">
            <w:pPr>
              <w:pStyle w:val="08-Tabelageral"/>
              <w:keepLines w:val="0"/>
              <w:jc w:val="center"/>
              <w:cnfStyle w:val="000000000000" w:firstRow="0" w:lastRow="0" w:firstColumn="0" w:lastColumn="0" w:oddVBand="0" w:evenVBand="0" w:oddHBand="0" w:evenHBand="0" w:firstRowFirstColumn="0" w:firstRowLastColumn="0" w:lastRowFirstColumn="0" w:lastRowLastColumn="0"/>
            </w:pPr>
          </w:p>
        </w:tc>
        <w:tc>
          <w:tcPr>
            <w:tcW w:w="1275" w:type="dxa"/>
            <w:tcBorders>
              <w:top w:val="nil"/>
              <w:bottom w:val="nil"/>
            </w:tcBorders>
            <w:shd w:val="clear" w:color="auto" w:fill="auto"/>
            <w:vAlign w:val="center"/>
          </w:tcPr>
          <w:p w14:paraId="33661E54"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418" w:type="dxa"/>
            <w:tcBorders>
              <w:top w:val="nil"/>
              <w:bottom w:val="nil"/>
            </w:tcBorders>
            <w:shd w:val="clear" w:color="auto" w:fill="auto"/>
            <w:vAlign w:val="center"/>
          </w:tcPr>
          <w:p w14:paraId="6FA65A2C"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283" w:type="dxa"/>
            <w:tcBorders>
              <w:top w:val="nil"/>
              <w:bottom w:val="nil"/>
            </w:tcBorders>
            <w:shd w:val="clear" w:color="auto" w:fill="auto"/>
            <w:vAlign w:val="center"/>
          </w:tcPr>
          <w:p w14:paraId="5BDE4C22"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7A1BA1D2"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902" w:type="dxa"/>
            <w:tcBorders>
              <w:top w:val="nil"/>
              <w:bottom w:val="nil"/>
            </w:tcBorders>
            <w:shd w:val="clear" w:color="auto" w:fill="auto"/>
            <w:vAlign w:val="center"/>
          </w:tcPr>
          <w:p w14:paraId="111BDD98"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p>
        </w:tc>
      </w:tr>
      <w:tr w:rsidR="005357C6" w:rsidRPr="00BC1030" w14:paraId="7D150666"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1E4A5FAF" w14:textId="77777777" w:rsidR="005357C6" w:rsidRPr="00F73A24" w:rsidRDefault="005357C6" w:rsidP="00F73A24">
            <w:pPr>
              <w:pStyle w:val="08-Tabelageral"/>
              <w:keepLines w:val="0"/>
              <w:jc w:val="left"/>
              <w:rPr>
                <w:b w:val="0"/>
              </w:rPr>
            </w:pPr>
            <w:r w:rsidRPr="00F73A24">
              <w:rPr>
                <w:b w:val="0"/>
              </w:rPr>
              <w:t>Corporate and Statutory Obligations</w:t>
            </w:r>
          </w:p>
          <w:p w14:paraId="26458688" w14:textId="77777777" w:rsidR="005357C6" w:rsidRPr="00F73A24" w:rsidRDefault="005357C6" w:rsidP="00F73A24">
            <w:pPr>
              <w:pStyle w:val="08-Tabelageral"/>
              <w:keepLines w:val="0"/>
              <w:jc w:val="left"/>
              <w:rPr>
                <w:b w:val="0"/>
              </w:rPr>
            </w:pPr>
          </w:p>
        </w:tc>
        <w:tc>
          <w:tcPr>
            <w:tcW w:w="993" w:type="dxa"/>
            <w:tcBorders>
              <w:top w:val="nil"/>
              <w:bottom w:val="nil"/>
            </w:tcBorders>
            <w:shd w:val="clear" w:color="auto" w:fill="auto"/>
            <w:vAlign w:val="center"/>
          </w:tcPr>
          <w:p w14:paraId="5446CD99" w14:textId="77777777" w:rsidR="005357C6" w:rsidRPr="00BC1030" w:rsidRDefault="005357C6" w:rsidP="00017A4B">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[21]</w:t>
            </w:r>
          </w:p>
        </w:tc>
        <w:tc>
          <w:tcPr>
            <w:tcW w:w="1275" w:type="dxa"/>
            <w:tcBorders>
              <w:top w:val="nil"/>
              <w:bottom w:val="nil"/>
            </w:tcBorders>
            <w:shd w:val="clear" w:color="auto" w:fill="auto"/>
            <w:vAlign w:val="center"/>
          </w:tcPr>
          <w:p w14:paraId="3B4A3748"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3,674,027</w:t>
            </w:r>
          </w:p>
        </w:tc>
        <w:tc>
          <w:tcPr>
            <w:tcW w:w="1418" w:type="dxa"/>
            <w:tcBorders>
              <w:top w:val="nil"/>
              <w:bottom w:val="nil"/>
            </w:tcBorders>
            <w:shd w:val="clear" w:color="auto" w:fill="auto"/>
            <w:vAlign w:val="center"/>
          </w:tcPr>
          <w:p w14:paraId="293790B0"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c>
          <w:tcPr>
            <w:tcW w:w="283" w:type="dxa"/>
            <w:tcBorders>
              <w:top w:val="nil"/>
              <w:bottom w:val="nil"/>
            </w:tcBorders>
            <w:shd w:val="clear" w:color="auto" w:fill="auto"/>
            <w:vAlign w:val="center"/>
          </w:tcPr>
          <w:p w14:paraId="53B66702"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179AA4FA"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1,831,691</w:t>
            </w:r>
          </w:p>
        </w:tc>
        <w:tc>
          <w:tcPr>
            <w:tcW w:w="1902" w:type="dxa"/>
            <w:tcBorders>
              <w:top w:val="nil"/>
              <w:bottom w:val="nil"/>
            </w:tcBorders>
            <w:shd w:val="clear" w:color="auto" w:fill="auto"/>
            <w:vAlign w:val="center"/>
          </w:tcPr>
          <w:p w14:paraId="22B7B7DB"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r>
      <w:tr w:rsidR="005357C6" w:rsidRPr="00BC1030" w14:paraId="7C584EEC" w14:textId="77777777" w:rsidTr="00017A4B">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2AA37FF3" w14:textId="77777777" w:rsidR="005357C6" w:rsidRPr="00F73A24" w:rsidRDefault="005357C6" w:rsidP="00F73A24">
            <w:pPr>
              <w:pStyle w:val="08-Tabelageral"/>
              <w:keepLines w:val="0"/>
              <w:jc w:val="left"/>
              <w:rPr>
                <w:b w:val="0"/>
              </w:rPr>
            </w:pPr>
            <w:r w:rsidRPr="00F73A24">
              <w:rPr>
                <w:b w:val="0"/>
              </w:rPr>
              <w:t>Current tax liabilities</w:t>
            </w:r>
          </w:p>
        </w:tc>
        <w:tc>
          <w:tcPr>
            <w:tcW w:w="993" w:type="dxa"/>
            <w:tcBorders>
              <w:top w:val="nil"/>
              <w:bottom w:val="nil"/>
            </w:tcBorders>
            <w:shd w:val="clear" w:color="auto" w:fill="auto"/>
            <w:vAlign w:val="center"/>
          </w:tcPr>
          <w:p w14:paraId="5D7061B8" w14:textId="77777777" w:rsidR="005357C6" w:rsidRPr="00BC1030" w:rsidRDefault="005357C6" w:rsidP="00017A4B">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[12.g]</w:t>
            </w:r>
          </w:p>
        </w:tc>
        <w:tc>
          <w:tcPr>
            <w:tcW w:w="1275" w:type="dxa"/>
            <w:tcBorders>
              <w:top w:val="nil"/>
              <w:bottom w:val="nil"/>
            </w:tcBorders>
            <w:shd w:val="clear" w:color="auto" w:fill="auto"/>
            <w:vAlign w:val="center"/>
          </w:tcPr>
          <w:p w14:paraId="3B61C4E2"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31</w:t>
            </w:r>
          </w:p>
        </w:tc>
        <w:tc>
          <w:tcPr>
            <w:tcW w:w="1418" w:type="dxa"/>
            <w:tcBorders>
              <w:top w:val="nil"/>
              <w:bottom w:val="nil"/>
            </w:tcBorders>
            <w:shd w:val="clear" w:color="auto" w:fill="auto"/>
            <w:vAlign w:val="center"/>
          </w:tcPr>
          <w:p w14:paraId="30CAE14D"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w:t>
            </w:r>
          </w:p>
        </w:tc>
        <w:tc>
          <w:tcPr>
            <w:tcW w:w="283" w:type="dxa"/>
            <w:tcBorders>
              <w:top w:val="nil"/>
              <w:bottom w:val="nil"/>
            </w:tcBorders>
            <w:shd w:val="clear" w:color="auto" w:fill="auto"/>
            <w:vAlign w:val="center"/>
          </w:tcPr>
          <w:p w14:paraId="72322096"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0818FDA0"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444</w:t>
            </w:r>
          </w:p>
        </w:tc>
        <w:tc>
          <w:tcPr>
            <w:tcW w:w="1902" w:type="dxa"/>
            <w:tcBorders>
              <w:top w:val="nil"/>
              <w:bottom w:val="nil"/>
            </w:tcBorders>
            <w:shd w:val="clear" w:color="auto" w:fill="auto"/>
            <w:vAlign w:val="center"/>
          </w:tcPr>
          <w:p w14:paraId="41C6A297" w14:textId="77777777" w:rsidR="005357C6" w:rsidRPr="00BC1030" w:rsidRDefault="005357C6" w:rsidP="00F73A24">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w:t>
            </w:r>
          </w:p>
        </w:tc>
      </w:tr>
      <w:tr w:rsidR="005357C6" w:rsidRPr="00BC1030" w14:paraId="53602A5E"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4E79" w:themeColor="accent1" w:themeShade="80"/>
            </w:tcBorders>
            <w:shd w:val="clear" w:color="auto" w:fill="auto"/>
            <w:vAlign w:val="center"/>
          </w:tcPr>
          <w:p w14:paraId="62D8AC4B" w14:textId="77777777" w:rsidR="005357C6" w:rsidRPr="00F73A24" w:rsidRDefault="005357C6" w:rsidP="00F73A24">
            <w:pPr>
              <w:pStyle w:val="08-Tabelageral"/>
              <w:keepLines w:val="0"/>
              <w:jc w:val="left"/>
              <w:rPr>
                <w:b w:val="0"/>
              </w:rPr>
            </w:pPr>
            <w:r w:rsidRPr="00F73A24">
              <w:rPr>
                <w:b w:val="0"/>
              </w:rPr>
              <w:t>Other liabilities</w:t>
            </w:r>
          </w:p>
        </w:tc>
        <w:tc>
          <w:tcPr>
            <w:tcW w:w="993" w:type="dxa"/>
            <w:tcBorders>
              <w:top w:val="nil"/>
              <w:bottom w:val="single" w:sz="2" w:space="0" w:color="1F4E79" w:themeColor="accent1" w:themeShade="80"/>
            </w:tcBorders>
            <w:shd w:val="clear" w:color="auto" w:fill="auto"/>
            <w:vAlign w:val="center"/>
          </w:tcPr>
          <w:p w14:paraId="2D569D21" w14:textId="77777777" w:rsidR="005357C6" w:rsidRPr="00BC1030" w:rsidRDefault="005357C6" w:rsidP="00017A4B">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[24]</w:t>
            </w:r>
          </w:p>
        </w:tc>
        <w:tc>
          <w:tcPr>
            <w:tcW w:w="1275" w:type="dxa"/>
            <w:tcBorders>
              <w:top w:val="nil"/>
              <w:bottom w:val="single" w:sz="2" w:space="0" w:color="1F4E79" w:themeColor="accent1" w:themeShade="80"/>
            </w:tcBorders>
            <w:shd w:val="clear" w:color="auto" w:fill="auto"/>
            <w:vAlign w:val="center"/>
          </w:tcPr>
          <w:p w14:paraId="6ED6B355"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12,183</w:t>
            </w:r>
          </w:p>
        </w:tc>
        <w:tc>
          <w:tcPr>
            <w:tcW w:w="1418" w:type="dxa"/>
            <w:tcBorders>
              <w:top w:val="nil"/>
              <w:bottom w:val="single" w:sz="2" w:space="0" w:color="1F4E79" w:themeColor="accent1" w:themeShade="80"/>
            </w:tcBorders>
            <w:shd w:val="clear" w:color="auto" w:fill="auto"/>
            <w:vAlign w:val="center"/>
          </w:tcPr>
          <w:p w14:paraId="3DAAB47F"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c>
          <w:tcPr>
            <w:tcW w:w="283" w:type="dxa"/>
            <w:tcBorders>
              <w:top w:val="nil"/>
              <w:bottom w:val="single" w:sz="2" w:space="0" w:color="1F4E79" w:themeColor="accent1" w:themeShade="80"/>
            </w:tcBorders>
            <w:shd w:val="clear" w:color="auto" w:fill="auto"/>
            <w:vAlign w:val="center"/>
          </w:tcPr>
          <w:p w14:paraId="58DB4646"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single" w:sz="2" w:space="0" w:color="1F4E79" w:themeColor="accent1" w:themeShade="80"/>
            </w:tcBorders>
            <w:shd w:val="clear" w:color="auto" w:fill="auto"/>
            <w:vAlign w:val="center"/>
          </w:tcPr>
          <w:p w14:paraId="6F23D8F9"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105,363</w:t>
            </w:r>
          </w:p>
        </w:tc>
        <w:tc>
          <w:tcPr>
            <w:tcW w:w="1902" w:type="dxa"/>
            <w:tcBorders>
              <w:top w:val="nil"/>
              <w:bottom w:val="single" w:sz="2" w:space="0" w:color="1F4E79" w:themeColor="accent1" w:themeShade="80"/>
            </w:tcBorders>
            <w:shd w:val="clear" w:color="auto" w:fill="auto"/>
            <w:vAlign w:val="center"/>
          </w:tcPr>
          <w:p w14:paraId="4D47B7BA" w14:textId="77777777" w:rsidR="005357C6" w:rsidRPr="00BC1030" w:rsidRDefault="005357C6" w:rsidP="00F73A24">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r>
    </w:tbl>
    <w:p w14:paraId="2B464326" w14:textId="77777777" w:rsidR="005357C6" w:rsidRPr="00993FCA" w:rsidRDefault="005357C6" w:rsidP="007D5853">
      <w:pPr>
        <w:pStyle w:val="05-Textonormal"/>
      </w:pPr>
    </w:p>
    <w:p w14:paraId="418ACAF7" w14:textId="77777777" w:rsidR="005357C6" w:rsidRPr="00993FCA" w:rsidRDefault="005357C6" w:rsidP="003C530B">
      <w:pPr>
        <w:pStyle w:val="06-Rmil"/>
        <w:rPr>
          <w:lang w:val="en-US"/>
        </w:rPr>
      </w:pPr>
      <w:r w:rsidRPr="00993FCA">
        <w:rPr>
          <w:lang w:val="en-US"/>
        </w:rPr>
        <w:t>R$ thousand</w:t>
      </w:r>
    </w:p>
    <w:tbl>
      <w:tblPr>
        <w:tblStyle w:val="TabeladeLista6Colorida-nfase5"/>
        <w:tblW w:w="9639" w:type="dxa"/>
        <w:jc w:val="center"/>
        <w:tblLayout w:type="fixed"/>
        <w:tblLook w:val="04A0" w:firstRow="1" w:lastRow="0" w:firstColumn="1" w:lastColumn="0" w:noHBand="0" w:noVBand="1"/>
      </w:tblPr>
      <w:tblGrid>
        <w:gridCol w:w="2074"/>
        <w:gridCol w:w="761"/>
        <w:gridCol w:w="993"/>
        <w:gridCol w:w="1559"/>
        <w:gridCol w:w="1417"/>
        <w:gridCol w:w="284"/>
        <w:gridCol w:w="1134"/>
        <w:gridCol w:w="1417"/>
      </w:tblGrid>
      <w:tr w:rsidR="005357C6" w:rsidRPr="00BC1030" w14:paraId="16C090C0" w14:textId="77777777" w:rsidTr="00BC1030">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4E79" w:themeColor="accent1" w:themeShade="80"/>
              <w:bottom w:val="single" w:sz="2" w:space="0" w:color="1F4E79" w:themeColor="accent1" w:themeShade="80"/>
            </w:tcBorders>
            <w:shd w:val="clear" w:color="auto" w:fill="auto"/>
            <w:vAlign w:val="center"/>
          </w:tcPr>
          <w:p w14:paraId="04994E7C" w14:textId="77777777" w:rsidR="005357C6" w:rsidRPr="00BC1030" w:rsidRDefault="005357C6" w:rsidP="00017A4B">
            <w:pPr>
              <w:keepNext/>
              <w:jc w:val="center"/>
              <w:rPr>
                <w:rFonts w:cs="Arial"/>
                <w:color w:val="auto"/>
                <w:sz w:val="14"/>
                <w:szCs w:val="14"/>
              </w:rPr>
            </w:pPr>
          </w:p>
        </w:tc>
        <w:tc>
          <w:tcPr>
            <w:tcW w:w="7565" w:type="dxa"/>
            <w:gridSpan w:val="7"/>
            <w:tcBorders>
              <w:top w:val="single" w:sz="2" w:space="0" w:color="1F4E79" w:themeColor="accent1" w:themeShade="80"/>
              <w:bottom w:val="single" w:sz="2" w:space="0" w:color="1F4E79" w:themeColor="accent1" w:themeShade="80"/>
            </w:tcBorders>
            <w:shd w:val="clear" w:color="auto" w:fill="auto"/>
            <w:vAlign w:val="center"/>
          </w:tcPr>
          <w:p w14:paraId="08649BFB" w14:textId="77777777" w:rsidR="005357C6" w:rsidRPr="00BC1030" w:rsidRDefault="005357C6" w:rsidP="00BC1030">
            <w:pPr>
              <w:keepNext/>
              <w:jc w:val="center"/>
              <w:cnfStyle w:val="100000000000" w:firstRow="1" w:lastRow="0" w:firstColumn="0" w:lastColumn="0" w:oddVBand="0" w:evenVBand="0" w:oddHBand="0" w:evenHBand="0" w:firstRowFirstColumn="0" w:firstRowLastColumn="0" w:lastRowFirstColumn="0" w:lastRowLastColumn="0"/>
              <w:rPr>
                <w:rFonts w:cs="Arial"/>
                <w:color w:val="auto"/>
                <w:sz w:val="14"/>
                <w:szCs w:val="14"/>
              </w:rPr>
            </w:pPr>
            <w:r w:rsidRPr="00BC1030">
              <w:rPr>
                <w:rFonts w:cs="Arial"/>
                <w:color w:val="auto"/>
                <w:sz w:val="14"/>
                <w:szCs w:val="14"/>
              </w:rPr>
              <w:t>Consolidated</w:t>
            </w:r>
          </w:p>
        </w:tc>
      </w:tr>
      <w:tr w:rsidR="005357C6" w:rsidRPr="00BC1030" w14:paraId="5EA0316B"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val="restart"/>
            <w:tcBorders>
              <w:top w:val="single" w:sz="2" w:space="0" w:color="1F4E79" w:themeColor="accent1" w:themeShade="80"/>
              <w:bottom w:val="single" w:sz="2" w:space="0" w:color="1F4E79" w:themeColor="accent1" w:themeShade="80"/>
            </w:tcBorders>
            <w:shd w:val="clear" w:color="auto" w:fill="auto"/>
            <w:vAlign w:val="center"/>
          </w:tcPr>
          <w:p w14:paraId="747DE1CD" w14:textId="77777777" w:rsidR="005357C6" w:rsidRPr="00BC1030" w:rsidRDefault="005357C6" w:rsidP="00BC1030">
            <w:pPr>
              <w:keepNext/>
              <w:rPr>
                <w:rFonts w:cs="Arial"/>
                <w:color w:val="auto"/>
                <w:sz w:val="14"/>
                <w:szCs w:val="14"/>
              </w:rPr>
            </w:pPr>
            <w:r w:rsidRPr="00BC1030">
              <w:rPr>
                <w:rFonts w:cs="Arial"/>
                <w:color w:val="auto"/>
                <w:sz w:val="14"/>
                <w:szCs w:val="14"/>
              </w:rPr>
              <w:t>Liquidity Risk</w:t>
            </w:r>
          </w:p>
        </w:tc>
        <w:tc>
          <w:tcPr>
            <w:tcW w:w="993" w:type="dxa"/>
            <w:tcBorders>
              <w:top w:val="single" w:sz="2" w:space="0" w:color="1F4E79" w:themeColor="accent1" w:themeShade="80"/>
              <w:bottom w:val="nil"/>
            </w:tcBorders>
            <w:shd w:val="clear" w:color="auto" w:fill="auto"/>
            <w:vAlign w:val="center"/>
          </w:tcPr>
          <w:p w14:paraId="1C4C5D53" w14:textId="77777777" w:rsidR="005357C6" w:rsidRPr="00017A4B" w:rsidRDefault="005357C6" w:rsidP="00017A4B">
            <w:pPr>
              <w:keepNext/>
              <w:jc w:val="center"/>
              <w:cnfStyle w:val="000000100000" w:firstRow="0" w:lastRow="0" w:firstColumn="0" w:lastColumn="0" w:oddVBand="0" w:evenVBand="0" w:oddHBand="1" w:evenHBand="0" w:firstRowFirstColumn="0" w:firstRowLastColumn="0" w:lastRowFirstColumn="0" w:lastRowLastColumn="0"/>
              <w:rPr>
                <w:rFonts w:cs="Arial"/>
                <w:b/>
                <w:bCs/>
                <w:color w:val="auto"/>
                <w:sz w:val="14"/>
                <w:szCs w:val="14"/>
              </w:rPr>
            </w:pPr>
          </w:p>
        </w:tc>
        <w:tc>
          <w:tcPr>
            <w:tcW w:w="2976" w:type="dxa"/>
            <w:gridSpan w:val="2"/>
            <w:tcBorders>
              <w:top w:val="single" w:sz="2" w:space="0" w:color="1F4E79" w:themeColor="accent1" w:themeShade="80"/>
              <w:bottom w:val="single" w:sz="2" w:space="0" w:color="1F4E79" w:themeColor="accent1" w:themeShade="80"/>
            </w:tcBorders>
            <w:shd w:val="clear" w:color="auto" w:fill="auto"/>
            <w:vAlign w:val="center"/>
          </w:tcPr>
          <w:p w14:paraId="38A509B3" w14:textId="77777777" w:rsidR="005357C6" w:rsidRPr="00BC1030" w:rsidRDefault="005357C6" w:rsidP="00BC1030">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BC1030">
              <w:rPr>
                <w:rFonts w:cs="Arial"/>
                <w:b/>
                <w:sz w:val="14"/>
                <w:szCs w:val="18"/>
              </w:rPr>
              <w:t>Dec 31, 2022</w:t>
            </w:r>
          </w:p>
        </w:tc>
        <w:tc>
          <w:tcPr>
            <w:tcW w:w="284" w:type="dxa"/>
            <w:tcBorders>
              <w:top w:val="single" w:sz="2" w:space="0" w:color="1F4E79" w:themeColor="accent1" w:themeShade="80"/>
              <w:bottom w:val="nil"/>
            </w:tcBorders>
            <w:shd w:val="clear" w:color="auto" w:fill="auto"/>
            <w:vAlign w:val="center"/>
          </w:tcPr>
          <w:p w14:paraId="2E71FBFC" w14:textId="77777777" w:rsidR="005357C6" w:rsidRPr="00BC1030" w:rsidRDefault="005357C6" w:rsidP="00BC1030">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p>
        </w:tc>
        <w:tc>
          <w:tcPr>
            <w:tcW w:w="2551" w:type="dxa"/>
            <w:gridSpan w:val="2"/>
            <w:tcBorders>
              <w:top w:val="single" w:sz="2" w:space="0" w:color="1F4E79" w:themeColor="accent1" w:themeShade="80"/>
              <w:bottom w:val="single" w:sz="2" w:space="0" w:color="1F4E79" w:themeColor="accent1" w:themeShade="80"/>
            </w:tcBorders>
            <w:shd w:val="clear" w:color="auto" w:fill="auto"/>
            <w:vAlign w:val="center"/>
          </w:tcPr>
          <w:p w14:paraId="65DCB1DC" w14:textId="77777777" w:rsidR="005357C6" w:rsidRPr="00BC1030" w:rsidRDefault="005357C6" w:rsidP="00BC1030">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BC1030">
              <w:rPr>
                <w:rFonts w:cs="Arial"/>
                <w:b/>
                <w:sz w:val="14"/>
                <w:szCs w:val="18"/>
              </w:rPr>
              <w:t>Dec 31, 2021</w:t>
            </w:r>
          </w:p>
        </w:tc>
      </w:tr>
      <w:tr w:rsidR="005357C6" w:rsidRPr="00BC1030" w14:paraId="0BD928B9" w14:textId="77777777" w:rsidTr="00017A4B">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vMerge/>
            <w:tcBorders>
              <w:top w:val="single" w:sz="2" w:space="0" w:color="1F4E79" w:themeColor="accent1" w:themeShade="80"/>
              <w:bottom w:val="single" w:sz="2" w:space="0" w:color="1F4E79" w:themeColor="accent1" w:themeShade="80"/>
            </w:tcBorders>
            <w:shd w:val="clear" w:color="auto" w:fill="auto"/>
          </w:tcPr>
          <w:p w14:paraId="4294B04F" w14:textId="77777777" w:rsidR="005357C6" w:rsidRPr="00BC1030" w:rsidRDefault="005357C6" w:rsidP="00B936EE">
            <w:pPr>
              <w:pStyle w:val="08-Tabelageral"/>
              <w:keepLines w:val="0"/>
              <w:jc w:val="left"/>
              <w:rPr>
                <w:rFonts w:cs="Arial"/>
                <w:b w:val="0"/>
                <w:color w:val="auto"/>
                <w:szCs w:val="14"/>
              </w:rPr>
            </w:pPr>
          </w:p>
        </w:tc>
        <w:tc>
          <w:tcPr>
            <w:tcW w:w="993" w:type="dxa"/>
            <w:tcBorders>
              <w:top w:val="nil"/>
              <w:bottom w:val="single" w:sz="2" w:space="0" w:color="1F4E79" w:themeColor="accent1" w:themeShade="80"/>
            </w:tcBorders>
            <w:shd w:val="clear" w:color="auto" w:fill="auto"/>
            <w:vAlign w:val="center"/>
          </w:tcPr>
          <w:p w14:paraId="5D3CA9C1" w14:textId="77777777" w:rsidR="005357C6" w:rsidRPr="00017A4B" w:rsidRDefault="005357C6" w:rsidP="00017A4B">
            <w:pPr>
              <w:keepNext/>
              <w:jc w:val="center"/>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sidRPr="00017A4B">
              <w:rPr>
                <w:rFonts w:cs="Arial"/>
                <w:b/>
                <w:bCs/>
                <w:color w:val="auto"/>
                <w:sz w:val="14"/>
                <w:szCs w:val="14"/>
              </w:rPr>
              <w:t>Note</w:t>
            </w:r>
          </w:p>
        </w:tc>
        <w:tc>
          <w:tcPr>
            <w:tcW w:w="1559" w:type="dxa"/>
            <w:tcBorders>
              <w:top w:val="single" w:sz="2" w:space="0" w:color="1F4E79" w:themeColor="accent1" w:themeShade="80"/>
              <w:bottom w:val="single" w:sz="2" w:space="0" w:color="1F4E79" w:themeColor="accent1" w:themeShade="80"/>
            </w:tcBorders>
            <w:shd w:val="clear" w:color="auto" w:fill="auto"/>
            <w:vAlign w:val="center"/>
          </w:tcPr>
          <w:p w14:paraId="7B492FE5" w14:textId="77777777" w:rsidR="005357C6" w:rsidRPr="00BC1030" w:rsidRDefault="005357C6" w:rsidP="00017A4B">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Up to 1 year</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41BF5BC7" w14:textId="77777777" w:rsidR="005357C6" w:rsidRPr="00BC1030" w:rsidRDefault="005357C6" w:rsidP="00017A4B">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More than 1</w:t>
            </w:r>
            <w:r>
              <w:rPr>
                <w:rFonts w:cs="Arial"/>
                <w:b/>
                <w:sz w:val="14"/>
                <w:szCs w:val="18"/>
              </w:rPr>
              <w:t xml:space="preserve"> </w:t>
            </w:r>
            <w:r w:rsidRPr="00BC1030">
              <w:rPr>
                <w:rFonts w:cs="Arial"/>
                <w:b/>
                <w:sz w:val="14"/>
                <w:szCs w:val="18"/>
              </w:rPr>
              <w:t>year</w:t>
            </w:r>
          </w:p>
        </w:tc>
        <w:tc>
          <w:tcPr>
            <w:tcW w:w="284" w:type="dxa"/>
            <w:tcBorders>
              <w:top w:val="nil"/>
              <w:bottom w:val="single" w:sz="2" w:space="0" w:color="1F4E79" w:themeColor="accent1" w:themeShade="80"/>
            </w:tcBorders>
            <w:shd w:val="clear" w:color="auto" w:fill="auto"/>
            <w:vAlign w:val="center"/>
          </w:tcPr>
          <w:p w14:paraId="6530B73C" w14:textId="77777777" w:rsidR="005357C6" w:rsidRPr="00BC1030" w:rsidRDefault="005357C6" w:rsidP="00017A4B">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18F25FC0" w14:textId="77777777" w:rsidR="005357C6" w:rsidRPr="00BC1030" w:rsidRDefault="005357C6" w:rsidP="00017A4B">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Up to 1 year</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5501242" w14:textId="77777777" w:rsidR="005357C6" w:rsidRPr="00BC1030" w:rsidRDefault="005357C6" w:rsidP="00017A4B">
            <w:pPr>
              <w:keepNext/>
              <w:jc w:val="right"/>
              <w:cnfStyle w:val="000000000000" w:firstRow="0" w:lastRow="0" w:firstColumn="0" w:lastColumn="0" w:oddVBand="0" w:evenVBand="0" w:oddHBand="0" w:evenHBand="0" w:firstRowFirstColumn="0" w:firstRowLastColumn="0" w:lastRowFirstColumn="0" w:lastRowLastColumn="0"/>
              <w:rPr>
                <w:rFonts w:cs="Arial"/>
                <w:b/>
                <w:sz w:val="14"/>
                <w:szCs w:val="18"/>
              </w:rPr>
            </w:pPr>
            <w:r w:rsidRPr="00BC1030">
              <w:rPr>
                <w:rFonts w:cs="Arial"/>
                <w:b/>
                <w:sz w:val="14"/>
                <w:szCs w:val="18"/>
              </w:rPr>
              <w:t>More than 1</w:t>
            </w:r>
            <w:r>
              <w:rPr>
                <w:rFonts w:cs="Arial"/>
                <w:b/>
                <w:sz w:val="14"/>
                <w:szCs w:val="18"/>
              </w:rPr>
              <w:t xml:space="preserve"> </w:t>
            </w:r>
            <w:r w:rsidRPr="00BC1030">
              <w:rPr>
                <w:rFonts w:cs="Arial"/>
                <w:b/>
                <w:sz w:val="14"/>
                <w:szCs w:val="18"/>
              </w:rPr>
              <w:t>y</w:t>
            </w:r>
            <w:r>
              <w:rPr>
                <w:rFonts w:cs="Arial"/>
                <w:b/>
                <w:sz w:val="14"/>
                <w:szCs w:val="18"/>
              </w:rPr>
              <w:t>ear</w:t>
            </w:r>
          </w:p>
        </w:tc>
      </w:tr>
      <w:tr w:rsidR="005357C6" w:rsidRPr="00BC1030" w14:paraId="768D523A"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single" w:sz="2" w:space="0" w:color="1F4E79" w:themeColor="accent1" w:themeShade="80"/>
              <w:bottom w:val="nil"/>
            </w:tcBorders>
            <w:shd w:val="clear" w:color="auto" w:fill="auto"/>
          </w:tcPr>
          <w:p w14:paraId="24FC0445" w14:textId="77777777" w:rsidR="005357C6" w:rsidRPr="00F73A24" w:rsidRDefault="005357C6" w:rsidP="00B936EE">
            <w:pPr>
              <w:pStyle w:val="08-Tabelageral"/>
              <w:keepLines w:val="0"/>
              <w:jc w:val="left"/>
              <w:rPr>
                <w:b w:val="0"/>
              </w:rPr>
            </w:pPr>
            <w:r w:rsidRPr="00F73A24">
              <w:rPr>
                <w:b w:val="0"/>
              </w:rPr>
              <w:t>ASSETS</w:t>
            </w:r>
          </w:p>
        </w:tc>
        <w:tc>
          <w:tcPr>
            <w:tcW w:w="993" w:type="dxa"/>
            <w:tcBorders>
              <w:top w:val="single" w:sz="2" w:space="0" w:color="1F4E79" w:themeColor="accent1" w:themeShade="80"/>
              <w:bottom w:val="nil"/>
            </w:tcBorders>
            <w:shd w:val="clear" w:color="auto" w:fill="auto"/>
            <w:vAlign w:val="center"/>
          </w:tcPr>
          <w:p w14:paraId="733C9458" w14:textId="77777777" w:rsidR="005357C6" w:rsidRPr="00BC1030" w:rsidRDefault="005357C6" w:rsidP="00017A4B">
            <w:pPr>
              <w:pStyle w:val="08-Tabelageral"/>
              <w:keepLines w:val="0"/>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2" w:space="0" w:color="1F4E79" w:themeColor="accent1" w:themeShade="80"/>
              <w:bottom w:val="nil"/>
            </w:tcBorders>
            <w:shd w:val="clear" w:color="auto" w:fill="auto"/>
            <w:vAlign w:val="center"/>
          </w:tcPr>
          <w:p w14:paraId="7613E688"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7" w:type="dxa"/>
            <w:tcBorders>
              <w:top w:val="single" w:sz="2" w:space="0" w:color="1F4E79" w:themeColor="accent1" w:themeShade="80"/>
              <w:bottom w:val="nil"/>
            </w:tcBorders>
            <w:shd w:val="clear" w:color="auto" w:fill="auto"/>
            <w:vAlign w:val="center"/>
          </w:tcPr>
          <w:p w14:paraId="747FE544"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284" w:type="dxa"/>
            <w:tcBorders>
              <w:top w:val="single" w:sz="2" w:space="0" w:color="1F4E79" w:themeColor="accent1" w:themeShade="80"/>
              <w:bottom w:val="nil"/>
            </w:tcBorders>
            <w:shd w:val="clear" w:color="auto" w:fill="auto"/>
            <w:vAlign w:val="center"/>
          </w:tcPr>
          <w:p w14:paraId="698B5743"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single" w:sz="2" w:space="0" w:color="1F4E79" w:themeColor="accent1" w:themeShade="80"/>
              <w:bottom w:val="nil"/>
            </w:tcBorders>
            <w:shd w:val="clear" w:color="auto" w:fill="auto"/>
            <w:vAlign w:val="center"/>
          </w:tcPr>
          <w:p w14:paraId="219FA565"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7" w:type="dxa"/>
            <w:tcBorders>
              <w:top w:val="single" w:sz="2" w:space="0" w:color="1F4E79" w:themeColor="accent1" w:themeShade="80"/>
              <w:bottom w:val="nil"/>
            </w:tcBorders>
            <w:shd w:val="clear" w:color="auto" w:fill="auto"/>
            <w:vAlign w:val="center"/>
          </w:tcPr>
          <w:p w14:paraId="0498D76E"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5357C6" w:rsidRPr="00BC1030" w14:paraId="42BB59EA" w14:textId="77777777" w:rsidTr="00017A4B">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26986EE9" w14:textId="77777777" w:rsidR="005357C6" w:rsidRPr="00F73A24" w:rsidRDefault="005357C6" w:rsidP="007549B5">
            <w:pPr>
              <w:pStyle w:val="08-Tabelageral"/>
              <w:keepLines w:val="0"/>
              <w:jc w:val="left"/>
              <w:rPr>
                <w:b w:val="0"/>
              </w:rPr>
            </w:pPr>
            <w:r w:rsidRPr="00F73A24">
              <w:rPr>
                <w:b w:val="0"/>
              </w:rPr>
              <w:t>Cash and cash equivalents</w:t>
            </w:r>
          </w:p>
        </w:tc>
        <w:tc>
          <w:tcPr>
            <w:tcW w:w="993" w:type="dxa"/>
            <w:tcBorders>
              <w:top w:val="nil"/>
              <w:bottom w:val="nil"/>
            </w:tcBorders>
            <w:shd w:val="clear" w:color="auto" w:fill="auto"/>
            <w:vAlign w:val="center"/>
          </w:tcPr>
          <w:p w14:paraId="40E3B397" w14:textId="77777777" w:rsidR="005357C6" w:rsidRPr="00BC1030" w:rsidRDefault="005357C6" w:rsidP="00017A4B">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[15]</w:t>
            </w:r>
          </w:p>
        </w:tc>
        <w:tc>
          <w:tcPr>
            <w:tcW w:w="1559" w:type="dxa"/>
            <w:tcBorders>
              <w:top w:val="nil"/>
              <w:bottom w:val="nil"/>
            </w:tcBorders>
            <w:shd w:val="clear" w:color="auto" w:fill="auto"/>
            <w:vAlign w:val="center"/>
          </w:tcPr>
          <w:p w14:paraId="7A6D849D"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6,076,618</w:t>
            </w:r>
          </w:p>
          <w:p w14:paraId="5685764B"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417" w:type="dxa"/>
            <w:tcBorders>
              <w:top w:val="nil"/>
              <w:bottom w:val="nil"/>
            </w:tcBorders>
            <w:shd w:val="clear" w:color="auto" w:fill="auto"/>
            <w:vAlign w:val="center"/>
          </w:tcPr>
          <w:p w14:paraId="5917ED71"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w:t>
            </w:r>
          </w:p>
        </w:tc>
        <w:tc>
          <w:tcPr>
            <w:tcW w:w="284" w:type="dxa"/>
            <w:tcBorders>
              <w:top w:val="nil"/>
              <w:bottom w:val="nil"/>
            </w:tcBorders>
            <w:shd w:val="clear" w:color="auto" w:fill="auto"/>
            <w:vAlign w:val="center"/>
          </w:tcPr>
          <w:p w14:paraId="05FCEBDC"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52F1084C"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4,090,561</w:t>
            </w:r>
          </w:p>
          <w:p w14:paraId="03D8405A"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417" w:type="dxa"/>
            <w:tcBorders>
              <w:top w:val="nil"/>
              <w:bottom w:val="nil"/>
            </w:tcBorders>
            <w:shd w:val="clear" w:color="auto" w:fill="auto"/>
            <w:vAlign w:val="center"/>
          </w:tcPr>
          <w:p w14:paraId="1A297006"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w:t>
            </w:r>
          </w:p>
        </w:tc>
      </w:tr>
      <w:tr w:rsidR="005357C6" w:rsidRPr="00BC1030" w14:paraId="0620A137"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287547A4" w14:textId="77777777" w:rsidR="005357C6" w:rsidRPr="00AF04B6" w:rsidRDefault="005357C6" w:rsidP="007549B5">
            <w:pPr>
              <w:pStyle w:val="08-Tabelageral"/>
              <w:keepLines w:val="0"/>
              <w:jc w:val="left"/>
              <w:rPr>
                <w:b w:val="0"/>
                <w:lang w:val="en-US"/>
              </w:rPr>
            </w:pPr>
            <w:r w:rsidRPr="00AF04B6">
              <w:rPr>
                <w:b w:val="0"/>
                <w:lang w:val="en-US"/>
              </w:rPr>
              <w:t>Financial assets at fair value through profit</w:t>
            </w:r>
          </w:p>
        </w:tc>
        <w:tc>
          <w:tcPr>
            <w:tcW w:w="993" w:type="dxa"/>
            <w:tcBorders>
              <w:top w:val="nil"/>
              <w:bottom w:val="nil"/>
            </w:tcBorders>
            <w:shd w:val="clear" w:color="auto" w:fill="auto"/>
            <w:vAlign w:val="center"/>
          </w:tcPr>
          <w:p w14:paraId="364A2C0E" w14:textId="77777777" w:rsidR="005357C6" w:rsidRPr="00BC1030" w:rsidRDefault="005357C6" w:rsidP="00017A4B">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[16.a]</w:t>
            </w:r>
          </w:p>
        </w:tc>
        <w:tc>
          <w:tcPr>
            <w:tcW w:w="1559" w:type="dxa"/>
            <w:tcBorders>
              <w:top w:val="nil"/>
              <w:bottom w:val="nil"/>
            </w:tcBorders>
            <w:shd w:val="clear" w:color="auto" w:fill="auto"/>
            <w:vAlign w:val="center"/>
          </w:tcPr>
          <w:p w14:paraId="5688E7E1"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c>
          <w:tcPr>
            <w:tcW w:w="1417" w:type="dxa"/>
            <w:tcBorders>
              <w:top w:val="nil"/>
              <w:bottom w:val="nil"/>
            </w:tcBorders>
            <w:shd w:val="clear" w:color="auto" w:fill="auto"/>
            <w:vAlign w:val="center"/>
          </w:tcPr>
          <w:p w14:paraId="5D3497ED"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368,281</w:t>
            </w:r>
          </w:p>
        </w:tc>
        <w:tc>
          <w:tcPr>
            <w:tcW w:w="284" w:type="dxa"/>
            <w:tcBorders>
              <w:top w:val="nil"/>
              <w:bottom w:val="nil"/>
            </w:tcBorders>
            <w:shd w:val="clear" w:color="auto" w:fill="auto"/>
            <w:vAlign w:val="center"/>
          </w:tcPr>
          <w:p w14:paraId="45B53C3C"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54D49B2B"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c>
          <w:tcPr>
            <w:tcW w:w="1417" w:type="dxa"/>
            <w:tcBorders>
              <w:top w:val="nil"/>
              <w:bottom w:val="nil"/>
            </w:tcBorders>
            <w:shd w:val="clear" w:color="auto" w:fill="auto"/>
            <w:vAlign w:val="center"/>
          </w:tcPr>
          <w:p w14:paraId="7B51A47F"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14,011</w:t>
            </w:r>
          </w:p>
        </w:tc>
      </w:tr>
      <w:tr w:rsidR="005357C6" w:rsidRPr="00BC1030" w14:paraId="7BAA3E0E" w14:textId="77777777" w:rsidTr="00017A4B">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2CD55EDF" w14:textId="77777777" w:rsidR="005357C6" w:rsidRPr="00F73A24" w:rsidRDefault="005357C6" w:rsidP="00BC1030">
            <w:pPr>
              <w:pStyle w:val="08-Tabelageral"/>
              <w:keepLines w:val="0"/>
              <w:jc w:val="left"/>
              <w:rPr>
                <w:b w:val="0"/>
              </w:rPr>
            </w:pPr>
            <w:r w:rsidRPr="00F73A24">
              <w:rPr>
                <w:b w:val="0"/>
              </w:rPr>
              <w:t>Commissions receivable</w:t>
            </w:r>
          </w:p>
          <w:p w14:paraId="10A56B14" w14:textId="77777777" w:rsidR="005357C6" w:rsidRPr="00F73A24" w:rsidRDefault="005357C6" w:rsidP="00BC1030">
            <w:pPr>
              <w:pStyle w:val="08-Tabelageral"/>
              <w:keepLines w:val="0"/>
              <w:jc w:val="left"/>
              <w:rPr>
                <w:b w:val="0"/>
              </w:rPr>
            </w:pPr>
          </w:p>
        </w:tc>
        <w:tc>
          <w:tcPr>
            <w:tcW w:w="993" w:type="dxa"/>
            <w:tcBorders>
              <w:top w:val="nil"/>
              <w:bottom w:val="nil"/>
            </w:tcBorders>
            <w:shd w:val="clear" w:color="auto" w:fill="auto"/>
            <w:vAlign w:val="center"/>
          </w:tcPr>
          <w:p w14:paraId="35099E7B" w14:textId="77777777" w:rsidR="005357C6" w:rsidRPr="00BC1030" w:rsidRDefault="005357C6" w:rsidP="00017A4B">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[18]</w:t>
            </w:r>
          </w:p>
        </w:tc>
        <w:tc>
          <w:tcPr>
            <w:tcW w:w="1559" w:type="dxa"/>
            <w:tcBorders>
              <w:top w:val="nil"/>
              <w:bottom w:val="nil"/>
            </w:tcBorders>
            <w:shd w:val="clear" w:color="auto" w:fill="auto"/>
            <w:vAlign w:val="center"/>
          </w:tcPr>
          <w:p w14:paraId="4D11A1B6"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1,114,256</w:t>
            </w:r>
          </w:p>
        </w:tc>
        <w:tc>
          <w:tcPr>
            <w:tcW w:w="1417" w:type="dxa"/>
            <w:tcBorders>
              <w:top w:val="nil"/>
              <w:bottom w:val="nil"/>
            </w:tcBorders>
            <w:shd w:val="clear" w:color="auto" w:fill="auto"/>
            <w:vAlign w:val="center"/>
          </w:tcPr>
          <w:p w14:paraId="38759278"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708,990</w:t>
            </w:r>
          </w:p>
        </w:tc>
        <w:tc>
          <w:tcPr>
            <w:tcW w:w="284" w:type="dxa"/>
            <w:tcBorders>
              <w:top w:val="nil"/>
              <w:bottom w:val="nil"/>
            </w:tcBorders>
            <w:shd w:val="clear" w:color="auto" w:fill="auto"/>
            <w:vAlign w:val="center"/>
          </w:tcPr>
          <w:p w14:paraId="1180C6C9"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1456C18C"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1,026,158</w:t>
            </w:r>
          </w:p>
        </w:tc>
        <w:tc>
          <w:tcPr>
            <w:tcW w:w="1417" w:type="dxa"/>
            <w:tcBorders>
              <w:top w:val="nil"/>
              <w:bottom w:val="nil"/>
            </w:tcBorders>
            <w:shd w:val="clear" w:color="auto" w:fill="auto"/>
            <w:vAlign w:val="center"/>
          </w:tcPr>
          <w:p w14:paraId="5F4BD7FF"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698,435</w:t>
            </w:r>
          </w:p>
        </w:tc>
      </w:tr>
      <w:tr w:rsidR="005357C6" w:rsidRPr="00BC1030" w14:paraId="2DE3FB6B"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4D1B98EB" w14:textId="77777777" w:rsidR="005357C6" w:rsidRPr="00AF04B6" w:rsidRDefault="005357C6" w:rsidP="007549B5">
            <w:pPr>
              <w:pStyle w:val="08-Tabelageral"/>
              <w:keepLines w:val="0"/>
              <w:jc w:val="left"/>
              <w:rPr>
                <w:b w:val="0"/>
                <w:lang w:val="en-US"/>
              </w:rPr>
            </w:pPr>
            <w:r w:rsidRPr="00AF04B6">
              <w:rPr>
                <w:b w:val="0"/>
                <w:lang w:val="en-US"/>
              </w:rPr>
              <w:t>Dividends/interest on equity receivable</w:t>
            </w:r>
          </w:p>
        </w:tc>
        <w:tc>
          <w:tcPr>
            <w:tcW w:w="993" w:type="dxa"/>
            <w:tcBorders>
              <w:top w:val="nil"/>
              <w:bottom w:val="nil"/>
            </w:tcBorders>
            <w:shd w:val="clear" w:color="auto" w:fill="auto"/>
            <w:vAlign w:val="center"/>
          </w:tcPr>
          <w:p w14:paraId="36C656B3" w14:textId="77777777" w:rsidR="005357C6" w:rsidRPr="00BC1030" w:rsidRDefault="005357C6" w:rsidP="00017A4B">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[17]</w:t>
            </w:r>
          </w:p>
        </w:tc>
        <w:tc>
          <w:tcPr>
            <w:tcW w:w="1559" w:type="dxa"/>
            <w:tcBorders>
              <w:top w:val="nil"/>
              <w:bottom w:val="nil"/>
            </w:tcBorders>
            <w:shd w:val="clear" w:color="auto" w:fill="auto"/>
            <w:vAlign w:val="center"/>
          </w:tcPr>
          <w:p w14:paraId="71F8D702"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13,519</w:t>
            </w:r>
          </w:p>
        </w:tc>
        <w:tc>
          <w:tcPr>
            <w:tcW w:w="1417" w:type="dxa"/>
            <w:tcBorders>
              <w:top w:val="nil"/>
              <w:bottom w:val="nil"/>
            </w:tcBorders>
            <w:shd w:val="clear" w:color="auto" w:fill="auto"/>
            <w:vAlign w:val="center"/>
          </w:tcPr>
          <w:p w14:paraId="725D5A97"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c>
          <w:tcPr>
            <w:tcW w:w="284" w:type="dxa"/>
            <w:tcBorders>
              <w:top w:val="nil"/>
              <w:bottom w:val="nil"/>
            </w:tcBorders>
            <w:shd w:val="clear" w:color="auto" w:fill="auto"/>
            <w:vAlign w:val="center"/>
          </w:tcPr>
          <w:p w14:paraId="02693E3B"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1A851C27"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1,648</w:t>
            </w:r>
          </w:p>
        </w:tc>
        <w:tc>
          <w:tcPr>
            <w:tcW w:w="1417" w:type="dxa"/>
            <w:tcBorders>
              <w:top w:val="nil"/>
              <w:bottom w:val="nil"/>
            </w:tcBorders>
            <w:shd w:val="clear" w:color="auto" w:fill="auto"/>
            <w:vAlign w:val="center"/>
          </w:tcPr>
          <w:p w14:paraId="7F95B8EB"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r>
      <w:tr w:rsidR="005357C6" w:rsidRPr="00BC1030" w14:paraId="597FE425" w14:textId="77777777" w:rsidTr="00017A4B">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1E310F04" w14:textId="77777777" w:rsidR="005357C6" w:rsidRPr="00F73A24" w:rsidRDefault="005357C6" w:rsidP="007549B5">
            <w:pPr>
              <w:pStyle w:val="08-Tabelageral"/>
              <w:keepLines w:val="0"/>
              <w:jc w:val="left"/>
              <w:rPr>
                <w:b w:val="0"/>
              </w:rPr>
            </w:pPr>
          </w:p>
        </w:tc>
        <w:tc>
          <w:tcPr>
            <w:tcW w:w="993" w:type="dxa"/>
            <w:tcBorders>
              <w:top w:val="nil"/>
              <w:bottom w:val="nil"/>
            </w:tcBorders>
            <w:shd w:val="clear" w:color="auto" w:fill="auto"/>
            <w:vAlign w:val="center"/>
          </w:tcPr>
          <w:p w14:paraId="5B19C972" w14:textId="77777777" w:rsidR="005357C6" w:rsidRPr="00BC1030" w:rsidRDefault="005357C6" w:rsidP="00017A4B">
            <w:pPr>
              <w:pStyle w:val="08-Tabelageral"/>
              <w:keepLines w:val="0"/>
              <w:jc w:val="center"/>
              <w:cnfStyle w:val="000000000000" w:firstRow="0" w:lastRow="0" w:firstColumn="0" w:lastColumn="0" w:oddVBand="0" w:evenVBand="0" w:oddHBand="0" w:evenHBand="0" w:firstRowFirstColumn="0" w:firstRowLastColumn="0" w:lastRowFirstColumn="0" w:lastRowLastColumn="0"/>
            </w:pPr>
          </w:p>
        </w:tc>
        <w:tc>
          <w:tcPr>
            <w:tcW w:w="1559" w:type="dxa"/>
            <w:tcBorders>
              <w:top w:val="nil"/>
              <w:bottom w:val="nil"/>
            </w:tcBorders>
            <w:shd w:val="clear" w:color="auto" w:fill="auto"/>
            <w:vAlign w:val="center"/>
          </w:tcPr>
          <w:p w14:paraId="0751EEB6"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417" w:type="dxa"/>
            <w:tcBorders>
              <w:top w:val="nil"/>
              <w:bottom w:val="nil"/>
            </w:tcBorders>
            <w:shd w:val="clear" w:color="auto" w:fill="auto"/>
            <w:vAlign w:val="center"/>
          </w:tcPr>
          <w:p w14:paraId="6D3F7CDA"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284" w:type="dxa"/>
            <w:tcBorders>
              <w:top w:val="nil"/>
              <w:bottom w:val="nil"/>
            </w:tcBorders>
            <w:shd w:val="clear" w:color="auto" w:fill="auto"/>
            <w:vAlign w:val="center"/>
          </w:tcPr>
          <w:p w14:paraId="37A5B500"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6B1D99F0"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417" w:type="dxa"/>
            <w:tcBorders>
              <w:top w:val="nil"/>
              <w:bottom w:val="nil"/>
            </w:tcBorders>
            <w:shd w:val="clear" w:color="auto" w:fill="auto"/>
            <w:vAlign w:val="center"/>
          </w:tcPr>
          <w:p w14:paraId="69A77D54"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r>
      <w:tr w:rsidR="005357C6" w:rsidRPr="00BC1030" w14:paraId="60BB818A"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1A60371C" w14:textId="77777777" w:rsidR="005357C6" w:rsidRPr="00F73A24" w:rsidRDefault="005357C6" w:rsidP="007549B5">
            <w:pPr>
              <w:pStyle w:val="08-Tabelageral"/>
              <w:keepLines w:val="0"/>
              <w:jc w:val="left"/>
              <w:rPr>
                <w:b w:val="0"/>
              </w:rPr>
            </w:pPr>
            <w:r w:rsidRPr="00F73A24">
              <w:rPr>
                <w:b w:val="0"/>
              </w:rPr>
              <w:t>LIABILITIES</w:t>
            </w:r>
          </w:p>
        </w:tc>
        <w:tc>
          <w:tcPr>
            <w:tcW w:w="993" w:type="dxa"/>
            <w:tcBorders>
              <w:top w:val="nil"/>
              <w:bottom w:val="nil"/>
            </w:tcBorders>
            <w:shd w:val="clear" w:color="auto" w:fill="auto"/>
            <w:vAlign w:val="center"/>
          </w:tcPr>
          <w:p w14:paraId="782EF493" w14:textId="77777777" w:rsidR="005357C6" w:rsidRPr="00BC1030" w:rsidRDefault="005357C6" w:rsidP="00017A4B">
            <w:pPr>
              <w:pStyle w:val="08-Tabelageral"/>
              <w:keepLines w:val="0"/>
              <w:jc w:val="center"/>
              <w:cnfStyle w:val="000000100000" w:firstRow="0" w:lastRow="0" w:firstColumn="0" w:lastColumn="0" w:oddVBand="0" w:evenVBand="0" w:oddHBand="1" w:evenHBand="0" w:firstRowFirstColumn="0" w:firstRowLastColumn="0" w:lastRowFirstColumn="0" w:lastRowLastColumn="0"/>
            </w:pPr>
          </w:p>
        </w:tc>
        <w:tc>
          <w:tcPr>
            <w:tcW w:w="1559" w:type="dxa"/>
            <w:tcBorders>
              <w:top w:val="nil"/>
              <w:bottom w:val="nil"/>
            </w:tcBorders>
            <w:shd w:val="clear" w:color="auto" w:fill="auto"/>
            <w:vAlign w:val="center"/>
          </w:tcPr>
          <w:p w14:paraId="3C69AF94"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7" w:type="dxa"/>
            <w:tcBorders>
              <w:top w:val="nil"/>
              <w:bottom w:val="nil"/>
            </w:tcBorders>
            <w:shd w:val="clear" w:color="auto" w:fill="auto"/>
            <w:vAlign w:val="center"/>
          </w:tcPr>
          <w:p w14:paraId="3D818420"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284" w:type="dxa"/>
            <w:tcBorders>
              <w:top w:val="nil"/>
              <w:bottom w:val="nil"/>
            </w:tcBorders>
            <w:shd w:val="clear" w:color="auto" w:fill="auto"/>
            <w:vAlign w:val="center"/>
          </w:tcPr>
          <w:p w14:paraId="2CB6A4C8"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75DC485F"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417" w:type="dxa"/>
            <w:tcBorders>
              <w:top w:val="nil"/>
              <w:bottom w:val="nil"/>
            </w:tcBorders>
            <w:shd w:val="clear" w:color="auto" w:fill="auto"/>
            <w:vAlign w:val="center"/>
          </w:tcPr>
          <w:p w14:paraId="1ED15BCD"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5357C6" w:rsidRPr="00BC1030" w14:paraId="2E818F92" w14:textId="77777777" w:rsidTr="00017A4B">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14658292" w14:textId="77777777" w:rsidR="005357C6" w:rsidRPr="00F73A24" w:rsidRDefault="005357C6" w:rsidP="00BC1030">
            <w:pPr>
              <w:pStyle w:val="08-Tabelageral"/>
              <w:keepLines w:val="0"/>
              <w:jc w:val="left"/>
              <w:rPr>
                <w:b w:val="0"/>
              </w:rPr>
            </w:pPr>
            <w:r w:rsidRPr="00F73A24">
              <w:rPr>
                <w:b w:val="0"/>
              </w:rPr>
              <w:t>Corporate and Statutory Obligations</w:t>
            </w:r>
          </w:p>
          <w:p w14:paraId="154EE30C" w14:textId="77777777" w:rsidR="005357C6" w:rsidRPr="00F73A24" w:rsidRDefault="005357C6" w:rsidP="00BC1030">
            <w:pPr>
              <w:pStyle w:val="08-Tabelageral"/>
              <w:keepLines w:val="0"/>
              <w:jc w:val="left"/>
              <w:rPr>
                <w:b w:val="0"/>
              </w:rPr>
            </w:pPr>
          </w:p>
        </w:tc>
        <w:tc>
          <w:tcPr>
            <w:tcW w:w="993" w:type="dxa"/>
            <w:tcBorders>
              <w:top w:val="nil"/>
              <w:bottom w:val="nil"/>
            </w:tcBorders>
            <w:shd w:val="clear" w:color="auto" w:fill="auto"/>
            <w:vAlign w:val="center"/>
          </w:tcPr>
          <w:p w14:paraId="0E690C31" w14:textId="77777777" w:rsidR="005357C6" w:rsidRPr="00BC1030" w:rsidRDefault="005357C6" w:rsidP="00017A4B">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[21]</w:t>
            </w:r>
          </w:p>
        </w:tc>
        <w:tc>
          <w:tcPr>
            <w:tcW w:w="1559" w:type="dxa"/>
            <w:tcBorders>
              <w:top w:val="nil"/>
              <w:bottom w:val="nil"/>
            </w:tcBorders>
            <w:shd w:val="clear" w:color="auto" w:fill="auto"/>
            <w:vAlign w:val="center"/>
          </w:tcPr>
          <w:p w14:paraId="6F057C8E"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3,674,027                    3,674                    307</w:t>
            </w:r>
          </w:p>
        </w:tc>
        <w:tc>
          <w:tcPr>
            <w:tcW w:w="1417" w:type="dxa"/>
            <w:tcBorders>
              <w:top w:val="nil"/>
              <w:bottom w:val="nil"/>
            </w:tcBorders>
            <w:shd w:val="clear" w:color="auto" w:fill="auto"/>
            <w:vAlign w:val="center"/>
          </w:tcPr>
          <w:p w14:paraId="40883BBD"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w:t>
            </w:r>
          </w:p>
        </w:tc>
        <w:tc>
          <w:tcPr>
            <w:tcW w:w="284" w:type="dxa"/>
            <w:tcBorders>
              <w:top w:val="nil"/>
              <w:bottom w:val="nil"/>
            </w:tcBorders>
            <w:shd w:val="clear" w:color="auto" w:fill="auto"/>
            <w:vAlign w:val="center"/>
          </w:tcPr>
          <w:p w14:paraId="456887B8"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562B7150"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1,831,691</w:t>
            </w:r>
          </w:p>
        </w:tc>
        <w:tc>
          <w:tcPr>
            <w:tcW w:w="1417" w:type="dxa"/>
            <w:tcBorders>
              <w:top w:val="nil"/>
              <w:bottom w:val="nil"/>
            </w:tcBorders>
            <w:shd w:val="clear" w:color="auto" w:fill="auto"/>
            <w:vAlign w:val="center"/>
          </w:tcPr>
          <w:p w14:paraId="5BA6F13D"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w:t>
            </w:r>
          </w:p>
        </w:tc>
      </w:tr>
      <w:tr w:rsidR="005357C6" w:rsidRPr="00BC1030" w14:paraId="228EC89D"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tcPr>
          <w:p w14:paraId="3B6DA8C9" w14:textId="77777777" w:rsidR="005357C6" w:rsidRPr="00F73A24" w:rsidRDefault="005357C6" w:rsidP="007549B5">
            <w:pPr>
              <w:pStyle w:val="08-Tabelageral"/>
              <w:keepLines w:val="0"/>
              <w:jc w:val="left"/>
              <w:rPr>
                <w:b w:val="0"/>
              </w:rPr>
            </w:pPr>
            <w:r w:rsidRPr="00F73A24">
              <w:rPr>
                <w:b w:val="0"/>
              </w:rPr>
              <w:t>Current tax liabilities</w:t>
            </w:r>
          </w:p>
        </w:tc>
        <w:tc>
          <w:tcPr>
            <w:tcW w:w="993" w:type="dxa"/>
            <w:tcBorders>
              <w:top w:val="nil"/>
              <w:bottom w:val="nil"/>
            </w:tcBorders>
            <w:shd w:val="clear" w:color="auto" w:fill="auto"/>
            <w:vAlign w:val="center"/>
          </w:tcPr>
          <w:p w14:paraId="78F0EB33" w14:textId="77777777" w:rsidR="005357C6" w:rsidRPr="00BC1030" w:rsidRDefault="005357C6" w:rsidP="00017A4B">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[12.g]</w:t>
            </w:r>
          </w:p>
        </w:tc>
        <w:tc>
          <w:tcPr>
            <w:tcW w:w="1559" w:type="dxa"/>
            <w:tcBorders>
              <w:top w:val="nil"/>
              <w:bottom w:val="nil"/>
            </w:tcBorders>
            <w:shd w:val="clear" w:color="auto" w:fill="auto"/>
            <w:vAlign w:val="center"/>
          </w:tcPr>
          <w:p w14:paraId="4D7C0EF8"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963,874</w:t>
            </w:r>
          </w:p>
        </w:tc>
        <w:tc>
          <w:tcPr>
            <w:tcW w:w="1417" w:type="dxa"/>
            <w:tcBorders>
              <w:top w:val="nil"/>
              <w:bottom w:val="nil"/>
            </w:tcBorders>
            <w:shd w:val="clear" w:color="auto" w:fill="auto"/>
            <w:vAlign w:val="center"/>
          </w:tcPr>
          <w:p w14:paraId="2B571B48"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c>
          <w:tcPr>
            <w:tcW w:w="284" w:type="dxa"/>
            <w:tcBorders>
              <w:top w:val="nil"/>
              <w:bottom w:val="nil"/>
            </w:tcBorders>
            <w:shd w:val="clear" w:color="auto" w:fill="auto"/>
            <w:vAlign w:val="center"/>
          </w:tcPr>
          <w:p w14:paraId="47BE752B"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70A1CE8E"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762,519</w:t>
            </w:r>
          </w:p>
        </w:tc>
        <w:tc>
          <w:tcPr>
            <w:tcW w:w="1417" w:type="dxa"/>
            <w:tcBorders>
              <w:top w:val="nil"/>
              <w:bottom w:val="nil"/>
            </w:tcBorders>
            <w:shd w:val="clear" w:color="auto" w:fill="auto"/>
            <w:vAlign w:val="center"/>
          </w:tcPr>
          <w:p w14:paraId="0A7E18EC"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r>
      <w:tr w:rsidR="005357C6" w:rsidRPr="00BC1030" w14:paraId="6DF39C23" w14:textId="77777777" w:rsidTr="00017A4B">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nil"/>
            </w:tcBorders>
            <w:shd w:val="clear" w:color="auto" w:fill="auto"/>
            <w:vAlign w:val="center"/>
          </w:tcPr>
          <w:p w14:paraId="5AB2EF53" w14:textId="77777777" w:rsidR="005357C6" w:rsidRPr="00F73A24" w:rsidRDefault="005357C6" w:rsidP="007549B5">
            <w:pPr>
              <w:pStyle w:val="08-Tabelageral"/>
              <w:keepLines w:val="0"/>
              <w:jc w:val="left"/>
              <w:rPr>
                <w:b w:val="0"/>
              </w:rPr>
            </w:pPr>
            <w:r w:rsidRPr="00F73A24">
              <w:rPr>
                <w:b w:val="0"/>
              </w:rPr>
              <w:t>Unearned commissions</w:t>
            </w:r>
          </w:p>
        </w:tc>
        <w:tc>
          <w:tcPr>
            <w:tcW w:w="993" w:type="dxa"/>
            <w:tcBorders>
              <w:top w:val="nil"/>
              <w:bottom w:val="nil"/>
            </w:tcBorders>
            <w:shd w:val="clear" w:color="auto" w:fill="auto"/>
            <w:vAlign w:val="center"/>
          </w:tcPr>
          <w:p w14:paraId="1D941726" w14:textId="77777777" w:rsidR="005357C6" w:rsidRPr="00BC1030" w:rsidRDefault="005357C6" w:rsidP="00017A4B">
            <w:pPr>
              <w:pStyle w:val="08-Tabelageral"/>
              <w:keepLines w:val="0"/>
              <w:jc w:val="center"/>
              <w:cnfStyle w:val="000000000000" w:firstRow="0" w:lastRow="0" w:firstColumn="0" w:lastColumn="0" w:oddVBand="0" w:evenVBand="0" w:oddHBand="0" w:evenHBand="0" w:firstRowFirstColumn="0" w:firstRowLastColumn="0" w:lastRowFirstColumn="0" w:lastRowLastColumn="0"/>
            </w:pPr>
            <w:r w:rsidRPr="00BC1030">
              <w:t>[23]</w:t>
            </w:r>
          </w:p>
        </w:tc>
        <w:tc>
          <w:tcPr>
            <w:tcW w:w="1559" w:type="dxa"/>
            <w:tcBorders>
              <w:top w:val="nil"/>
              <w:bottom w:val="nil"/>
            </w:tcBorders>
            <w:shd w:val="clear" w:color="auto" w:fill="auto"/>
            <w:vAlign w:val="center"/>
          </w:tcPr>
          <w:p w14:paraId="5548D808"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1,760,473</w:t>
            </w:r>
          </w:p>
        </w:tc>
        <w:tc>
          <w:tcPr>
            <w:tcW w:w="1417" w:type="dxa"/>
            <w:tcBorders>
              <w:top w:val="nil"/>
              <w:bottom w:val="nil"/>
            </w:tcBorders>
            <w:shd w:val="clear" w:color="auto" w:fill="auto"/>
            <w:vAlign w:val="center"/>
          </w:tcPr>
          <w:p w14:paraId="669492D4"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1,787,547</w:t>
            </w:r>
          </w:p>
        </w:tc>
        <w:tc>
          <w:tcPr>
            <w:tcW w:w="284" w:type="dxa"/>
            <w:tcBorders>
              <w:top w:val="nil"/>
              <w:bottom w:val="nil"/>
            </w:tcBorders>
            <w:shd w:val="clear" w:color="auto" w:fill="auto"/>
            <w:vAlign w:val="center"/>
          </w:tcPr>
          <w:p w14:paraId="6CD1CCBE"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47A88D49"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1,172,483</w:t>
            </w:r>
          </w:p>
          <w:p w14:paraId="2840F187" w14:textId="77777777" w:rsidR="005357C6" w:rsidRPr="00BC1030" w:rsidRDefault="005357C6" w:rsidP="00017A4B">
            <w:pPr>
              <w:pStyle w:val="08-Tabelageral"/>
              <w:cnfStyle w:val="000000000000" w:firstRow="0" w:lastRow="0" w:firstColumn="0" w:lastColumn="0" w:oddVBand="0" w:evenVBand="0" w:oddHBand="0" w:evenHBand="0" w:firstRowFirstColumn="0" w:firstRowLastColumn="0" w:lastRowFirstColumn="0" w:lastRowLastColumn="0"/>
            </w:pPr>
            <w:r w:rsidRPr="00BC1030">
              <w:t>1.127.358</w:t>
            </w:r>
          </w:p>
          <w:p w14:paraId="5E7E90DF"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p>
        </w:tc>
        <w:tc>
          <w:tcPr>
            <w:tcW w:w="1417" w:type="dxa"/>
            <w:tcBorders>
              <w:top w:val="nil"/>
              <w:bottom w:val="nil"/>
            </w:tcBorders>
            <w:shd w:val="clear" w:color="auto" w:fill="auto"/>
            <w:vAlign w:val="center"/>
          </w:tcPr>
          <w:p w14:paraId="3888AA22" w14:textId="77777777" w:rsidR="005357C6" w:rsidRPr="00BC1030" w:rsidRDefault="005357C6" w:rsidP="00017A4B">
            <w:pPr>
              <w:pStyle w:val="08-Tabelageral"/>
              <w:keepLines w:val="0"/>
              <w:cnfStyle w:val="000000000000" w:firstRow="0" w:lastRow="0" w:firstColumn="0" w:lastColumn="0" w:oddVBand="0" w:evenVBand="0" w:oddHBand="0" w:evenHBand="0" w:firstRowFirstColumn="0" w:firstRowLastColumn="0" w:lastRowFirstColumn="0" w:lastRowLastColumn="0"/>
            </w:pPr>
            <w:r w:rsidRPr="00BC1030">
              <w:t>1,794,544</w:t>
            </w:r>
          </w:p>
        </w:tc>
      </w:tr>
      <w:tr w:rsidR="005357C6" w:rsidRPr="00BC1030" w14:paraId="36FA0A4B" w14:textId="77777777" w:rsidTr="00017A4B">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835" w:type="dxa"/>
            <w:gridSpan w:val="2"/>
            <w:tcBorders>
              <w:top w:val="nil"/>
              <w:bottom w:val="single" w:sz="2" w:space="0" w:color="1F4E79" w:themeColor="accent1" w:themeShade="80"/>
            </w:tcBorders>
            <w:shd w:val="clear" w:color="auto" w:fill="auto"/>
          </w:tcPr>
          <w:p w14:paraId="35B9D6FD" w14:textId="77777777" w:rsidR="005357C6" w:rsidRPr="00F73A24" w:rsidRDefault="005357C6" w:rsidP="007549B5">
            <w:pPr>
              <w:pStyle w:val="08-Tabelageral"/>
              <w:keepLines w:val="0"/>
              <w:jc w:val="left"/>
              <w:rPr>
                <w:b w:val="0"/>
              </w:rPr>
            </w:pPr>
            <w:r w:rsidRPr="00F73A24">
              <w:rPr>
                <w:b w:val="0"/>
              </w:rPr>
              <w:t>Other liabilities</w:t>
            </w:r>
          </w:p>
        </w:tc>
        <w:tc>
          <w:tcPr>
            <w:tcW w:w="993" w:type="dxa"/>
            <w:tcBorders>
              <w:top w:val="nil"/>
              <w:bottom w:val="single" w:sz="2" w:space="0" w:color="1F4E79" w:themeColor="accent1" w:themeShade="80"/>
            </w:tcBorders>
            <w:shd w:val="clear" w:color="auto" w:fill="auto"/>
            <w:vAlign w:val="center"/>
          </w:tcPr>
          <w:p w14:paraId="35796D85" w14:textId="77777777" w:rsidR="005357C6" w:rsidRPr="00BC1030" w:rsidRDefault="005357C6" w:rsidP="00017A4B">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BC1030">
              <w:t>[24]</w:t>
            </w:r>
          </w:p>
        </w:tc>
        <w:tc>
          <w:tcPr>
            <w:tcW w:w="1559" w:type="dxa"/>
            <w:tcBorders>
              <w:top w:val="nil"/>
              <w:bottom w:val="single" w:sz="2" w:space="0" w:color="1F4E79" w:themeColor="accent1" w:themeShade="80"/>
            </w:tcBorders>
            <w:shd w:val="clear" w:color="auto" w:fill="auto"/>
            <w:vAlign w:val="center"/>
          </w:tcPr>
          <w:p w14:paraId="0E6B5758"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105,363</w:t>
            </w:r>
          </w:p>
        </w:tc>
        <w:tc>
          <w:tcPr>
            <w:tcW w:w="1417" w:type="dxa"/>
            <w:tcBorders>
              <w:top w:val="nil"/>
              <w:bottom w:val="single" w:sz="2" w:space="0" w:color="1F4E79" w:themeColor="accent1" w:themeShade="80"/>
            </w:tcBorders>
            <w:shd w:val="clear" w:color="auto" w:fill="auto"/>
            <w:vAlign w:val="center"/>
          </w:tcPr>
          <w:p w14:paraId="47027E25"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c>
          <w:tcPr>
            <w:tcW w:w="284" w:type="dxa"/>
            <w:tcBorders>
              <w:top w:val="nil"/>
              <w:bottom w:val="single" w:sz="2" w:space="0" w:color="1F4E79" w:themeColor="accent1" w:themeShade="80"/>
            </w:tcBorders>
            <w:shd w:val="clear" w:color="auto" w:fill="auto"/>
            <w:vAlign w:val="center"/>
          </w:tcPr>
          <w:p w14:paraId="45AE2D9A"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single" w:sz="2" w:space="0" w:color="1F4E79" w:themeColor="accent1" w:themeShade="80"/>
            </w:tcBorders>
            <w:shd w:val="clear" w:color="auto" w:fill="auto"/>
            <w:vAlign w:val="center"/>
          </w:tcPr>
          <w:p w14:paraId="461856D2"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227,588</w:t>
            </w:r>
          </w:p>
        </w:tc>
        <w:tc>
          <w:tcPr>
            <w:tcW w:w="1417" w:type="dxa"/>
            <w:tcBorders>
              <w:top w:val="nil"/>
              <w:bottom w:val="single" w:sz="2" w:space="0" w:color="1F4E79" w:themeColor="accent1" w:themeShade="80"/>
            </w:tcBorders>
            <w:shd w:val="clear" w:color="auto" w:fill="auto"/>
            <w:vAlign w:val="center"/>
          </w:tcPr>
          <w:p w14:paraId="2EC78304" w14:textId="77777777" w:rsidR="005357C6" w:rsidRPr="00BC1030" w:rsidRDefault="005357C6" w:rsidP="00017A4B">
            <w:pPr>
              <w:pStyle w:val="08-Tabelageral"/>
              <w:keepLines w:val="0"/>
              <w:cnfStyle w:val="000000100000" w:firstRow="0" w:lastRow="0" w:firstColumn="0" w:lastColumn="0" w:oddVBand="0" w:evenVBand="0" w:oddHBand="1" w:evenHBand="0" w:firstRowFirstColumn="0" w:firstRowLastColumn="0" w:lastRowFirstColumn="0" w:lastRowLastColumn="0"/>
            </w:pPr>
            <w:r w:rsidRPr="00BC1030">
              <w:t>--</w:t>
            </w:r>
          </w:p>
        </w:tc>
      </w:tr>
    </w:tbl>
    <w:p w14:paraId="3169B0EB" w14:textId="77777777" w:rsidR="005357C6" w:rsidRPr="00993FCA" w:rsidRDefault="005357C6" w:rsidP="00017A4B">
      <w:pPr>
        <w:pStyle w:val="07-Legenda1"/>
        <w:rPr>
          <w:sz w:val="18"/>
          <w:szCs w:val="18"/>
          <w:lang w:val="en-US"/>
        </w:rPr>
      </w:pPr>
      <w:r w:rsidRPr="00993FCA">
        <w:rPr>
          <w:lang w:val="en"/>
        </w:rPr>
        <w:t>(</w:t>
      </w:r>
      <w:r>
        <w:rPr>
          <w:lang w:val="en"/>
        </w:rPr>
        <w:t>1)</w:t>
      </w:r>
      <w:r>
        <w:rPr>
          <w:lang w:val="en"/>
        </w:rPr>
        <w:tab/>
      </w:r>
      <w:r w:rsidRPr="007549B5">
        <w:rPr>
          <w:lang w:val="en"/>
        </w:rPr>
        <w:t>Unearned commissions refer to brokerage revenues to be recognized over the course of the insurance contracts, and such revenues will be realized over the term of these operations, and whose corresponding amounts are received, in large part, before that date.</w:t>
      </w:r>
      <w:r w:rsidRPr="00993FCA">
        <w:rPr>
          <w:lang w:val="en"/>
        </w:rPr>
        <w:t xml:space="preserve"> </w:t>
      </w:r>
      <w:r w:rsidRPr="007549B5">
        <w:rPr>
          <w:lang w:val="en"/>
        </w:rPr>
        <w:t>Therefore, in general, commissions to be appropriated do not represent amounts to be disbursed and, consequently, do not generate relevant impacts on the company's liquidity.</w:t>
      </w:r>
    </w:p>
    <w:bookmarkEnd w:id="29"/>
    <w:p w14:paraId="3EB500C3" w14:textId="77777777" w:rsidR="005357C6" w:rsidRPr="00AF04B6" w:rsidRDefault="005357C6" w:rsidP="00017A4B">
      <w:pPr>
        <w:pStyle w:val="05-Textonormal"/>
        <w:rPr>
          <w:b/>
          <w:color w:val="1F4E79" w:themeColor="accent1" w:themeShade="80"/>
          <w:lang w:val="en-US"/>
        </w:rPr>
      </w:pPr>
      <w:r w:rsidRPr="00AF04B6">
        <w:rPr>
          <w:b/>
          <w:color w:val="1F4E79" w:themeColor="accent1" w:themeShade="80"/>
          <w:lang w:val="en-US"/>
        </w:rPr>
        <w:t>b) Risk Governance applied to Affiliated Companies</w:t>
      </w:r>
    </w:p>
    <w:p w14:paraId="40EB0711" w14:textId="77777777" w:rsidR="005357C6" w:rsidRPr="00993FCA" w:rsidRDefault="005357C6" w:rsidP="00017A4B">
      <w:pPr>
        <w:pStyle w:val="05-Textonormal"/>
        <w:rPr>
          <w:lang w:val="en-US"/>
        </w:rPr>
      </w:pPr>
      <w:r w:rsidRPr="007B5BEB">
        <w:rPr>
          <w:lang w:val="en-US"/>
        </w:rPr>
        <w:t>BB Seguridade's affiliated companies maintain their own risk management structures compatible with the nature and complexity of their businesses, being</w:t>
      </w:r>
      <w:r w:rsidRPr="007B5BEB">
        <w:rPr>
          <w:lang w:val="en"/>
        </w:rPr>
        <w:t xml:space="preserve"> regulated by the Superintendence of Private Insurance (Susep), in accordance with the requirements established in CNSP Resolution 432/2021 and subsequent amendments and Susep Circular 648/2021 and subsequent amendments.</w:t>
      </w:r>
      <w:r>
        <w:rPr>
          <w:lang w:val="en"/>
        </w:rPr>
        <w:t xml:space="preserve"> For companies regulated by the National Supplementary Health Agency (ANS), Normative Resolution 518/2022 provides for the adoption of minimum corporate governance practices, with an emphasis on internal controls and risk management, for the purposes of solvency of health care plans operators.</w:t>
      </w:r>
    </w:p>
    <w:p w14:paraId="137AE2EE" w14:textId="77777777" w:rsidR="005357C6" w:rsidRDefault="005357C6" w:rsidP="00017A4B">
      <w:pPr>
        <w:pStyle w:val="05-Textonormal"/>
        <w:rPr>
          <w:lang w:val="en"/>
        </w:rPr>
      </w:pPr>
      <w:r w:rsidRPr="00993FCA">
        <w:rPr>
          <w:lang w:val="en-US"/>
        </w:rPr>
        <w:t>CNSP</w:t>
      </w:r>
      <w:r w:rsidRPr="00993FCA">
        <w:rPr>
          <w:lang w:val="en"/>
        </w:rPr>
        <w:t xml:space="preserve"> Resolution No. 416/2021 informs about the integration of the Internal Controls System to the Risk Management Structure of investments, with the obligation to have a statutory Director responsible for internal controls and compliance, in addition to the need for specific policies on managed risks, and a statutory risk committee with the presence of independent members.</w:t>
      </w:r>
    </w:p>
    <w:p w14:paraId="6C609070" w14:textId="77777777" w:rsidR="005357C6" w:rsidRPr="007A2C34" w:rsidRDefault="005357C6" w:rsidP="00017A4B">
      <w:pPr>
        <w:pStyle w:val="05-Textonormal"/>
        <w:rPr>
          <w:lang w:val="en-US"/>
        </w:rPr>
      </w:pPr>
      <w:r w:rsidRPr="007A2C34">
        <w:rPr>
          <w:lang w:val="en-US"/>
        </w:rPr>
        <w:t xml:space="preserve">Circular Susep 666/2022 provides for </w:t>
      </w:r>
      <w:r>
        <w:rPr>
          <w:lang w:val="en-US"/>
        </w:rPr>
        <w:t>s</w:t>
      </w:r>
      <w:r w:rsidRPr="007A2C34">
        <w:rPr>
          <w:lang w:val="en-US"/>
        </w:rPr>
        <w:t>ustainability re</w:t>
      </w:r>
      <w:r>
        <w:rPr>
          <w:lang w:val="en-US"/>
        </w:rPr>
        <w:t>quirements, to be observed by insurance companies, open private pension entities (EAPCs), capitalization companies and local reinsurers.</w:t>
      </w:r>
    </w:p>
    <w:p w14:paraId="4F91F992" w14:textId="77777777" w:rsidR="005357C6" w:rsidRPr="00993FCA" w:rsidRDefault="005357C6" w:rsidP="00017A4B">
      <w:pPr>
        <w:pStyle w:val="05-Textonormal"/>
        <w:rPr>
          <w:lang w:val="en-US"/>
        </w:rPr>
      </w:pPr>
      <w:r w:rsidRPr="00993FCA">
        <w:rPr>
          <w:lang w:val="en"/>
        </w:rPr>
        <w:t>Based on the results of the work carried out by the investees, BB Seguridade continuously monitors and assesses the levels of risk exposure, acting, via governance, to ensure the adoption of the best risk management practices in its investees.</w:t>
      </w:r>
    </w:p>
    <w:p w14:paraId="2E202AA2" w14:textId="77777777" w:rsidR="005357C6" w:rsidRPr="005357C6" w:rsidRDefault="005357C6" w:rsidP="00017A4B">
      <w:pPr>
        <w:pStyle w:val="05-Textonormal"/>
        <w:rPr>
          <w:b/>
          <w:color w:val="1F4E79" w:themeColor="accent1" w:themeShade="80"/>
          <w:lang w:val="en-US"/>
        </w:rPr>
      </w:pPr>
      <w:r w:rsidRPr="005357C6">
        <w:rPr>
          <w:b/>
          <w:color w:val="1F4E79" w:themeColor="accent1" w:themeShade="80"/>
          <w:lang w:val="en-US"/>
        </w:rPr>
        <w:t>b.1) Liquidity, solvency and capital management</w:t>
      </w:r>
    </w:p>
    <w:p w14:paraId="23106577" w14:textId="77777777" w:rsidR="005357C6" w:rsidRDefault="005357C6" w:rsidP="008B27D2">
      <w:pPr>
        <w:pStyle w:val="05-Textonormal"/>
        <w:rPr>
          <w:lang w:val="en-US"/>
        </w:rPr>
      </w:pPr>
      <w:r w:rsidRPr="00993FCA">
        <w:rPr>
          <w:lang w:val="en-US"/>
        </w:rPr>
        <w:t xml:space="preserve">In the capital management of affiliated companies supervised by Susep, the main indicator used is the Minimum Required Capital (CMR), which represents the total capital that a company must maintain, at any time, to operate, and aims to guarantee the risks inherent to its </w:t>
      </w:r>
      <w:r w:rsidRPr="007A2C34">
        <w:rPr>
          <w:lang w:val="en-US"/>
        </w:rPr>
        <w:t>operations, as regulated by CNSP Resolution 432/2021, amended by CNSP Resolution 448/2022.</w:t>
      </w:r>
    </w:p>
    <w:p w14:paraId="47114D30" w14:textId="77777777" w:rsidR="005357C6" w:rsidRPr="00993FCA" w:rsidRDefault="005357C6" w:rsidP="008B27D2">
      <w:pPr>
        <w:pStyle w:val="05-Textonormal"/>
        <w:rPr>
          <w:rStyle w:val="hps"/>
          <w:lang w:val="en-US"/>
        </w:rPr>
      </w:pPr>
      <w:r w:rsidRPr="00993FCA">
        <w:rPr>
          <w:rStyle w:val="hps"/>
          <w:lang w:val="en-US"/>
        </w:rPr>
        <w:lastRenderedPageBreak/>
        <w:t>CMR</w:t>
      </w:r>
      <w:r w:rsidRPr="00993FCA">
        <w:rPr>
          <w:lang w:val="en-US"/>
        </w:rPr>
        <w:t xml:space="preserve"> </w:t>
      </w:r>
      <w:r w:rsidRPr="00993FCA">
        <w:rPr>
          <w:rStyle w:val="hps"/>
          <w:lang w:val="en-US"/>
        </w:rPr>
        <w:t>is</w:t>
      </w:r>
      <w:r w:rsidRPr="00993FCA">
        <w:rPr>
          <w:lang w:val="en-US"/>
        </w:rPr>
        <w:t xml:space="preserve"> </w:t>
      </w:r>
      <w:r w:rsidRPr="00993FCA">
        <w:rPr>
          <w:rStyle w:val="hps"/>
          <w:lang w:val="en-US"/>
        </w:rPr>
        <w:t>composed of</w:t>
      </w:r>
      <w:r w:rsidRPr="00993FCA">
        <w:rPr>
          <w:lang w:val="en-US"/>
        </w:rPr>
        <w:t xml:space="preserve"> </w:t>
      </w:r>
      <w:r w:rsidRPr="00993FCA">
        <w:rPr>
          <w:rStyle w:val="hps"/>
          <w:lang w:val="en-US"/>
        </w:rPr>
        <w:t>portions relating</w:t>
      </w:r>
      <w:r w:rsidRPr="00993FCA">
        <w:rPr>
          <w:lang w:val="en-US"/>
        </w:rPr>
        <w:t xml:space="preserve"> </w:t>
      </w:r>
      <w:r w:rsidRPr="00993FCA">
        <w:rPr>
          <w:rStyle w:val="hps"/>
          <w:lang w:val="en-US"/>
        </w:rPr>
        <w:t>to</w:t>
      </w:r>
      <w:r w:rsidRPr="00993FCA">
        <w:rPr>
          <w:lang w:val="en-US"/>
        </w:rPr>
        <w:t xml:space="preserve"> </w:t>
      </w:r>
      <w:r w:rsidRPr="00993FCA">
        <w:rPr>
          <w:rStyle w:val="hps"/>
          <w:lang w:val="en-US"/>
        </w:rPr>
        <w:t>underwriting</w:t>
      </w:r>
      <w:r w:rsidRPr="00993FCA">
        <w:rPr>
          <w:lang w:val="en-US"/>
        </w:rPr>
        <w:t xml:space="preserve">, credit, </w:t>
      </w:r>
      <w:r w:rsidRPr="00993FCA">
        <w:rPr>
          <w:rStyle w:val="hps"/>
          <w:lang w:val="en-US"/>
        </w:rPr>
        <w:t>operational and</w:t>
      </w:r>
      <w:r w:rsidRPr="00993FCA">
        <w:rPr>
          <w:lang w:val="en-US"/>
        </w:rPr>
        <w:t xml:space="preserve"> </w:t>
      </w:r>
      <w:r w:rsidRPr="00993FCA">
        <w:rPr>
          <w:rStyle w:val="hps"/>
          <w:lang w:val="en-US"/>
        </w:rPr>
        <w:t xml:space="preserve">market risks and the solvency capital requirement adequacy is measured using the Adjusted Net Equity (PLA) of the entity, which must be equal to or above the calculated CMR. </w:t>
      </w:r>
    </w:p>
    <w:p w14:paraId="7DCB04CC" w14:textId="77777777" w:rsidR="005357C6" w:rsidRPr="00993FCA" w:rsidRDefault="005357C6" w:rsidP="008B27D2">
      <w:pPr>
        <w:pStyle w:val="05-Textonormal"/>
        <w:rPr>
          <w:rFonts w:cs="Arial"/>
          <w:lang w:val="en-US"/>
        </w:rPr>
      </w:pPr>
      <w:r w:rsidRPr="00993FCA">
        <w:rPr>
          <w:rStyle w:val="hps"/>
          <w:lang w:val="en-US"/>
        </w:rPr>
        <w:t xml:space="preserve">CNSP Resolution 432/2021 also establishes technical provisions calculation models and requires additional liquid assets to maintain the company's liquidity. </w:t>
      </w:r>
      <w:r w:rsidRPr="00993FCA">
        <w:rPr>
          <w:lang w:val="en"/>
        </w:rPr>
        <w:t>In addition, it contains criteria for the preparation of solvency and liquidity regularization plans in cases of regulatory non-compliance. It is important to highlight that the investees, according to guidelines defined by the Group, do not have an appetite for the risk of non-compliance with regulatory solvency.</w:t>
      </w:r>
    </w:p>
    <w:p w14:paraId="7084088F" w14:textId="77777777" w:rsidR="005357C6" w:rsidRPr="00993FCA" w:rsidRDefault="005357C6" w:rsidP="008B27D2">
      <w:pPr>
        <w:pStyle w:val="05-Textonormal"/>
        <w:rPr>
          <w:rStyle w:val="hps"/>
          <w:lang w:val="en-US"/>
        </w:rPr>
      </w:pPr>
      <w:r w:rsidRPr="00993FCA">
        <w:rPr>
          <w:rFonts w:cs="Arial"/>
          <w:lang w:val="en-US"/>
        </w:rPr>
        <w:t>For companies regulated by the National Agency of Supplementary Health (</w:t>
      </w:r>
      <w:r w:rsidRPr="00993FCA">
        <w:rPr>
          <w:lang w:val="en-US"/>
        </w:rPr>
        <w:t xml:space="preserve">ANS), there are </w:t>
      </w:r>
      <w:r w:rsidRPr="00993FCA">
        <w:rPr>
          <w:rStyle w:val="hps"/>
          <w:lang w:val="en-US"/>
        </w:rPr>
        <w:t>rules</w:t>
      </w:r>
      <w:r w:rsidRPr="00993FCA">
        <w:rPr>
          <w:lang w:val="en-US"/>
        </w:rPr>
        <w:t xml:space="preserve"> </w:t>
      </w:r>
      <w:r w:rsidRPr="00993FCA">
        <w:rPr>
          <w:rStyle w:val="hps"/>
          <w:lang w:val="en-US"/>
        </w:rPr>
        <w:t>for</w:t>
      </w:r>
      <w:r w:rsidRPr="00993FCA">
        <w:rPr>
          <w:lang w:val="en-US"/>
        </w:rPr>
        <w:t xml:space="preserve"> </w:t>
      </w:r>
      <w:r w:rsidRPr="00993FCA">
        <w:rPr>
          <w:rStyle w:val="hps"/>
          <w:lang w:val="en-US"/>
        </w:rPr>
        <w:t>recognition of technical reserves</w:t>
      </w:r>
      <w:r w:rsidRPr="00993FCA">
        <w:rPr>
          <w:lang w:val="en-US"/>
        </w:rPr>
        <w:t>, PLA criteria and S</w:t>
      </w:r>
      <w:r w:rsidRPr="00993FCA">
        <w:rPr>
          <w:rStyle w:val="hps"/>
          <w:lang w:val="en-US"/>
        </w:rPr>
        <w:t>olvency Margin</w:t>
      </w:r>
      <w:r w:rsidRPr="00993FCA">
        <w:rPr>
          <w:lang w:val="en-US"/>
        </w:rPr>
        <w:t xml:space="preserve"> </w:t>
      </w:r>
      <w:r w:rsidRPr="00993FCA">
        <w:rPr>
          <w:rStyle w:val="hps"/>
          <w:lang w:val="en-US"/>
        </w:rPr>
        <w:t>criteria</w:t>
      </w:r>
      <w:r w:rsidRPr="00993FCA">
        <w:rPr>
          <w:lang w:val="en-US"/>
        </w:rPr>
        <w:t xml:space="preserve"> </w:t>
      </w:r>
      <w:r w:rsidRPr="00993FCA">
        <w:rPr>
          <w:rStyle w:val="hps"/>
          <w:lang w:val="en-US"/>
        </w:rPr>
        <w:t>according to</w:t>
      </w:r>
      <w:r w:rsidRPr="00993FCA">
        <w:rPr>
          <w:lang w:val="en-US"/>
        </w:rPr>
        <w:t xml:space="preserve"> </w:t>
      </w:r>
      <w:r w:rsidRPr="00993FCA">
        <w:rPr>
          <w:rStyle w:val="hps"/>
          <w:lang w:val="en-US"/>
        </w:rPr>
        <w:t>Regulatory Resolution</w:t>
      </w:r>
      <w:r w:rsidRPr="00993FCA">
        <w:rPr>
          <w:lang w:val="en-US"/>
        </w:rPr>
        <w:t xml:space="preserve"> </w:t>
      </w:r>
      <w:r>
        <w:rPr>
          <w:lang w:val="en-US"/>
        </w:rPr>
        <w:t>569</w:t>
      </w:r>
      <w:r w:rsidRPr="00993FCA">
        <w:rPr>
          <w:rStyle w:val="hps"/>
          <w:lang w:val="en-US"/>
        </w:rPr>
        <w:t>/202</w:t>
      </w:r>
      <w:r>
        <w:rPr>
          <w:rStyle w:val="hps"/>
          <w:lang w:val="en-US"/>
        </w:rPr>
        <w:t>2</w:t>
      </w:r>
      <w:r w:rsidRPr="00993FCA">
        <w:rPr>
          <w:rStyle w:val="hps"/>
          <w:lang w:val="en-US"/>
        </w:rPr>
        <w:t>.</w:t>
      </w:r>
    </w:p>
    <w:p w14:paraId="144938EF" w14:textId="77777777" w:rsidR="005357C6" w:rsidRPr="00993FCA" w:rsidRDefault="005357C6" w:rsidP="008B27D2">
      <w:pPr>
        <w:pStyle w:val="05-Textonormal"/>
        <w:rPr>
          <w:rFonts w:cs="Arial"/>
          <w:lang w:val="en-US"/>
        </w:rPr>
      </w:pPr>
      <w:r w:rsidRPr="00993FCA">
        <w:rPr>
          <w:rFonts w:cs="Arial"/>
          <w:lang w:val="en-US"/>
        </w:rPr>
        <w:t>For investments, where minimum capital is required, there is a search for maintaining additional capital to the regulatory one, in order to minimize the chances of non-compliance with the required amounts and in line with the risk appetite defined by their Board of Directors.</w:t>
      </w:r>
    </w:p>
    <w:p w14:paraId="5819DA5A" w14:textId="77777777" w:rsidR="005357C6" w:rsidRPr="005357C6" w:rsidRDefault="005357C6" w:rsidP="00064F02">
      <w:pPr>
        <w:pStyle w:val="05-Textonormal"/>
        <w:rPr>
          <w:rStyle w:val="hps"/>
          <w:lang w:val="en-US"/>
        </w:rPr>
      </w:pPr>
      <w:r w:rsidRPr="005357C6">
        <w:rPr>
          <w:rStyle w:val="hps"/>
          <w:lang w:val="en-US"/>
        </w:rPr>
        <w:t>On December 31, 2022, considering the data provided by each investee, all companies in which BB Seguridade holds interests and that are subject to regulatory capital requirements, had sufficient capital, solvency and liquidity, in accordance with current legislation applicable.</w:t>
      </w:r>
    </w:p>
    <w:p w14:paraId="7ECEC2B0" w14:textId="695EA8DD" w:rsidR="005357C6" w:rsidRPr="00825509" w:rsidRDefault="00D3472F" w:rsidP="00FC4475">
      <w:pPr>
        <w:pStyle w:val="Ttulo1"/>
      </w:pPr>
      <w:bookmarkStart w:id="30" w:name="_Toc126781097"/>
      <w:r w:rsidRPr="00D3472F">
        <w:t>6</w:t>
      </w:r>
      <w:r w:rsidR="005357C6" w:rsidRPr="00825509">
        <w:t xml:space="preserve"> </w:t>
      </w:r>
      <w:r w:rsidR="005357C6" w:rsidRPr="00D3472F">
        <w:t>–</w:t>
      </w:r>
      <w:r w:rsidR="005357C6" w:rsidRPr="00825509">
        <w:t xml:space="preserve"> </w:t>
      </w:r>
      <w:r w:rsidR="005357C6" w:rsidRPr="00D3472F">
        <w:t>SEGMENT INFORMATION</w:t>
      </w:r>
      <w:bookmarkEnd w:id="30"/>
    </w:p>
    <w:p w14:paraId="5D0FCF80" w14:textId="77777777" w:rsidR="005357C6" w:rsidRPr="00691BE2" w:rsidRDefault="005357C6" w:rsidP="008869A2">
      <w:pPr>
        <w:pStyle w:val="01-TtulodeNota"/>
        <w:rPr>
          <w:b w:val="0"/>
          <w:sz w:val="18"/>
          <w:szCs w:val="18"/>
          <w:lang w:val="en-US"/>
        </w:rPr>
      </w:pPr>
      <w:r w:rsidRPr="00691BE2">
        <w:rPr>
          <w:b w:val="0"/>
          <w:sz w:val="18"/>
          <w:szCs w:val="18"/>
          <w:lang w:val="en-US"/>
        </w:rPr>
        <w:t>The information by segment has been prepared considering the criteria used by Management to evaluate the performance, in decisions made regarding the allocation of funds for investment and other purposes, considering the regulatory environment and the similarities between goods and services</w:t>
      </w:r>
      <w:r>
        <w:rPr>
          <w:b w:val="0"/>
          <w:sz w:val="18"/>
          <w:szCs w:val="18"/>
          <w:lang w:val="en-US"/>
        </w:rPr>
        <w:t>,</w:t>
      </w:r>
    </w:p>
    <w:p w14:paraId="42983B30" w14:textId="77777777" w:rsidR="005357C6" w:rsidRPr="00691BE2" w:rsidRDefault="005357C6" w:rsidP="008869A2">
      <w:pPr>
        <w:pStyle w:val="01-TtulodeNota"/>
        <w:rPr>
          <w:b w:val="0"/>
          <w:sz w:val="18"/>
          <w:szCs w:val="18"/>
          <w:lang w:val="en-US"/>
        </w:rPr>
      </w:pPr>
      <w:r w:rsidRPr="00691BE2">
        <w:rPr>
          <w:b w:val="0"/>
          <w:sz w:val="18"/>
          <w:szCs w:val="18"/>
          <w:lang w:val="en-US"/>
        </w:rPr>
        <w:t>BB Seguridade Group's operations are basically divided into two segments: i) insurance</w:t>
      </w:r>
      <w:r>
        <w:rPr>
          <w:b w:val="0"/>
          <w:sz w:val="18"/>
          <w:szCs w:val="18"/>
          <w:lang w:val="en-US"/>
        </w:rPr>
        <w:t xml:space="preserve"> (</w:t>
      </w:r>
      <w:r w:rsidRPr="005554C6">
        <w:rPr>
          <w:b w:val="0"/>
          <w:sz w:val="18"/>
          <w:szCs w:val="18"/>
          <w:lang w:val="en-US"/>
        </w:rPr>
        <w:t>risk and accumulation businesses</w:t>
      </w:r>
      <w:r>
        <w:rPr>
          <w:b w:val="0"/>
          <w:sz w:val="18"/>
          <w:szCs w:val="18"/>
          <w:lang w:val="en-US"/>
        </w:rPr>
        <w:t>)</w:t>
      </w:r>
      <w:r w:rsidRPr="00691BE2">
        <w:rPr>
          <w:b w:val="0"/>
          <w:sz w:val="18"/>
          <w:szCs w:val="18"/>
          <w:lang w:val="en-US"/>
        </w:rPr>
        <w:t>, which includes insurance operations, pension plans, capitalization and health; and ii) brokerage</w:t>
      </w:r>
      <w:r>
        <w:rPr>
          <w:b w:val="0"/>
          <w:sz w:val="18"/>
          <w:szCs w:val="18"/>
          <w:lang w:val="en-US"/>
        </w:rPr>
        <w:t xml:space="preserve"> (</w:t>
      </w:r>
      <w:r w:rsidRPr="005554C6">
        <w:rPr>
          <w:b w:val="0"/>
          <w:sz w:val="18"/>
          <w:szCs w:val="18"/>
          <w:lang w:val="en-US"/>
        </w:rPr>
        <w:t>distribution business</w:t>
      </w:r>
      <w:r>
        <w:rPr>
          <w:b w:val="0"/>
          <w:sz w:val="18"/>
          <w:szCs w:val="18"/>
          <w:lang w:val="en-US"/>
        </w:rPr>
        <w:t>).</w:t>
      </w:r>
    </w:p>
    <w:p w14:paraId="65238A89" w14:textId="77777777" w:rsidR="005357C6" w:rsidRPr="00691BE2" w:rsidRDefault="005357C6" w:rsidP="008869A2">
      <w:pPr>
        <w:pStyle w:val="01-TtulodeNota"/>
        <w:rPr>
          <w:color w:val="1F4E79" w:themeColor="accent1" w:themeShade="80"/>
          <w:sz w:val="18"/>
          <w:lang w:val="en-US"/>
        </w:rPr>
      </w:pPr>
      <w:r w:rsidRPr="00691BE2">
        <w:rPr>
          <w:b w:val="0"/>
          <w:sz w:val="18"/>
          <w:szCs w:val="18"/>
          <w:lang w:val="en-US"/>
        </w:rPr>
        <w:t xml:space="preserve"> </w:t>
      </w:r>
      <w:r w:rsidRPr="00691BE2">
        <w:rPr>
          <w:color w:val="1F4E79" w:themeColor="accent1" w:themeShade="80"/>
          <w:sz w:val="18"/>
          <w:lang w:val="en-US"/>
        </w:rPr>
        <w:t>a) Insurance</w:t>
      </w:r>
    </w:p>
    <w:p w14:paraId="1F868B67" w14:textId="77777777" w:rsidR="005357C6" w:rsidRPr="00691BE2" w:rsidRDefault="005357C6" w:rsidP="00424A03">
      <w:pPr>
        <w:pStyle w:val="05-Textonormal"/>
        <w:rPr>
          <w:lang w:val="en-US"/>
        </w:rPr>
      </w:pPr>
      <w:r w:rsidRPr="00691BE2">
        <w:rPr>
          <w:lang w:val="en-US"/>
        </w:rPr>
        <w:t>In this segment, products and services offered are related to life, property and vehicle insurance, property insurance, rural, special risks and financial, transport, hulls, and housing people, supplementary pension plans, dental plans and capitalization plans</w:t>
      </w:r>
      <w:r>
        <w:rPr>
          <w:lang w:val="en-US"/>
        </w:rPr>
        <w:t>.</w:t>
      </w:r>
    </w:p>
    <w:p w14:paraId="079EBBE6" w14:textId="77777777" w:rsidR="005357C6" w:rsidRDefault="005357C6" w:rsidP="00424A03">
      <w:pPr>
        <w:pStyle w:val="05-Textonormal"/>
        <w:rPr>
          <w:lang w:val="en-US"/>
        </w:rPr>
      </w:pPr>
      <w:r w:rsidRPr="00691BE2">
        <w:rPr>
          <w:lang w:val="en-US"/>
        </w:rPr>
        <w:t>The profit or loss from this segment derives mainly from revenues from insurance premiums, contributions to private pension plans, contributions to dental plans, capitalization bonds and investments in securities, less sales expenses, technical reserves and expenses related to claims</w:t>
      </w:r>
      <w:r>
        <w:rPr>
          <w:lang w:val="en-US"/>
        </w:rPr>
        <w:t>,</w:t>
      </w:r>
    </w:p>
    <w:p w14:paraId="6F9B12FC" w14:textId="77777777" w:rsidR="005357C6" w:rsidRPr="00691BE2" w:rsidRDefault="005357C6" w:rsidP="00424A03">
      <w:pPr>
        <w:pStyle w:val="05-Textonormal"/>
        <w:rPr>
          <w:lang w:val="en-US"/>
        </w:rPr>
      </w:pPr>
      <w:r w:rsidRPr="005554C6">
        <w:rPr>
          <w:lang w:val="en-US"/>
        </w:rPr>
        <w:t xml:space="preserve">The accounting record of these results is made through the equity method of investments in equity interests. Explanatory note </w:t>
      </w:r>
      <w:r>
        <w:rPr>
          <w:lang w:val="en-US"/>
        </w:rPr>
        <w:t>7</w:t>
      </w:r>
      <w:r w:rsidRPr="005554C6">
        <w:rPr>
          <w:lang w:val="en-US"/>
        </w:rPr>
        <w:t xml:space="preserve"> - Investments </w:t>
      </w:r>
      <w:r>
        <w:rPr>
          <w:lang w:val="en-US"/>
        </w:rPr>
        <w:t>i</w:t>
      </w:r>
      <w:r w:rsidRPr="005554C6">
        <w:rPr>
          <w:lang w:val="en-US"/>
        </w:rPr>
        <w:t>n Associates contains the description of Investments in Shareholdings, by Segment / Business Area.</w:t>
      </w:r>
    </w:p>
    <w:p w14:paraId="2B3442BC" w14:textId="77777777" w:rsidR="005357C6" w:rsidRPr="00320430" w:rsidRDefault="005357C6" w:rsidP="00424A03">
      <w:pPr>
        <w:pStyle w:val="01-TtulodeNota"/>
        <w:rPr>
          <w:color w:val="1F4E79" w:themeColor="accent1" w:themeShade="80"/>
          <w:sz w:val="18"/>
          <w:lang w:val="en-US"/>
        </w:rPr>
      </w:pPr>
      <w:r w:rsidRPr="00320430">
        <w:rPr>
          <w:color w:val="1F4E79" w:themeColor="accent1" w:themeShade="80"/>
          <w:sz w:val="18"/>
          <w:lang w:val="en-US"/>
        </w:rPr>
        <w:t>b) Brokerage</w:t>
      </w:r>
    </w:p>
    <w:p w14:paraId="0EF10370" w14:textId="77777777" w:rsidR="005357C6" w:rsidRPr="00691BE2" w:rsidRDefault="005357C6" w:rsidP="00424A03">
      <w:pPr>
        <w:pStyle w:val="05-Textonormal"/>
        <w:rPr>
          <w:lang w:val="en-US"/>
        </w:rPr>
      </w:pPr>
      <w:r w:rsidRPr="00691BE2">
        <w:rPr>
          <w:lang w:val="en-US"/>
        </w:rPr>
        <w:t>In this segment, products and services offered are related to brokerage and management, fulfillment, promotion and facilitation of casualty, life and capitalization insurance, pension plans, dental plans and health insurance, it includes the balances of BB Corretora and its investee Ciclic</w:t>
      </w:r>
      <w:r>
        <w:rPr>
          <w:lang w:val="en-US"/>
        </w:rPr>
        <w:t>.</w:t>
      </w:r>
    </w:p>
    <w:p w14:paraId="4F1D8AB2" w14:textId="77777777" w:rsidR="005357C6" w:rsidRPr="00AB4D1D" w:rsidRDefault="005357C6" w:rsidP="00FC4475">
      <w:pPr>
        <w:pStyle w:val="Subtitulonivel1"/>
        <w:keepNext/>
        <w:keepLines/>
        <w:pageBreakBefore/>
        <w:rPr>
          <w:rFonts w:ascii="Arial" w:hAnsi="Arial" w:cs="Arial"/>
          <w:b/>
          <w:bCs/>
          <w:color w:val="1F4E79" w:themeColor="accent1" w:themeShade="80"/>
          <w:sz w:val="18"/>
          <w:szCs w:val="18"/>
          <w:lang w:val="en-US"/>
        </w:rPr>
      </w:pPr>
      <w:r w:rsidRPr="00AB4D1D">
        <w:rPr>
          <w:rFonts w:ascii="Arial" w:hAnsi="Arial" w:cs="Arial"/>
          <w:b/>
          <w:bCs/>
          <w:color w:val="1F4E79" w:themeColor="accent1" w:themeShade="80"/>
          <w:sz w:val="18"/>
          <w:szCs w:val="18"/>
          <w:lang w:val="en-US"/>
        </w:rPr>
        <w:lastRenderedPageBreak/>
        <w:t>c) Financial Information by Reportable Segment</w:t>
      </w:r>
      <w:bookmarkStart w:id="31" w:name="OLE_LINK3"/>
    </w:p>
    <w:p w14:paraId="3B5EB28B" w14:textId="77777777" w:rsidR="005357C6" w:rsidRPr="00647C8D" w:rsidRDefault="005357C6" w:rsidP="00EB6320">
      <w:pPr>
        <w:spacing w:after="0"/>
        <w:jc w:val="right"/>
        <w:rPr>
          <w:rFonts w:cs="Arial"/>
          <w:b/>
          <w:sz w:val="14"/>
          <w:lang w:val="en-US" w:eastAsia="pt-BR"/>
        </w:rPr>
      </w:pPr>
    </w:p>
    <w:p w14:paraId="3AF45D35" w14:textId="77777777" w:rsidR="005357C6" w:rsidRPr="009928AA" w:rsidRDefault="005357C6" w:rsidP="00EB6320">
      <w:pPr>
        <w:spacing w:after="0"/>
        <w:jc w:val="right"/>
        <w:rPr>
          <w:rFonts w:cs="Arial"/>
          <w:b/>
          <w:sz w:val="14"/>
          <w:lang w:eastAsia="pt-BR"/>
        </w:rPr>
      </w:pPr>
      <w:r w:rsidRPr="009928AA">
        <w:rPr>
          <w:rFonts w:cs="Arial"/>
          <w:b/>
          <w:sz w:val="14"/>
          <w:lang w:eastAsia="pt-BR"/>
        </w:rPr>
        <w:t xml:space="preserve">R$ </w:t>
      </w:r>
      <w:r w:rsidRPr="000252B8">
        <w:rPr>
          <w:rFonts w:cs="Arial"/>
          <w:b/>
          <w:sz w:val="14"/>
          <w:szCs w:val="18"/>
        </w:rPr>
        <w:t>thousand</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4678"/>
        <w:gridCol w:w="1240"/>
        <w:gridCol w:w="1240"/>
        <w:gridCol w:w="1240"/>
        <w:gridCol w:w="1241"/>
      </w:tblGrid>
      <w:tr w:rsidR="005357C6" w:rsidRPr="00D061B2" w14:paraId="0F388277" w14:textId="77777777" w:rsidTr="00D3472F">
        <w:trPr>
          <w:trHeight w:val="238"/>
          <w:jc w:val="center"/>
        </w:trPr>
        <w:tc>
          <w:tcPr>
            <w:tcW w:w="4678" w:type="dxa"/>
            <w:tcBorders>
              <w:top w:val="single" w:sz="2" w:space="0" w:color="1F4E79" w:themeColor="accent1" w:themeShade="80"/>
            </w:tcBorders>
            <w:shd w:val="clear" w:color="auto" w:fill="auto"/>
          </w:tcPr>
          <w:p w14:paraId="4BA88482" w14:textId="77777777" w:rsidR="005357C6" w:rsidRPr="00D061B2" w:rsidRDefault="005357C6" w:rsidP="00EB6320">
            <w:pPr>
              <w:spacing w:after="0"/>
              <w:jc w:val="center"/>
              <w:rPr>
                <w:rFonts w:cs="Arial"/>
                <w:b/>
                <w:sz w:val="14"/>
                <w:szCs w:val="14"/>
              </w:rPr>
            </w:pPr>
          </w:p>
        </w:tc>
        <w:tc>
          <w:tcPr>
            <w:tcW w:w="4961" w:type="dxa"/>
            <w:gridSpan w:val="4"/>
            <w:tcBorders>
              <w:top w:val="single" w:sz="2" w:space="0" w:color="1F4E79" w:themeColor="accent1" w:themeShade="80"/>
              <w:bottom w:val="single" w:sz="2" w:space="0" w:color="1F4E79" w:themeColor="accent1" w:themeShade="80"/>
            </w:tcBorders>
            <w:shd w:val="clear" w:color="auto" w:fill="auto"/>
            <w:vAlign w:val="center"/>
          </w:tcPr>
          <w:p w14:paraId="1AF0494B" w14:textId="77777777" w:rsidR="005357C6" w:rsidRPr="00D061B2" w:rsidRDefault="005357C6" w:rsidP="006B476B">
            <w:pPr>
              <w:spacing w:after="0"/>
              <w:jc w:val="center"/>
              <w:rPr>
                <w:rFonts w:cs="Arial"/>
                <w:b/>
                <w:sz w:val="14"/>
                <w:szCs w:val="14"/>
              </w:rPr>
            </w:pPr>
            <w:r>
              <w:rPr>
                <w:rFonts w:cs="Arial"/>
                <w:b/>
                <w:sz w:val="14"/>
                <w:szCs w:val="14"/>
              </w:rPr>
              <w:t>2022</w:t>
            </w:r>
          </w:p>
        </w:tc>
      </w:tr>
      <w:tr w:rsidR="005357C6" w:rsidRPr="00D061B2" w14:paraId="58E17192" w14:textId="77777777" w:rsidTr="00D3472F">
        <w:trPr>
          <w:trHeight w:val="238"/>
          <w:jc w:val="center"/>
        </w:trPr>
        <w:tc>
          <w:tcPr>
            <w:tcW w:w="4678" w:type="dxa"/>
            <w:tcBorders>
              <w:bottom w:val="single" w:sz="2" w:space="0" w:color="1F4E79" w:themeColor="accent1" w:themeShade="80"/>
            </w:tcBorders>
            <w:shd w:val="clear" w:color="auto" w:fill="auto"/>
          </w:tcPr>
          <w:p w14:paraId="05F1B5E6" w14:textId="77777777" w:rsidR="005357C6" w:rsidRPr="00D061B2" w:rsidRDefault="005357C6" w:rsidP="00727CD5">
            <w:pPr>
              <w:pStyle w:val="08-Tabelageral"/>
              <w:jc w:val="left"/>
              <w:rPr>
                <w:rFonts w:cs="Arial"/>
                <w:b/>
                <w:szCs w:val="14"/>
              </w:rPr>
            </w:pP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24DBE18B" w14:textId="77777777" w:rsidR="005357C6" w:rsidRPr="00D061B2" w:rsidRDefault="005357C6" w:rsidP="00D061B2">
            <w:pPr>
              <w:pStyle w:val="08-Tabelageral"/>
              <w:jc w:val="center"/>
              <w:rPr>
                <w:rFonts w:cs="Arial"/>
                <w:b/>
                <w:szCs w:val="14"/>
              </w:rPr>
            </w:pPr>
            <w:r w:rsidRPr="00D061B2">
              <w:rPr>
                <w:rFonts w:cs="Arial"/>
                <w:b/>
                <w:szCs w:val="14"/>
              </w:rPr>
              <w:t>Insurance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226852B0" w14:textId="77777777" w:rsidR="005357C6" w:rsidRPr="00D061B2" w:rsidRDefault="005357C6" w:rsidP="00D061B2">
            <w:pPr>
              <w:pStyle w:val="08-Tabelageral"/>
              <w:jc w:val="center"/>
              <w:rPr>
                <w:rFonts w:cs="Arial"/>
                <w:b/>
                <w:szCs w:val="14"/>
              </w:rPr>
            </w:pPr>
            <w:r w:rsidRPr="00D061B2">
              <w:rPr>
                <w:rFonts w:cs="Arial"/>
                <w:b/>
                <w:szCs w:val="14"/>
              </w:rPr>
              <w:t>Brokerage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1738DE77" w14:textId="77777777" w:rsidR="005357C6" w:rsidRPr="00D061B2" w:rsidRDefault="005357C6" w:rsidP="00D061B2">
            <w:pPr>
              <w:pStyle w:val="08-Tabelageral"/>
              <w:jc w:val="center"/>
              <w:rPr>
                <w:rFonts w:cs="Arial"/>
                <w:b/>
                <w:szCs w:val="14"/>
              </w:rPr>
            </w:pPr>
            <w:r w:rsidRPr="00D061B2">
              <w:rPr>
                <w:rFonts w:cs="Arial"/>
                <w:b/>
                <w:szCs w:val="14"/>
              </w:rPr>
              <w:t>Intersegment transactions</w:t>
            </w:r>
          </w:p>
        </w:tc>
        <w:tc>
          <w:tcPr>
            <w:tcW w:w="1241" w:type="dxa"/>
            <w:tcBorders>
              <w:top w:val="single" w:sz="2" w:space="0" w:color="1F4E79" w:themeColor="accent1" w:themeShade="80"/>
              <w:bottom w:val="single" w:sz="2" w:space="0" w:color="1F4E79" w:themeColor="accent1" w:themeShade="80"/>
            </w:tcBorders>
            <w:shd w:val="clear" w:color="auto" w:fill="auto"/>
            <w:vAlign w:val="center"/>
          </w:tcPr>
          <w:p w14:paraId="7BBB3B5E" w14:textId="77777777" w:rsidR="005357C6" w:rsidRPr="00D061B2" w:rsidRDefault="005357C6" w:rsidP="00D061B2">
            <w:pPr>
              <w:pStyle w:val="08-Tabelageral"/>
              <w:jc w:val="center"/>
              <w:rPr>
                <w:rFonts w:cs="Arial"/>
                <w:b/>
                <w:szCs w:val="14"/>
              </w:rPr>
            </w:pPr>
            <w:r w:rsidRPr="00D061B2">
              <w:rPr>
                <w:rFonts w:cs="Arial"/>
                <w:b/>
                <w:szCs w:val="14"/>
              </w:rPr>
              <w:t>Total</w:t>
            </w:r>
          </w:p>
        </w:tc>
      </w:tr>
      <w:tr w:rsidR="005357C6" w:rsidRPr="00DA72A7" w14:paraId="70F44829" w14:textId="77777777" w:rsidTr="00D3472F">
        <w:trPr>
          <w:trHeight w:val="238"/>
          <w:jc w:val="center"/>
        </w:trPr>
        <w:tc>
          <w:tcPr>
            <w:tcW w:w="4678" w:type="dxa"/>
            <w:tcBorders>
              <w:top w:val="single" w:sz="2" w:space="0" w:color="1F4E79" w:themeColor="accent1" w:themeShade="80"/>
              <w:bottom w:val="nil"/>
            </w:tcBorders>
            <w:shd w:val="clear" w:color="auto" w:fill="auto"/>
          </w:tcPr>
          <w:p w14:paraId="5BCEC195" w14:textId="77777777" w:rsidR="005357C6" w:rsidRPr="00DA72A7" w:rsidRDefault="005357C6" w:rsidP="00A26497">
            <w:pPr>
              <w:pStyle w:val="08-Tabelageral"/>
              <w:jc w:val="left"/>
              <w:rPr>
                <w:rFonts w:cs="Arial"/>
                <w:b/>
                <w:szCs w:val="14"/>
              </w:rPr>
            </w:pPr>
            <w:r w:rsidRPr="00DA72A7">
              <w:rPr>
                <w:rFonts w:cs="Arial"/>
                <w:b/>
                <w:szCs w:val="14"/>
              </w:rPr>
              <w:t>Operating Income</w:t>
            </w:r>
          </w:p>
        </w:tc>
        <w:tc>
          <w:tcPr>
            <w:tcW w:w="1240" w:type="dxa"/>
            <w:tcBorders>
              <w:top w:val="single" w:sz="2" w:space="0" w:color="1F4E79" w:themeColor="accent1" w:themeShade="80"/>
              <w:bottom w:val="nil"/>
            </w:tcBorders>
            <w:shd w:val="clear" w:color="auto" w:fill="auto"/>
            <w:vAlign w:val="bottom"/>
          </w:tcPr>
          <w:p w14:paraId="25E55F47" w14:textId="77777777" w:rsidR="005357C6" w:rsidRPr="00DA72A7" w:rsidRDefault="005357C6" w:rsidP="00A26497">
            <w:pPr>
              <w:pStyle w:val="08-Tabelageral"/>
              <w:rPr>
                <w:rFonts w:cs="Arial"/>
                <w:b/>
                <w:szCs w:val="14"/>
              </w:rPr>
            </w:pPr>
            <w:r>
              <w:rPr>
                <w:rFonts w:cs="Arial"/>
                <w:b/>
                <w:bCs/>
                <w:color w:val="000000"/>
                <w:szCs w:val="14"/>
              </w:rPr>
              <w:t>9,407,227</w:t>
            </w:r>
          </w:p>
        </w:tc>
        <w:tc>
          <w:tcPr>
            <w:tcW w:w="1240" w:type="dxa"/>
            <w:tcBorders>
              <w:top w:val="single" w:sz="2" w:space="0" w:color="1F4E79" w:themeColor="accent1" w:themeShade="80"/>
              <w:bottom w:val="nil"/>
            </w:tcBorders>
            <w:shd w:val="clear" w:color="auto" w:fill="auto"/>
            <w:vAlign w:val="bottom"/>
          </w:tcPr>
          <w:p w14:paraId="6B84DAB7" w14:textId="77777777" w:rsidR="005357C6" w:rsidRPr="00DA72A7" w:rsidRDefault="005357C6" w:rsidP="00A26497">
            <w:pPr>
              <w:pStyle w:val="08-Tabelageral"/>
              <w:rPr>
                <w:rFonts w:cs="Arial"/>
                <w:b/>
                <w:szCs w:val="14"/>
              </w:rPr>
            </w:pPr>
            <w:r>
              <w:rPr>
                <w:rFonts w:cs="Arial"/>
                <w:b/>
                <w:bCs/>
                <w:color w:val="000000"/>
                <w:szCs w:val="14"/>
              </w:rPr>
              <w:t>4,008,301</w:t>
            </w:r>
          </w:p>
        </w:tc>
        <w:tc>
          <w:tcPr>
            <w:tcW w:w="1240" w:type="dxa"/>
            <w:tcBorders>
              <w:top w:val="single" w:sz="2" w:space="0" w:color="1F4E79" w:themeColor="accent1" w:themeShade="80"/>
              <w:bottom w:val="nil"/>
            </w:tcBorders>
            <w:shd w:val="clear" w:color="auto" w:fill="auto"/>
            <w:vAlign w:val="bottom"/>
          </w:tcPr>
          <w:p w14:paraId="62C799F6" w14:textId="77777777" w:rsidR="005357C6" w:rsidRPr="00DA72A7" w:rsidRDefault="005357C6" w:rsidP="00A26497">
            <w:pPr>
              <w:pStyle w:val="08-Tabelageral"/>
              <w:rPr>
                <w:rFonts w:cs="Arial"/>
                <w:b/>
                <w:szCs w:val="14"/>
              </w:rPr>
            </w:pPr>
            <w:r>
              <w:rPr>
                <w:rFonts w:cs="Arial"/>
                <w:b/>
                <w:bCs/>
                <w:color w:val="000000"/>
                <w:szCs w:val="14"/>
              </w:rPr>
              <w:t>(6,042,789)</w:t>
            </w:r>
          </w:p>
        </w:tc>
        <w:tc>
          <w:tcPr>
            <w:tcW w:w="1241" w:type="dxa"/>
            <w:tcBorders>
              <w:top w:val="single" w:sz="2" w:space="0" w:color="1F4E79" w:themeColor="accent1" w:themeShade="80"/>
              <w:bottom w:val="nil"/>
            </w:tcBorders>
            <w:shd w:val="clear" w:color="auto" w:fill="auto"/>
            <w:vAlign w:val="bottom"/>
          </w:tcPr>
          <w:p w14:paraId="1E6A5965" w14:textId="77777777" w:rsidR="005357C6" w:rsidRPr="00DA72A7" w:rsidRDefault="005357C6" w:rsidP="00A26497">
            <w:pPr>
              <w:pStyle w:val="08-Tabelageral"/>
              <w:rPr>
                <w:rFonts w:cs="Arial"/>
                <w:b/>
                <w:szCs w:val="14"/>
              </w:rPr>
            </w:pPr>
            <w:r>
              <w:rPr>
                <w:rFonts w:cs="Arial"/>
                <w:b/>
                <w:bCs/>
                <w:color w:val="000000"/>
                <w:szCs w:val="14"/>
              </w:rPr>
              <w:t>7,372,739</w:t>
            </w:r>
          </w:p>
        </w:tc>
      </w:tr>
      <w:tr w:rsidR="005357C6" w:rsidRPr="00DA72A7" w14:paraId="5F148296" w14:textId="77777777" w:rsidTr="00D3472F">
        <w:trPr>
          <w:trHeight w:val="238"/>
          <w:jc w:val="center"/>
        </w:trPr>
        <w:tc>
          <w:tcPr>
            <w:tcW w:w="4678" w:type="dxa"/>
            <w:tcBorders>
              <w:top w:val="nil"/>
            </w:tcBorders>
            <w:shd w:val="clear" w:color="auto" w:fill="auto"/>
          </w:tcPr>
          <w:p w14:paraId="6681503E" w14:textId="77777777" w:rsidR="005357C6" w:rsidRPr="00DA72A7" w:rsidRDefault="005357C6" w:rsidP="00A26497">
            <w:pPr>
              <w:pStyle w:val="08-Tabelageral"/>
              <w:ind w:left="113"/>
              <w:jc w:val="left"/>
              <w:rPr>
                <w:rFonts w:cs="Arial"/>
                <w:bCs/>
                <w:szCs w:val="14"/>
              </w:rPr>
            </w:pPr>
            <w:r w:rsidRPr="00DA72A7">
              <w:rPr>
                <w:rFonts w:cs="Arial"/>
                <w:bCs/>
                <w:szCs w:val="14"/>
              </w:rPr>
              <w:t>Equity income</w:t>
            </w:r>
          </w:p>
        </w:tc>
        <w:tc>
          <w:tcPr>
            <w:tcW w:w="1240" w:type="dxa"/>
            <w:tcBorders>
              <w:top w:val="nil"/>
            </w:tcBorders>
            <w:shd w:val="clear" w:color="auto" w:fill="auto"/>
            <w:vAlign w:val="bottom"/>
          </w:tcPr>
          <w:p w14:paraId="09F04467" w14:textId="77777777" w:rsidR="005357C6" w:rsidRPr="00DA72A7" w:rsidRDefault="005357C6" w:rsidP="00A26497">
            <w:pPr>
              <w:pStyle w:val="08-Tabelageral"/>
              <w:rPr>
                <w:rFonts w:cs="Arial"/>
                <w:bCs/>
                <w:szCs w:val="14"/>
              </w:rPr>
            </w:pPr>
            <w:r>
              <w:rPr>
                <w:rFonts w:cs="Arial"/>
                <w:color w:val="000000"/>
                <w:szCs w:val="14"/>
              </w:rPr>
              <w:t>9,407,227</w:t>
            </w:r>
          </w:p>
        </w:tc>
        <w:tc>
          <w:tcPr>
            <w:tcW w:w="1240" w:type="dxa"/>
            <w:tcBorders>
              <w:top w:val="nil"/>
            </w:tcBorders>
            <w:shd w:val="clear" w:color="auto" w:fill="auto"/>
            <w:vAlign w:val="bottom"/>
          </w:tcPr>
          <w:p w14:paraId="617CC9C8" w14:textId="77777777" w:rsidR="005357C6" w:rsidRPr="00DA72A7" w:rsidRDefault="005357C6" w:rsidP="00A26497">
            <w:pPr>
              <w:pStyle w:val="08-Tabelageral"/>
              <w:rPr>
                <w:rFonts w:cs="Arial"/>
                <w:bCs/>
                <w:szCs w:val="14"/>
              </w:rPr>
            </w:pPr>
            <w:r>
              <w:rPr>
                <w:rFonts w:cs="Arial"/>
                <w:color w:val="000000"/>
                <w:szCs w:val="14"/>
              </w:rPr>
              <w:t>(673)</w:t>
            </w:r>
          </w:p>
        </w:tc>
        <w:tc>
          <w:tcPr>
            <w:tcW w:w="1240" w:type="dxa"/>
            <w:tcBorders>
              <w:top w:val="nil"/>
            </w:tcBorders>
            <w:shd w:val="clear" w:color="auto" w:fill="auto"/>
            <w:vAlign w:val="bottom"/>
          </w:tcPr>
          <w:p w14:paraId="0B55D780" w14:textId="77777777" w:rsidR="005357C6" w:rsidRPr="00DA72A7" w:rsidRDefault="005357C6" w:rsidP="00A26497">
            <w:pPr>
              <w:pStyle w:val="08-Tabelageral"/>
              <w:rPr>
                <w:rFonts w:cs="Arial"/>
                <w:bCs/>
                <w:szCs w:val="14"/>
              </w:rPr>
            </w:pPr>
            <w:r>
              <w:rPr>
                <w:rFonts w:cs="Arial"/>
                <w:color w:val="000000"/>
                <w:szCs w:val="14"/>
              </w:rPr>
              <w:t>(6,042,789)</w:t>
            </w:r>
          </w:p>
        </w:tc>
        <w:tc>
          <w:tcPr>
            <w:tcW w:w="1241" w:type="dxa"/>
            <w:tcBorders>
              <w:top w:val="nil"/>
            </w:tcBorders>
            <w:shd w:val="clear" w:color="auto" w:fill="auto"/>
            <w:vAlign w:val="bottom"/>
          </w:tcPr>
          <w:p w14:paraId="7738F4CE" w14:textId="77777777" w:rsidR="005357C6" w:rsidRPr="00DA72A7" w:rsidRDefault="005357C6" w:rsidP="00A26497">
            <w:pPr>
              <w:pStyle w:val="08-Tabelageral"/>
              <w:rPr>
                <w:rFonts w:cs="Arial"/>
                <w:bCs/>
                <w:szCs w:val="14"/>
              </w:rPr>
            </w:pPr>
            <w:r>
              <w:rPr>
                <w:rFonts w:cs="Arial"/>
                <w:color w:val="000000"/>
                <w:szCs w:val="14"/>
              </w:rPr>
              <w:t>3,363,765</w:t>
            </w:r>
          </w:p>
        </w:tc>
      </w:tr>
      <w:tr w:rsidR="005357C6" w:rsidRPr="00DA72A7" w14:paraId="14D9D287" w14:textId="77777777" w:rsidTr="00D3472F">
        <w:trPr>
          <w:trHeight w:val="238"/>
          <w:jc w:val="center"/>
        </w:trPr>
        <w:tc>
          <w:tcPr>
            <w:tcW w:w="4678" w:type="dxa"/>
            <w:shd w:val="clear" w:color="auto" w:fill="auto"/>
          </w:tcPr>
          <w:p w14:paraId="30E2A928" w14:textId="77777777" w:rsidR="005357C6" w:rsidRPr="00DA72A7" w:rsidRDefault="005357C6" w:rsidP="00A26497">
            <w:pPr>
              <w:pStyle w:val="08-Tabelageral"/>
              <w:ind w:left="113"/>
              <w:jc w:val="left"/>
              <w:rPr>
                <w:rFonts w:cs="Arial"/>
                <w:bCs/>
                <w:szCs w:val="14"/>
              </w:rPr>
            </w:pPr>
            <w:r w:rsidRPr="00DA72A7">
              <w:rPr>
                <w:rFonts w:cs="Arial"/>
                <w:bCs/>
                <w:szCs w:val="14"/>
              </w:rPr>
              <w:t>Commissions income</w:t>
            </w:r>
          </w:p>
        </w:tc>
        <w:tc>
          <w:tcPr>
            <w:tcW w:w="1240" w:type="dxa"/>
            <w:shd w:val="clear" w:color="auto" w:fill="auto"/>
            <w:vAlign w:val="bottom"/>
          </w:tcPr>
          <w:p w14:paraId="02803642" w14:textId="77777777" w:rsidR="005357C6" w:rsidRPr="00DA72A7" w:rsidRDefault="005357C6" w:rsidP="00A26497">
            <w:pPr>
              <w:pStyle w:val="08-Tabelageral"/>
              <w:rPr>
                <w:rFonts w:cs="Arial"/>
                <w:bCs/>
                <w:szCs w:val="14"/>
              </w:rPr>
            </w:pPr>
            <w:r>
              <w:rPr>
                <w:rFonts w:cs="Arial"/>
                <w:color w:val="000000"/>
                <w:szCs w:val="14"/>
              </w:rPr>
              <w:t>--</w:t>
            </w:r>
          </w:p>
        </w:tc>
        <w:tc>
          <w:tcPr>
            <w:tcW w:w="1240" w:type="dxa"/>
            <w:shd w:val="clear" w:color="auto" w:fill="auto"/>
            <w:vAlign w:val="bottom"/>
          </w:tcPr>
          <w:p w14:paraId="0BAE2379" w14:textId="77777777" w:rsidR="005357C6" w:rsidRPr="00DA72A7" w:rsidRDefault="005357C6" w:rsidP="00A26497">
            <w:pPr>
              <w:pStyle w:val="08-Tabelageral"/>
              <w:rPr>
                <w:rFonts w:cs="Arial"/>
                <w:bCs/>
                <w:szCs w:val="14"/>
              </w:rPr>
            </w:pPr>
            <w:r>
              <w:rPr>
                <w:rFonts w:cs="Arial"/>
                <w:color w:val="000000"/>
                <w:szCs w:val="14"/>
              </w:rPr>
              <w:t>4,008,974</w:t>
            </w:r>
          </w:p>
        </w:tc>
        <w:tc>
          <w:tcPr>
            <w:tcW w:w="1240" w:type="dxa"/>
            <w:shd w:val="clear" w:color="auto" w:fill="auto"/>
            <w:vAlign w:val="bottom"/>
          </w:tcPr>
          <w:p w14:paraId="329393DB" w14:textId="77777777" w:rsidR="005357C6" w:rsidRPr="00DA72A7" w:rsidRDefault="005357C6" w:rsidP="00A26497">
            <w:pPr>
              <w:pStyle w:val="08-Tabelageral"/>
              <w:rPr>
                <w:rFonts w:cs="Arial"/>
                <w:bCs/>
                <w:szCs w:val="14"/>
              </w:rPr>
            </w:pPr>
            <w:r>
              <w:rPr>
                <w:rFonts w:cs="Arial"/>
                <w:color w:val="000000"/>
                <w:szCs w:val="14"/>
              </w:rPr>
              <w:t>--</w:t>
            </w:r>
          </w:p>
        </w:tc>
        <w:tc>
          <w:tcPr>
            <w:tcW w:w="1241" w:type="dxa"/>
            <w:shd w:val="clear" w:color="auto" w:fill="auto"/>
            <w:vAlign w:val="bottom"/>
          </w:tcPr>
          <w:p w14:paraId="629BFA2F" w14:textId="77777777" w:rsidR="005357C6" w:rsidRPr="00DA72A7" w:rsidRDefault="005357C6" w:rsidP="00A26497">
            <w:pPr>
              <w:pStyle w:val="08-Tabelageral"/>
              <w:rPr>
                <w:rFonts w:cs="Arial"/>
                <w:bCs/>
                <w:szCs w:val="14"/>
              </w:rPr>
            </w:pPr>
            <w:r>
              <w:rPr>
                <w:rFonts w:cs="Arial"/>
                <w:color w:val="000000"/>
                <w:szCs w:val="14"/>
              </w:rPr>
              <w:t>4,008,974</w:t>
            </w:r>
          </w:p>
        </w:tc>
      </w:tr>
      <w:tr w:rsidR="005357C6" w:rsidRPr="00DA72A7" w14:paraId="20717C90" w14:textId="77777777" w:rsidTr="00D3472F">
        <w:trPr>
          <w:trHeight w:val="238"/>
          <w:jc w:val="center"/>
        </w:trPr>
        <w:tc>
          <w:tcPr>
            <w:tcW w:w="4678" w:type="dxa"/>
            <w:shd w:val="clear" w:color="auto" w:fill="auto"/>
          </w:tcPr>
          <w:p w14:paraId="036E40FD" w14:textId="77777777" w:rsidR="005357C6" w:rsidRPr="00DA72A7" w:rsidRDefault="005357C6" w:rsidP="00A26497">
            <w:pPr>
              <w:pStyle w:val="08-Tabelageral"/>
              <w:jc w:val="left"/>
              <w:rPr>
                <w:rFonts w:cs="Arial"/>
                <w:b/>
                <w:szCs w:val="14"/>
              </w:rPr>
            </w:pPr>
            <w:r w:rsidRPr="00DA72A7">
              <w:rPr>
                <w:rFonts w:cs="Arial"/>
                <w:b/>
                <w:szCs w:val="14"/>
              </w:rPr>
              <w:t>Cost of Services Provided</w:t>
            </w:r>
          </w:p>
        </w:tc>
        <w:tc>
          <w:tcPr>
            <w:tcW w:w="1240" w:type="dxa"/>
            <w:shd w:val="clear" w:color="auto" w:fill="auto"/>
            <w:vAlign w:val="bottom"/>
          </w:tcPr>
          <w:p w14:paraId="37BFE960" w14:textId="77777777" w:rsidR="005357C6" w:rsidRPr="00DA72A7" w:rsidRDefault="005357C6" w:rsidP="00A26497">
            <w:pPr>
              <w:pStyle w:val="08-Tabelageral"/>
              <w:rPr>
                <w:rFonts w:cs="Arial"/>
                <w:b/>
                <w:szCs w:val="14"/>
              </w:rPr>
            </w:pPr>
            <w:r>
              <w:rPr>
                <w:rFonts w:cs="Arial"/>
                <w:color w:val="000000"/>
                <w:szCs w:val="14"/>
              </w:rPr>
              <w:t>--</w:t>
            </w:r>
          </w:p>
        </w:tc>
        <w:tc>
          <w:tcPr>
            <w:tcW w:w="1240" w:type="dxa"/>
            <w:shd w:val="clear" w:color="auto" w:fill="auto"/>
            <w:vAlign w:val="bottom"/>
          </w:tcPr>
          <w:p w14:paraId="5868DBF2" w14:textId="77777777" w:rsidR="005357C6" w:rsidRPr="00DA72A7" w:rsidRDefault="005357C6" w:rsidP="00A26497">
            <w:pPr>
              <w:pStyle w:val="08-Tabelageral"/>
              <w:rPr>
                <w:rFonts w:cs="Arial"/>
                <w:b/>
                <w:szCs w:val="14"/>
              </w:rPr>
            </w:pPr>
            <w:r>
              <w:rPr>
                <w:rFonts w:cs="Arial"/>
                <w:color w:val="000000"/>
                <w:szCs w:val="14"/>
              </w:rPr>
              <w:t>(205,870)</w:t>
            </w:r>
          </w:p>
        </w:tc>
        <w:tc>
          <w:tcPr>
            <w:tcW w:w="1240" w:type="dxa"/>
            <w:shd w:val="clear" w:color="auto" w:fill="auto"/>
            <w:vAlign w:val="bottom"/>
          </w:tcPr>
          <w:p w14:paraId="49CAA51C" w14:textId="77777777" w:rsidR="005357C6" w:rsidRPr="00DA72A7" w:rsidRDefault="005357C6" w:rsidP="00A26497">
            <w:pPr>
              <w:pStyle w:val="08-Tabelageral"/>
              <w:rPr>
                <w:rFonts w:cs="Arial"/>
                <w:b/>
                <w:szCs w:val="14"/>
              </w:rPr>
            </w:pPr>
            <w:r>
              <w:rPr>
                <w:rFonts w:cs="Arial"/>
                <w:color w:val="000000"/>
                <w:szCs w:val="14"/>
              </w:rPr>
              <w:t>--</w:t>
            </w:r>
          </w:p>
        </w:tc>
        <w:tc>
          <w:tcPr>
            <w:tcW w:w="1241" w:type="dxa"/>
            <w:shd w:val="clear" w:color="auto" w:fill="auto"/>
            <w:vAlign w:val="bottom"/>
          </w:tcPr>
          <w:p w14:paraId="7E2D06F9" w14:textId="77777777" w:rsidR="005357C6" w:rsidRPr="00DA72A7" w:rsidRDefault="005357C6" w:rsidP="00A26497">
            <w:pPr>
              <w:pStyle w:val="08-Tabelageral"/>
              <w:rPr>
                <w:rFonts w:cs="Arial"/>
                <w:b/>
                <w:szCs w:val="14"/>
              </w:rPr>
            </w:pPr>
            <w:r>
              <w:rPr>
                <w:rFonts w:cs="Arial"/>
                <w:color w:val="000000"/>
                <w:szCs w:val="14"/>
              </w:rPr>
              <w:t>(205,870)</w:t>
            </w:r>
          </w:p>
        </w:tc>
      </w:tr>
      <w:tr w:rsidR="005357C6" w:rsidRPr="00DA72A7" w14:paraId="59BFF554" w14:textId="77777777" w:rsidTr="00D3472F">
        <w:trPr>
          <w:trHeight w:val="238"/>
          <w:jc w:val="center"/>
        </w:trPr>
        <w:tc>
          <w:tcPr>
            <w:tcW w:w="4678" w:type="dxa"/>
            <w:shd w:val="clear" w:color="auto" w:fill="auto"/>
          </w:tcPr>
          <w:p w14:paraId="3CC46EC3" w14:textId="77777777" w:rsidR="005357C6" w:rsidRPr="00DA72A7" w:rsidRDefault="005357C6" w:rsidP="00A26497">
            <w:pPr>
              <w:pStyle w:val="08-Tabelageral"/>
              <w:jc w:val="left"/>
              <w:rPr>
                <w:rFonts w:cs="Arial"/>
                <w:b/>
                <w:szCs w:val="14"/>
              </w:rPr>
            </w:pPr>
            <w:r w:rsidRPr="00DA72A7">
              <w:rPr>
                <w:rFonts w:cs="Arial"/>
                <w:b/>
                <w:szCs w:val="14"/>
              </w:rPr>
              <w:t>Gross Profit</w:t>
            </w:r>
          </w:p>
        </w:tc>
        <w:tc>
          <w:tcPr>
            <w:tcW w:w="1240" w:type="dxa"/>
            <w:shd w:val="clear" w:color="auto" w:fill="auto"/>
            <w:vAlign w:val="bottom"/>
          </w:tcPr>
          <w:p w14:paraId="56DA0F7F" w14:textId="77777777" w:rsidR="005357C6" w:rsidRPr="00DA72A7" w:rsidRDefault="005357C6" w:rsidP="00A26497">
            <w:pPr>
              <w:pStyle w:val="08-Tabelageral"/>
              <w:rPr>
                <w:rFonts w:cs="Arial"/>
                <w:b/>
                <w:szCs w:val="14"/>
              </w:rPr>
            </w:pPr>
            <w:r>
              <w:rPr>
                <w:rFonts w:cs="Arial"/>
                <w:b/>
                <w:bCs/>
                <w:color w:val="000000"/>
                <w:szCs w:val="14"/>
              </w:rPr>
              <w:t>9,407,227</w:t>
            </w:r>
          </w:p>
        </w:tc>
        <w:tc>
          <w:tcPr>
            <w:tcW w:w="1240" w:type="dxa"/>
            <w:shd w:val="clear" w:color="auto" w:fill="auto"/>
            <w:vAlign w:val="bottom"/>
          </w:tcPr>
          <w:p w14:paraId="0691611E" w14:textId="77777777" w:rsidR="005357C6" w:rsidRPr="00DA72A7" w:rsidRDefault="005357C6" w:rsidP="00A26497">
            <w:pPr>
              <w:pStyle w:val="08-Tabelageral"/>
              <w:rPr>
                <w:rFonts w:cs="Arial"/>
                <w:b/>
                <w:szCs w:val="14"/>
              </w:rPr>
            </w:pPr>
            <w:r>
              <w:rPr>
                <w:rFonts w:cs="Arial"/>
                <w:b/>
                <w:bCs/>
                <w:color w:val="000000"/>
                <w:szCs w:val="14"/>
              </w:rPr>
              <w:t>3,802,431</w:t>
            </w:r>
          </w:p>
        </w:tc>
        <w:tc>
          <w:tcPr>
            <w:tcW w:w="1240" w:type="dxa"/>
            <w:shd w:val="clear" w:color="auto" w:fill="auto"/>
            <w:vAlign w:val="bottom"/>
          </w:tcPr>
          <w:p w14:paraId="1247778B" w14:textId="77777777" w:rsidR="005357C6" w:rsidRPr="00DA72A7" w:rsidRDefault="005357C6" w:rsidP="00A26497">
            <w:pPr>
              <w:pStyle w:val="08-Tabelageral"/>
              <w:rPr>
                <w:rFonts w:cs="Arial"/>
                <w:b/>
                <w:szCs w:val="14"/>
              </w:rPr>
            </w:pPr>
            <w:r>
              <w:rPr>
                <w:rFonts w:cs="Arial"/>
                <w:b/>
                <w:bCs/>
                <w:color w:val="000000"/>
                <w:szCs w:val="14"/>
              </w:rPr>
              <w:t>(6,042,789)</w:t>
            </w:r>
          </w:p>
        </w:tc>
        <w:tc>
          <w:tcPr>
            <w:tcW w:w="1241" w:type="dxa"/>
            <w:shd w:val="clear" w:color="auto" w:fill="auto"/>
            <w:vAlign w:val="bottom"/>
          </w:tcPr>
          <w:p w14:paraId="5AC1D973" w14:textId="77777777" w:rsidR="005357C6" w:rsidRPr="00DA72A7" w:rsidRDefault="005357C6" w:rsidP="00A26497">
            <w:pPr>
              <w:pStyle w:val="08-Tabelageral"/>
              <w:rPr>
                <w:rFonts w:cs="Arial"/>
                <w:b/>
                <w:szCs w:val="14"/>
              </w:rPr>
            </w:pPr>
            <w:r>
              <w:rPr>
                <w:rFonts w:cs="Arial"/>
                <w:b/>
                <w:bCs/>
                <w:color w:val="000000"/>
                <w:szCs w:val="14"/>
              </w:rPr>
              <w:t>7,166,869</w:t>
            </w:r>
          </w:p>
        </w:tc>
      </w:tr>
      <w:tr w:rsidR="005357C6" w:rsidRPr="00DA72A7" w14:paraId="6ADEA7C3" w14:textId="77777777" w:rsidTr="00D3472F">
        <w:trPr>
          <w:trHeight w:val="238"/>
          <w:jc w:val="center"/>
        </w:trPr>
        <w:tc>
          <w:tcPr>
            <w:tcW w:w="4678" w:type="dxa"/>
            <w:shd w:val="clear" w:color="auto" w:fill="auto"/>
          </w:tcPr>
          <w:p w14:paraId="34338E94" w14:textId="77777777" w:rsidR="005357C6" w:rsidRPr="00DA72A7" w:rsidRDefault="005357C6" w:rsidP="00A26497">
            <w:pPr>
              <w:pStyle w:val="08-Tabelageral"/>
              <w:jc w:val="left"/>
              <w:rPr>
                <w:rFonts w:cs="Arial"/>
                <w:b/>
                <w:szCs w:val="14"/>
              </w:rPr>
            </w:pPr>
            <w:r w:rsidRPr="00DA72A7">
              <w:rPr>
                <w:rFonts w:cs="Arial"/>
                <w:b/>
                <w:szCs w:val="14"/>
              </w:rPr>
              <w:t>Other Income and Expenses</w:t>
            </w:r>
          </w:p>
        </w:tc>
        <w:tc>
          <w:tcPr>
            <w:tcW w:w="1240" w:type="dxa"/>
            <w:shd w:val="clear" w:color="auto" w:fill="auto"/>
            <w:vAlign w:val="bottom"/>
          </w:tcPr>
          <w:p w14:paraId="38F18F4B" w14:textId="77777777" w:rsidR="005357C6" w:rsidRPr="00DA72A7" w:rsidRDefault="005357C6" w:rsidP="00A26497">
            <w:pPr>
              <w:pStyle w:val="08-Tabelageral"/>
              <w:rPr>
                <w:rFonts w:cs="Arial"/>
                <w:b/>
                <w:szCs w:val="14"/>
              </w:rPr>
            </w:pPr>
            <w:r>
              <w:rPr>
                <w:rFonts w:cs="Arial"/>
                <w:b/>
                <w:bCs/>
                <w:color w:val="000000"/>
                <w:szCs w:val="14"/>
              </w:rPr>
              <w:t>(80,399)</w:t>
            </w:r>
          </w:p>
        </w:tc>
        <w:tc>
          <w:tcPr>
            <w:tcW w:w="1240" w:type="dxa"/>
            <w:shd w:val="clear" w:color="auto" w:fill="auto"/>
            <w:vAlign w:val="bottom"/>
          </w:tcPr>
          <w:p w14:paraId="26130DAF" w14:textId="77777777" w:rsidR="005357C6" w:rsidRPr="00DA72A7" w:rsidRDefault="005357C6" w:rsidP="00A26497">
            <w:pPr>
              <w:pStyle w:val="08-Tabelageral"/>
              <w:rPr>
                <w:rFonts w:cs="Arial"/>
                <w:b/>
                <w:szCs w:val="14"/>
              </w:rPr>
            </w:pPr>
            <w:r>
              <w:rPr>
                <w:rFonts w:cs="Arial"/>
                <w:b/>
                <w:bCs/>
                <w:color w:val="000000"/>
                <w:szCs w:val="14"/>
              </w:rPr>
              <w:t>(40,801)</w:t>
            </w:r>
          </w:p>
        </w:tc>
        <w:tc>
          <w:tcPr>
            <w:tcW w:w="1240" w:type="dxa"/>
            <w:shd w:val="clear" w:color="auto" w:fill="auto"/>
            <w:vAlign w:val="bottom"/>
          </w:tcPr>
          <w:p w14:paraId="4400B975" w14:textId="77777777" w:rsidR="005357C6" w:rsidRPr="00DA72A7" w:rsidRDefault="005357C6" w:rsidP="00A26497">
            <w:pPr>
              <w:pStyle w:val="08-Tabelageral"/>
              <w:rPr>
                <w:rFonts w:cs="Arial"/>
                <w:b/>
                <w:szCs w:val="14"/>
              </w:rPr>
            </w:pPr>
            <w:r>
              <w:rPr>
                <w:rFonts w:cs="Arial"/>
                <w:b/>
                <w:bCs/>
                <w:color w:val="000000"/>
                <w:szCs w:val="14"/>
              </w:rPr>
              <w:t>--</w:t>
            </w:r>
          </w:p>
        </w:tc>
        <w:tc>
          <w:tcPr>
            <w:tcW w:w="1241" w:type="dxa"/>
            <w:shd w:val="clear" w:color="auto" w:fill="auto"/>
            <w:vAlign w:val="bottom"/>
          </w:tcPr>
          <w:p w14:paraId="6AD790E6" w14:textId="77777777" w:rsidR="005357C6" w:rsidRPr="00DA72A7" w:rsidRDefault="005357C6" w:rsidP="00A26497">
            <w:pPr>
              <w:pStyle w:val="08-Tabelageral"/>
              <w:rPr>
                <w:rFonts w:cs="Arial"/>
                <w:b/>
                <w:szCs w:val="14"/>
              </w:rPr>
            </w:pPr>
            <w:r>
              <w:rPr>
                <w:rFonts w:cs="Arial"/>
                <w:b/>
                <w:bCs/>
                <w:color w:val="000000"/>
                <w:szCs w:val="14"/>
              </w:rPr>
              <w:t>(121,200)</w:t>
            </w:r>
          </w:p>
        </w:tc>
      </w:tr>
      <w:tr w:rsidR="005357C6" w:rsidRPr="00DA72A7" w14:paraId="3BFCCFE3" w14:textId="77777777" w:rsidTr="00D3472F">
        <w:trPr>
          <w:trHeight w:val="238"/>
          <w:jc w:val="center"/>
        </w:trPr>
        <w:tc>
          <w:tcPr>
            <w:tcW w:w="4678" w:type="dxa"/>
            <w:shd w:val="clear" w:color="auto" w:fill="auto"/>
          </w:tcPr>
          <w:p w14:paraId="7AD6C65E" w14:textId="77777777" w:rsidR="005357C6" w:rsidRPr="00DA72A7" w:rsidRDefault="005357C6" w:rsidP="00A26497">
            <w:pPr>
              <w:pStyle w:val="08-Tabelageral"/>
              <w:ind w:left="113"/>
              <w:jc w:val="left"/>
              <w:rPr>
                <w:rFonts w:cs="Arial"/>
                <w:bCs/>
                <w:szCs w:val="14"/>
              </w:rPr>
            </w:pPr>
            <w:r w:rsidRPr="00DA72A7">
              <w:rPr>
                <w:rFonts w:cs="Arial"/>
                <w:bCs/>
                <w:szCs w:val="14"/>
              </w:rPr>
              <w:t>Personnel expenses</w:t>
            </w:r>
          </w:p>
        </w:tc>
        <w:tc>
          <w:tcPr>
            <w:tcW w:w="1240" w:type="dxa"/>
            <w:shd w:val="clear" w:color="auto" w:fill="auto"/>
            <w:vAlign w:val="bottom"/>
          </w:tcPr>
          <w:p w14:paraId="1C84FEF5" w14:textId="77777777" w:rsidR="005357C6" w:rsidRPr="00DA72A7" w:rsidRDefault="005357C6" w:rsidP="00A26497">
            <w:pPr>
              <w:pStyle w:val="08-Tabelageral"/>
              <w:rPr>
                <w:rFonts w:cs="Arial"/>
                <w:bCs/>
                <w:szCs w:val="14"/>
              </w:rPr>
            </w:pPr>
            <w:r>
              <w:rPr>
                <w:rFonts w:cs="Arial"/>
                <w:color w:val="000000"/>
                <w:szCs w:val="14"/>
              </w:rPr>
              <w:t>(24,175)</w:t>
            </w:r>
          </w:p>
        </w:tc>
        <w:tc>
          <w:tcPr>
            <w:tcW w:w="1240" w:type="dxa"/>
            <w:shd w:val="clear" w:color="auto" w:fill="auto"/>
            <w:vAlign w:val="bottom"/>
          </w:tcPr>
          <w:p w14:paraId="3535CBC1" w14:textId="77777777" w:rsidR="005357C6" w:rsidRPr="00DA72A7" w:rsidRDefault="005357C6" w:rsidP="00A26497">
            <w:pPr>
              <w:pStyle w:val="08-Tabelageral"/>
              <w:rPr>
                <w:rFonts w:cs="Arial"/>
                <w:bCs/>
                <w:szCs w:val="14"/>
              </w:rPr>
            </w:pPr>
            <w:r>
              <w:rPr>
                <w:rFonts w:cs="Arial"/>
                <w:color w:val="000000"/>
                <w:szCs w:val="14"/>
              </w:rPr>
              <w:t>(50,337)</w:t>
            </w:r>
          </w:p>
        </w:tc>
        <w:tc>
          <w:tcPr>
            <w:tcW w:w="1240" w:type="dxa"/>
            <w:shd w:val="clear" w:color="auto" w:fill="auto"/>
            <w:vAlign w:val="bottom"/>
          </w:tcPr>
          <w:p w14:paraId="6BD68147" w14:textId="77777777" w:rsidR="005357C6" w:rsidRPr="00DA72A7" w:rsidRDefault="005357C6" w:rsidP="00A26497">
            <w:pPr>
              <w:pStyle w:val="08-Tabelageral"/>
              <w:rPr>
                <w:rFonts w:cs="Arial"/>
                <w:bCs/>
                <w:szCs w:val="14"/>
              </w:rPr>
            </w:pPr>
            <w:r>
              <w:rPr>
                <w:rFonts w:cs="Arial"/>
                <w:color w:val="000000"/>
                <w:szCs w:val="14"/>
              </w:rPr>
              <w:t>--</w:t>
            </w:r>
          </w:p>
        </w:tc>
        <w:tc>
          <w:tcPr>
            <w:tcW w:w="1241" w:type="dxa"/>
            <w:shd w:val="clear" w:color="auto" w:fill="auto"/>
            <w:vAlign w:val="bottom"/>
          </w:tcPr>
          <w:p w14:paraId="1F2A7CA7" w14:textId="77777777" w:rsidR="005357C6" w:rsidRPr="00DA72A7" w:rsidRDefault="005357C6" w:rsidP="00A26497">
            <w:pPr>
              <w:pStyle w:val="08-Tabelageral"/>
              <w:rPr>
                <w:rFonts w:cs="Arial"/>
                <w:bCs/>
                <w:szCs w:val="14"/>
              </w:rPr>
            </w:pPr>
            <w:r>
              <w:rPr>
                <w:rFonts w:cs="Arial"/>
                <w:color w:val="000000"/>
                <w:szCs w:val="14"/>
              </w:rPr>
              <w:t>(74,512)</w:t>
            </w:r>
          </w:p>
        </w:tc>
      </w:tr>
      <w:tr w:rsidR="005357C6" w:rsidRPr="00DA72A7" w14:paraId="598F5637" w14:textId="77777777" w:rsidTr="00D3472F">
        <w:trPr>
          <w:trHeight w:val="238"/>
          <w:jc w:val="center"/>
        </w:trPr>
        <w:tc>
          <w:tcPr>
            <w:tcW w:w="4678" w:type="dxa"/>
            <w:shd w:val="clear" w:color="auto" w:fill="auto"/>
          </w:tcPr>
          <w:p w14:paraId="6CBFFA4C" w14:textId="77777777" w:rsidR="005357C6" w:rsidRPr="00DA72A7" w:rsidRDefault="005357C6" w:rsidP="00A26497">
            <w:pPr>
              <w:pStyle w:val="08-Tabelageral"/>
              <w:ind w:left="113"/>
              <w:jc w:val="left"/>
              <w:rPr>
                <w:rFonts w:cs="Arial"/>
                <w:bCs/>
                <w:szCs w:val="14"/>
              </w:rPr>
            </w:pPr>
            <w:r w:rsidRPr="00DA72A7">
              <w:rPr>
                <w:rFonts w:cs="Arial"/>
                <w:bCs/>
                <w:szCs w:val="14"/>
              </w:rPr>
              <w:t>Adminstrative expenses</w:t>
            </w:r>
          </w:p>
        </w:tc>
        <w:tc>
          <w:tcPr>
            <w:tcW w:w="1240" w:type="dxa"/>
            <w:shd w:val="clear" w:color="auto" w:fill="auto"/>
            <w:vAlign w:val="bottom"/>
          </w:tcPr>
          <w:p w14:paraId="1BF236B7" w14:textId="77777777" w:rsidR="005357C6" w:rsidRPr="00DA72A7" w:rsidRDefault="005357C6" w:rsidP="00A26497">
            <w:pPr>
              <w:pStyle w:val="08-Tabelageral"/>
              <w:rPr>
                <w:rFonts w:cs="Arial"/>
                <w:bCs/>
                <w:szCs w:val="14"/>
              </w:rPr>
            </w:pPr>
            <w:r>
              <w:rPr>
                <w:rFonts w:cs="Arial"/>
                <w:color w:val="000000"/>
                <w:szCs w:val="14"/>
              </w:rPr>
              <w:t>(6,341)</w:t>
            </w:r>
          </w:p>
        </w:tc>
        <w:tc>
          <w:tcPr>
            <w:tcW w:w="1240" w:type="dxa"/>
            <w:shd w:val="clear" w:color="auto" w:fill="auto"/>
            <w:vAlign w:val="bottom"/>
          </w:tcPr>
          <w:p w14:paraId="3629BCC2" w14:textId="77777777" w:rsidR="005357C6" w:rsidRPr="00DA72A7" w:rsidRDefault="005357C6" w:rsidP="00A26497">
            <w:pPr>
              <w:pStyle w:val="08-Tabelageral"/>
              <w:rPr>
                <w:rFonts w:cs="Arial"/>
                <w:bCs/>
                <w:szCs w:val="14"/>
              </w:rPr>
            </w:pPr>
            <w:r>
              <w:rPr>
                <w:rFonts w:cs="Arial"/>
                <w:color w:val="000000"/>
                <w:szCs w:val="14"/>
              </w:rPr>
              <w:t>(43,647)</w:t>
            </w:r>
          </w:p>
        </w:tc>
        <w:tc>
          <w:tcPr>
            <w:tcW w:w="1240" w:type="dxa"/>
            <w:shd w:val="clear" w:color="auto" w:fill="auto"/>
            <w:vAlign w:val="bottom"/>
          </w:tcPr>
          <w:p w14:paraId="7A3B33BE" w14:textId="77777777" w:rsidR="005357C6" w:rsidRPr="00DA72A7" w:rsidRDefault="005357C6" w:rsidP="00A26497">
            <w:pPr>
              <w:pStyle w:val="08-Tabelageral"/>
              <w:rPr>
                <w:rFonts w:cs="Arial"/>
                <w:bCs/>
                <w:szCs w:val="14"/>
              </w:rPr>
            </w:pPr>
            <w:r>
              <w:rPr>
                <w:rFonts w:cs="Arial"/>
                <w:color w:val="000000"/>
                <w:szCs w:val="14"/>
              </w:rPr>
              <w:t>--</w:t>
            </w:r>
          </w:p>
        </w:tc>
        <w:tc>
          <w:tcPr>
            <w:tcW w:w="1241" w:type="dxa"/>
            <w:shd w:val="clear" w:color="auto" w:fill="auto"/>
            <w:vAlign w:val="bottom"/>
          </w:tcPr>
          <w:p w14:paraId="4C3CF4FC" w14:textId="77777777" w:rsidR="005357C6" w:rsidRPr="00DA72A7" w:rsidRDefault="005357C6" w:rsidP="00A26497">
            <w:pPr>
              <w:pStyle w:val="08-Tabelageral"/>
              <w:rPr>
                <w:rFonts w:cs="Arial"/>
                <w:bCs/>
                <w:szCs w:val="14"/>
              </w:rPr>
            </w:pPr>
            <w:r>
              <w:rPr>
                <w:rFonts w:cs="Arial"/>
                <w:color w:val="000000"/>
                <w:szCs w:val="14"/>
              </w:rPr>
              <w:t>(49,988)</w:t>
            </w:r>
          </w:p>
        </w:tc>
      </w:tr>
      <w:tr w:rsidR="005357C6" w:rsidRPr="00DA72A7" w14:paraId="5834D60E" w14:textId="77777777" w:rsidTr="00D3472F">
        <w:trPr>
          <w:trHeight w:val="238"/>
          <w:jc w:val="center"/>
        </w:trPr>
        <w:tc>
          <w:tcPr>
            <w:tcW w:w="4678" w:type="dxa"/>
            <w:shd w:val="clear" w:color="auto" w:fill="auto"/>
          </w:tcPr>
          <w:p w14:paraId="6AEB60AF" w14:textId="77777777" w:rsidR="005357C6" w:rsidRPr="00DA72A7" w:rsidRDefault="005357C6" w:rsidP="00A26497">
            <w:pPr>
              <w:pStyle w:val="08-Tabelageral"/>
              <w:ind w:left="113"/>
              <w:jc w:val="left"/>
              <w:rPr>
                <w:rFonts w:cs="Arial"/>
                <w:bCs/>
                <w:szCs w:val="14"/>
              </w:rPr>
            </w:pPr>
            <w:r w:rsidRPr="00DA72A7">
              <w:rPr>
                <w:rFonts w:cs="Arial"/>
                <w:bCs/>
                <w:szCs w:val="14"/>
              </w:rPr>
              <w:t>Tax expenses</w:t>
            </w:r>
          </w:p>
        </w:tc>
        <w:tc>
          <w:tcPr>
            <w:tcW w:w="1240" w:type="dxa"/>
            <w:shd w:val="clear" w:color="auto" w:fill="auto"/>
            <w:vAlign w:val="bottom"/>
          </w:tcPr>
          <w:p w14:paraId="62E8F835" w14:textId="77777777" w:rsidR="005357C6" w:rsidRPr="00DA72A7" w:rsidRDefault="005357C6" w:rsidP="00A26497">
            <w:pPr>
              <w:pStyle w:val="08-Tabelageral"/>
              <w:rPr>
                <w:rFonts w:cs="Arial"/>
                <w:bCs/>
                <w:szCs w:val="14"/>
              </w:rPr>
            </w:pPr>
            <w:r>
              <w:rPr>
                <w:rFonts w:cs="Arial"/>
                <w:color w:val="000000"/>
                <w:szCs w:val="14"/>
              </w:rPr>
              <w:t>(32,365)</w:t>
            </w:r>
          </w:p>
        </w:tc>
        <w:tc>
          <w:tcPr>
            <w:tcW w:w="1240" w:type="dxa"/>
            <w:shd w:val="clear" w:color="auto" w:fill="auto"/>
            <w:vAlign w:val="bottom"/>
          </w:tcPr>
          <w:p w14:paraId="1E86F2FB" w14:textId="77777777" w:rsidR="005357C6" w:rsidRPr="00DA72A7" w:rsidRDefault="005357C6" w:rsidP="00A26497">
            <w:pPr>
              <w:pStyle w:val="08-Tabelageral"/>
              <w:rPr>
                <w:rFonts w:cs="Arial"/>
                <w:bCs/>
                <w:szCs w:val="14"/>
              </w:rPr>
            </w:pPr>
            <w:r>
              <w:rPr>
                <w:rFonts w:cs="Arial"/>
                <w:color w:val="000000"/>
                <w:szCs w:val="14"/>
              </w:rPr>
              <w:t>(17,975)</w:t>
            </w:r>
          </w:p>
        </w:tc>
        <w:tc>
          <w:tcPr>
            <w:tcW w:w="1240" w:type="dxa"/>
            <w:shd w:val="clear" w:color="auto" w:fill="auto"/>
            <w:vAlign w:val="bottom"/>
          </w:tcPr>
          <w:p w14:paraId="3A2445F9" w14:textId="77777777" w:rsidR="005357C6" w:rsidRPr="00DA72A7" w:rsidRDefault="005357C6" w:rsidP="00A26497">
            <w:pPr>
              <w:pStyle w:val="08-Tabelageral"/>
              <w:rPr>
                <w:rFonts w:cs="Arial"/>
                <w:bCs/>
                <w:szCs w:val="14"/>
              </w:rPr>
            </w:pPr>
            <w:r>
              <w:rPr>
                <w:rFonts w:cs="Arial"/>
                <w:color w:val="000000"/>
                <w:szCs w:val="14"/>
              </w:rPr>
              <w:t>--</w:t>
            </w:r>
          </w:p>
        </w:tc>
        <w:tc>
          <w:tcPr>
            <w:tcW w:w="1241" w:type="dxa"/>
            <w:shd w:val="clear" w:color="auto" w:fill="auto"/>
            <w:vAlign w:val="bottom"/>
          </w:tcPr>
          <w:p w14:paraId="1C9D438A" w14:textId="77777777" w:rsidR="005357C6" w:rsidRPr="00DA72A7" w:rsidRDefault="005357C6" w:rsidP="00A26497">
            <w:pPr>
              <w:pStyle w:val="08-Tabelageral"/>
              <w:rPr>
                <w:rFonts w:cs="Arial"/>
                <w:bCs/>
                <w:szCs w:val="14"/>
              </w:rPr>
            </w:pPr>
            <w:r>
              <w:rPr>
                <w:rFonts w:cs="Arial"/>
                <w:color w:val="000000"/>
                <w:szCs w:val="14"/>
              </w:rPr>
              <w:t>(50,340)</w:t>
            </w:r>
          </w:p>
        </w:tc>
      </w:tr>
      <w:tr w:rsidR="005357C6" w:rsidRPr="00DA72A7" w14:paraId="51776C96" w14:textId="77777777" w:rsidTr="00D3472F">
        <w:trPr>
          <w:trHeight w:val="238"/>
          <w:jc w:val="center"/>
        </w:trPr>
        <w:tc>
          <w:tcPr>
            <w:tcW w:w="4678" w:type="dxa"/>
            <w:shd w:val="clear" w:color="auto" w:fill="auto"/>
          </w:tcPr>
          <w:p w14:paraId="7E04B784" w14:textId="77777777" w:rsidR="005357C6" w:rsidRPr="00DA72A7" w:rsidRDefault="005357C6" w:rsidP="00A26497">
            <w:pPr>
              <w:pStyle w:val="08-Tabelageral"/>
              <w:ind w:left="113"/>
              <w:jc w:val="left"/>
              <w:rPr>
                <w:rFonts w:cs="Arial"/>
                <w:bCs/>
                <w:szCs w:val="14"/>
              </w:rPr>
            </w:pPr>
            <w:r w:rsidRPr="00DA72A7">
              <w:rPr>
                <w:rFonts w:cs="Arial"/>
                <w:bCs/>
                <w:szCs w:val="14"/>
              </w:rPr>
              <w:t>Other</w:t>
            </w:r>
          </w:p>
        </w:tc>
        <w:tc>
          <w:tcPr>
            <w:tcW w:w="1240" w:type="dxa"/>
            <w:shd w:val="clear" w:color="auto" w:fill="auto"/>
            <w:vAlign w:val="bottom"/>
          </w:tcPr>
          <w:p w14:paraId="16013A64" w14:textId="77777777" w:rsidR="005357C6" w:rsidRPr="00DA72A7" w:rsidRDefault="005357C6" w:rsidP="00A26497">
            <w:pPr>
              <w:pStyle w:val="08-Tabelageral"/>
              <w:rPr>
                <w:rFonts w:cs="Arial"/>
                <w:bCs/>
                <w:szCs w:val="14"/>
              </w:rPr>
            </w:pPr>
            <w:r>
              <w:rPr>
                <w:rFonts w:cs="Arial"/>
                <w:color w:val="000000"/>
                <w:szCs w:val="14"/>
              </w:rPr>
              <w:t>(17,518)</w:t>
            </w:r>
          </w:p>
        </w:tc>
        <w:tc>
          <w:tcPr>
            <w:tcW w:w="1240" w:type="dxa"/>
            <w:shd w:val="clear" w:color="auto" w:fill="auto"/>
            <w:vAlign w:val="bottom"/>
          </w:tcPr>
          <w:p w14:paraId="4829D67C" w14:textId="77777777" w:rsidR="005357C6" w:rsidRPr="00DA72A7" w:rsidRDefault="005357C6" w:rsidP="00A26497">
            <w:pPr>
              <w:pStyle w:val="08-Tabelageral"/>
              <w:rPr>
                <w:rFonts w:cs="Arial"/>
                <w:bCs/>
                <w:szCs w:val="14"/>
              </w:rPr>
            </w:pPr>
            <w:r>
              <w:rPr>
                <w:rFonts w:cs="Arial"/>
                <w:color w:val="000000"/>
                <w:szCs w:val="14"/>
              </w:rPr>
              <w:t>71,158</w:t>
            </w:r>
          </w:p>
        </w:tc>
        <w:tc>
          <w:tcPr>
            <w:tcW w:w="1240" w:type="dxa"/>
            <w:shd w:val="clear" w:color="auto" w:fill="auto"/>
            <w:vAlign w:val="bottom"/>
          </w:tcPr>
          <w:p w14:paraId="081629D1" w14:textId="77777777" w:rsidR="005357C6" w:rsidRPr="00DA72A7" w:rsidRDefault="005357C6" w:rsidP="00A26497">
            <w:pPr>
              <w:pStyle w:val="08-Tabelageral"/>
              <w:rPr>
                <w:rFonts w:cs="Arial"/>
                <w:bCs/>
                <w:szCs w:val="14"/>
              </w:rPr>
            </w:pPr>
            <w:r>
              <w:rPr>
                <w:rFonts w:cs="Arial"/>
                <w:color w:val="000000"/>
                <w:szCs w:val="14"/>
              </w:rPr>
              <w:t>--</w:t>
            </w:r>
          </w:p>
        </w:tc>
        <w:tc>
          <w:tcPr>
            <w:tcW w:w="1241" w:type="dxa"/>
            <w:shd w:val="clear" w:color="auto" w:fill="auto"/>
            <w:vAlign w:val="bottom"/>
          </w:tcPr>
          <w:p w14:paraId="554EF770" w14:textId="77777777" w:rsidR="005357C6" w:rsidRPr="00DA72A7" w:rsidRDefault="005357C6" w:rsidP="00A26497">
            <w:pPr>
              <w:pStyle w:val="08-Tabelageral"/>
              <w:rPr>
                <w:rFonts w:cs="Arial"/>
                <w:bCs/>
                <w:szCs w:val="14"/>
              </w:rPr>
            </w:pPr>
            <w:r>
              <w:rPr>
                <w:rFonts w:cs="Arial"/>
                <w:color w:val="000000"/>
                <w:szCs w:val="14"/>
              </w:rPr>
              <w:t>53,640</w:t>
            </w:r>
          </w:p>
        </w:tc>
      </w:tr>
      <w:tr w:rsidR="005357C6" w:rsidRPr="00DA72A7" w14:paraId="5FC5C3EB" w14:textId="77777777" w:rsidTr="00D3472F">
        <w:trPr>
          <w:trHeight w:val="238"/>
          <w:jc w:val="center"/>
        </w:trPr>
        <w:tc>
          <w:tcPr>
            <w:tcW w:w="4678" w:type="dxa"/>
            <w:shd w:val="clear" w:color="auto" w:fill="auto"/>
          </w:tcPr>
          <w:p w14:paraId="6D8D9BB8" w14:textId="77777777" w:rsidR="005357C6" w:rsidRPr="00DA72A7" w:rsidRDefault="005357C6" w:rsidP="00A26497">
            <w:pPr>
              <w:pStyle w:val="08-Tabelageral"/>
              <w:jc w:val="left"/>
              <w:rPr>
                <w:rFonts w:cs="Arial"/>
                <w:b/>
                <w:szCs w:val="14"/>
                <w:lang w:val="en-US"/>
              </w:rPr>
            </w:pPr>
            <w:r w:rsidRPr="00DA72A7">
              <w:rPr>
                <w:rFonts w:cs="Arial"/>
                <w:b/>
                <w:szCs w:val="14"/>
                <w:lang w:val="en-US"/>
              </w:rPr>
              <w:t>Income Before Financial Revenue and Expenses</w:t>
            </w:r>
          </w:p>
        </w:tc>
        <w:tc>
          <w:tcPr>
            <w:tcW w:w="1240" w:type="dxa"/>
            <w:shd w:val="clear" w:color="auto" w:fill="auto"/>
            <w:vAlign w:val="bottom"/>
          </w:tcPr>
          <w:p w14:paraId="6C9BCAE4" w14:textId="77777777" w:rsidR="005357C6" w:rsidRPr="00DA72A7" w:rsidRDefault="005357C6" w:rsidP="00A26497">
            <w:pPr>
              <w:pStyle w:val="08-Tabelageral"/>
              <w:rPr>
                <w:rFonts w:cs="Arial"/>
                <w:b/>
                <w:szCs w:val="14"/>
              </w:rPr>
            </w:pPr>
            <w:r>
              <w:rPr>
                <w:rFonts w:cs="Arial"/>
                <w:b/>
                <w:bCs/>
                <w:color w:val="000000"/>
                <w:szCs w:val="14"/>
              </w:rPr>
              <w:t>9,326,828</w:t>
            </w:r>
          </w:p>
        </w:tc>
        <w:tc>
          <w:tcPr>
            <w:tcW w:w="1240" w:type="dxa"/>
            <w:shd w:val="clear" w:color="auto" w:fill="auto"/>
            <w:vAlign w:val="bottom"/>
          </w:tcPr>
          <w:p w14:paraId="2FC38025" w14:textId="77777777" w:rsidR="005357C6" w:rsidRPr="00DA72A7" w:rsidRDefault="005357C6" w:rsidP="00A26497">
            <w:pPr>
              <w:pStyle w:val="08-Tabelageral"/>
              <w:rPr>
                <w:rFonts w:cs="Arial"/>
                <w:b/>
                <w:szCs w:val="14"/>
              </w:rPr>
            </w:pPr>
            <w:r>
              <w:rPr>
                <w:rFonts w:cs="Arial"/>
                <w:b/>
                <w:bCs/>
                <w:color w:val="000000"/>
                <w:szCs w:val="14"/>
              </w:rPr>
              <w:t>3,761,630</w:t>
            </w:r>
          </w:p>
        </w:tc>
        <w:tc>
          <w:tcPr>
            <w:tcW w:w="1240" w:type="dxa"/>
            <w:shd w:val="clear" w:color="auto" w:fill="auto"/>
            <w:vAlign w:val="bottom"/>
          </w:tcPr>
          <w:p w14:paraId="7A17D3E5" w14:textId="77777777" w:rsidR="005357C6" w:rsidRPr="00DA72A7" w:rsidRDefault="005357C6" w:rsidP="00A26497">
            <w:pPr>
              <w:pStyle w:val="08-Tabelageral"/>
              <w:rPr>
                <w:rFonts w:cs="Arial"/>
                <w:b/>
                <w:szCs w:val="14"/>
              </w:rPr>
            </w:pPr>
            <w:r>
              <w:rPr>
                <w:rFonts w:cs="Arial"/>
                <w:b/>
                <w:bCs/>
                <w:color w:val="000000"/>
                <w:szCs w:val="14"/>
              </w:rPr>
              <w:t>(6,042,789)</w:t>
            </w:r>
          </w:p>
        </w:tc>
        <w:tc>
          <w:tcPr>
            <w:tcW w:w="1241" w:type="dxa"/>
            <w:shd w:val="clear" w:color="auto" w:fill="auto"/>
            <w:vAlign w:val="bottom"/>
          </w:tcPr>
          <w:p w14:paraId="7F28EAD4" w14:textId="77777777" w:rsidR="005357C6" w:rsidRPr="00DA72A7" w:rsidRDefault="005357C6" w:rsidP="00A26497">
            <w:pPr>
              <w:pStyle w:val="08-Tabelageral"/>
              <w:rPr>
                <w:rFonts w:cs="Arial"/>
                <w:b/>
                <w:szCs w:val="14"/>
              </w:rPr>
            </w:pPr>
            <w:r>
              <w:rPr>
                <w:rFonts w:cs="Arial"/>
                <w:b/>
                <w:bCs/>
                <w:color w:val="000000"/>
                <w:szCs w:val="14"/>
              </w:rPr>
              <w:t>7,045,669</w:t>
            </w:r>
          </w:p>
        </w:tc>
      </w:tr>
      <w:tr w:rsidR="005357C6" w:rsidRPr="00DA72A7" w14:paraId="78EE38D2" w14:textId="77777777" w:rsidTr="00D3472F">
        <w:trPr>
          <w:trHeight w:val="238"/>
          <w:jc w:val="center"/>
        </w:trPr>
        <w:tc>
          <w:tcPr>
            <w:tcW w:w="4678" w:type="dxa"/>
            <w:shd w:val="clear" w:color="auto" w:fill="auto"/>
          </w:tcPr>
          <w:p w14:paraId="40FA06C8" w14:textId="77777777" w:rsidR="005357C6" w:rsidRPr="00DA72A7" w:rsidRDefault="005357C6" w:rsidP="00A26497">
            <w:pPr>
              <w:pStyle w:val="08-Tabelageral"/>
              <w:jc w:val="left"/>
              <w:rPr>
                <w:rFonts w:cs="Arial"/>
                <w:b/>
                <w:szCs w:val="14"/>
              </w:rPr>
            </w:pPr>
            <w:r w:rsidRPr="00DA72A7">
              <w:rPr>
                <w:rFonts w:cs="Arial"/>
                <w:b/>
                <w:szCs w:val="14"/>
              </w:rPr>
              <w:t>Financial Result</w:t>
            </w:r>
          </w:p>
        </w:tc>
        <w:tc>
          <w:tcPr>
            <w:tcW w:w="1240" w:type="dxa"/>
            <w:shd w:val="clear" w:color="auto" w:fill="auto"/>
            <w:vAlign w:val="bottom"/>
          </w:tcPr>
          <w:p w14:paraId="52E2FC86" w14:textId="77777777" w:rsidR="005357C6" w:rsidRPr="00DA72A7" w:rsidRDefault="005357C6" w:rsidP="00A26497">
            <w:pPr>
              <w:pStyle w:val="08-Tabelageral"/>
              <w:rPr>
                <w:rFonts w:cs="Arial"/>
                <w:b/>
                <w:szCs w:val="14"/>
              </w:rPr>
            </w:pPr>
            <w:r>
              <w:rPr>
                <w:rFonts w:cs="Arial"/>
                <w:b/>
                <w:bCs/>
                <w:color w:val="000000"/>
                <w:szCs w:val="14"/>
              </w:rPr>
              <w:t>137,268</w:t>
            </w:r>
          </w:p>
        </w:tc>
        <w:tc>
          <w:tcPr>
            <w:tcW w:w="1240" w:type="dxa"/>
            <w:shd w:val="clear" w:color="auto" w:fill="auto"/>
            <w:vAlign w:val="bottom"/>
          </w:tcPr>
          <w:p w14:paraId="68FE80A9" w14:textId="77777777" w:rsidR="005357C6" w:rsidRPr="00DA72A7" w:rsidRDefault="005357C6" w:rsidP="00A26497">
            <w:pPr>
              <w:pStyle w:val="08-Tabelageral"/>
              <w:rPr>
                <w:rFonts w:cs="Arial"/>
                <w:b/>
                <w:szCs w:val="14"/>
              </w:rPr>
            </w:pPr>
            <w:r>
              <w:rPr>
                <w:rFonts w:cs="Arial"/>
                <w:b/>
                <w:bCs/>
                <w:color w:val="000000"/>
                <w:szCs w:val="14"/>
              </w:rPr>
              <w:t>365,294</w:t>
            </w:r>
          </w:p>
        </w:tc>
        <w:tc>
          <w:tcPr>
            <w:tcW w:w="1240" w:type="dxa"/>
            <w:shd w:val="clear" w:color="auto" w:fill="auto"/>
            <w:vAlign w:val="bottom"/>
          </w:tcPr>
          <w:p w14:paraId="069AC763" w14:textId="77777777" w:rsidR="005357C6" w:rsidRPr="00DA72A7" w:rsidRDefault="005357C6" w:rsidP="00A26497">
            <w:pPr>
              <w:pStyle w:val="08-Tabelageral"/>
              <w:rPr>
                <w:rFonts w:cs="Arial"/>
                <w:b/>
                <w:szCs w:val="14"/>
              </w:rPr>
            </w:pPr>
            <w:r>
              <w:rPr>
                <w:rFonts w:cs="Arial"/>
                <w:b/>
                <w:bCs/>
                <w:color w:val="000000"/>
                <w:szCs w:val="14"/>
              </w:rPr>
              <w:t>--</w:t>
            </w:r>
          </w:p>
        </w:tc>
        <w:tc>
          <w:tcPr>
            <w:tcW w:w="1241" w:type="dxa"/>
            <w:shd w:val="clear" w:color="auto" w:fill="auto"/>
            <w:vAlign w:val="bottom"/>
          </w:tcPr>
          <w:p w14:paraId="7ADFDB55" w14:textId="77777777" w:rsidR="005357C6" w:rsidRPr="00DA72A7" w:rsidRDefault="005357C6" w:rsidP="00A26497">
            <w:pPr>
              <w:pStyle w:val="08-Tabelageral"/>
              <w:rPr>
                <w:rFonts w:cs="Arial"/>
                <w:b/>
                <w:szCs w:val="14"/>
              </w:rPr>
            </w:pPr>
            <w:r>
              <w:rPr>
                <w:rFonts w:cs="Arial"/>
                <w:b/>
                <w:bCs/>
                <w:color w:val="000000"/>
                <w:szCs w:val="14"/>
              </w:rPr>
              <w:t>502,562</w:t>
            </w:r>
          </w:p>
        </w:tc>
      </w:tr>
      <w:tr w:rsidR="005357C6" w:rsidRPr="00DA72A7" w14:paraId="636AFBC8" w14:textId="77777777" w:rsidTr="00D3472F">
        <w:trPr>
          <w:trHeight w:val="238"/>
          <w:jc w:val="center"/>
        </w:trPr>
        <w:tc>
          <w:tcPr>
            <w:tcW w:w="4678" w:type="dxa"/>
            <w:shd w:val="clear" w:color="auto" w:fill="auto"/>
          </w:tcPr>
          <w:p w14:paraId="6606D4AF" w14:textId="77777777" w:rsidR="005357C6" w:rsidRPr="00DA72A7" w:rsidRDefault="005357C6" w:rsidP="00A26497">
            <w:pPr>
              <w:pStyle w:val="08-Tabelageral"/>
              <w:ind w:left="113"/>
              <w:jc w:val="left"/>
              <w:rPr>
                <w:rFonts w:cs="Arial"/>
                <w:bCs/>
                <w:szCs w:val="14"/>
              </w:rPr>
            </w:pPr>
            <w:r w:rsidRPr="00DA72A7">
              <w:rPr>
                <w:rFonts w:cs="Arial"/>
                <w:bCs/>
                <w:szCs w:val="14"/>
              </w:rPr>
              <w:t>Financial revenue</w:t>
            </w:r>
          </w:p>
        </w:tc>
        <w:tc>
          <w:tcPr>
            <w:tcW w:w="1240" w:type="dxa"/>
            <w:shd w:val="clear" w:color="auto" w:fill="auto"/>
            <w:vAlign w:val="bottom"/>
          </w:tcPr>
          <w:p w14:paraId="2F1A3C48" w14:textId="77777777" w:rsidR="005357C6" w:rsidRPr="00DA72A7" w:rsidRDefault="005357C6" w:rsidP="00A26497">
            <w:pPr>
              <w:pStyle w:val="08-Tabelageral"/>
              <w:rPr>
                <w:rFonts w:cs="Arial"/>
                <w:bCs/>
                <w:szCs w:val="14"/>
              </w:rPr>
            </w:pPr>
            <w:r>
              <w:rPr>
                <w:rFonts w:cs="Arial"/>
                <w:color w:val="000000"/>
                <w:szCs w:val="14"/>
              </w:rPr>
              <w:t>171,585</w:t>
            </w:r>
          </w:p>
        </w:tc>
        <w:tc>
          <w:tcPr>
            <w:tcW w:w="1240" w:type="dxa"/>
            <w:shd w:val="clear" w:color="auto" w:fill="auto"/>
            <w:vAlign w:val="bottom"/>
          </w:tcPr>
          <w:p w14:paraId="1C874F8E" w14:textId="77777777" w:rsidR="005357C6" w:rsidRPr="00DA72A7" w:rsidRDefault="005357C6" w:rsidP="00A26497">
            <w:pPr>
              <w:pStyle w:val="08-Tabelageral"/>
              <w:rPr>
                <w:rFonts w:cs="Arial"/>
                <w:bCs/>
                <w:szCs w:val="14"/>
              </w:rPr>
            </w:pPr>
            <w:r>
              <w:rPr>
                <w:rFonts w:cs="Arial"/>
                <w:color w:val="000000"/>
                <w:szCs w:val="14"/>
              </w:rPr>
              <w:t>382,584</w:t>
            </w:r>
          </w:p>
        </w:tc>
        <w:tc>
          <w:tcPr>
            <w:tcW w:w="1240" w:type="dxa"/>
            <w:shd w:val="clear" w:color="auto" w:fill="auto"/>
            <w:vAlign w:val="bottom"/>
          </w:tcPr>
          <w:p w14:paraId="0E03B34F" w14:textId="77777777" w:rsidR="005357C6" w:rsidRPr="00DA72A7" w:rsidRDefault="005357C6" w:rsidP="00A26497">
            <w:pPr>
              <w:pStyle w:val="08-Tabelageral"/>
              <w:rPr>
                <w:rFonts w:cs="Arial"/>
                <w:bCs/>
                <w:szCs w:val="14"/>
              </w:rPr>
            </w:pPr>
            <w:r>
              <w:rPr>
                <w:rFonts w:cs="Arial"/>
                <w:color w:val="000000"/>
                <w:szCs w:val="14"/>
              </w:rPr>
              <w:t>(22,106)</w:t>
            </w:r>
          </w:p>
        </w:tc>
        <w:tc>
          <w:tcPr>
            <w:tcW w:w="1241" w:type="dxa"/>
            <w:shd w:val="clear" w:color="auto" w:fill="auto"/>
            <w:vAlign w:val="bottom"/>
          </w:tcPr>
          <w:p w14:paraId="3F02A46F" w14:textId="77777777" w:rsidR="005357C6" w:rsidRPr="00DA72A7" w:rsidRDefault="005357C6" w:rsidP="00A26497">
            <w:pPr>
              <w:pStyle w:val="08-Tabelageral"/>
              <w:rPr>
                <w:rFonts w:cs="Arial"/>
                <w:bCs/>
                <w:szCs w:val="14"/>
              </w:rPr>
            </w:pPr>
            <w:r>
              <w:rPr>
                <w:rFonts w:cs="Arial"/>
                <w:color w:val="000000"/>
                <w:szCs w:val="14"/>
              </w:rPr>
              <w:t>532,063</w:t>
            </w:r>
          </w:p>
        </w:tc>
      </w:tr>
      <w:tr w:rsidR="005357C6" w:rsidRPr="00DA72A7" w14:paraId="762F9255" w14:textId="77777777" w:rsidTr="00D3472F">
        <w:trPr>
          <w:trHeight w:val="238"/>
          <w:jc w:val="center"/>
        </w:trPr>
        <w:tc>
          <w:tcPr>
            <w:tcW w:w="4678" w:type="dxa"/>
            <w:shd w:val="clear" w:color="auto" w:fill="auto"/>
          </w:tcPr>
          <w:p w14:paraId="1A4A101C" w14:textId="77777777" w:rsidR="005357C6" w:rsidRPr="00DA72A7" w:rsidRDefault="005357C6" w:rsidP="00A26497">
            <w:pPr>
              <w:pStyle w:val="08-Tabelageral"/>
              <w:ind w:left="113"/>
              <w:jc w:val="left"/>
              <w:rPr>
                <w:rFonts w:cs="Arial"/>
                <w:bCs/>
                <w:szCs w:val="14"/>
              </w:rPr>
            </w:pPr>
            <w:r w:rsidRPr="00DA72A7">
              <w:rPr>
                <w:rFonts w:cs="Arial"/>
                <w:bCs/>
                <w:szCs w:val="14"/>
              </w:rPr>
              <w:t>Financial expenses</w:t>
            </w:r>
          </w:p>
        </w:tc>
        <w:tc>
          <w:tcPr>
            <w:tcW w:w="1240" w:type="dxa"/>
            <w:shd w:val="clear" w:color="auto" w:fill="auto"/>
            <w:vAlign w:val="bottom"/>
          </w:tcPr>
          <w:p w14:paraId="2658BD98" w14:textId="77777777" w:rsidR="005357C6" w:rsidRPr="00DA72A7" w:rsidRDefault="005357C6" w:rsidP="00A26497">
            <w:pPr>
              <w:pStyle w:val="08-Tabelageral"/>
              <w:rPr>
                <w:rFonts w:cs="Arial"/>
                <w:bCs/>
                <w:szCs w:val="14"/>
              </w:rPr>
            </w:pPr>
            <w:r>
              <w:rPr>
                <w:rFonts w:cs="Arial"/>
                <w:color w:val="000000"/>
                <w:szCs w:val="14"/>
              </w:rPr>
              <w:t>(34,317)</w:t>
            </w:r>
          </w:p>
        </w:tc>
        <w:tc>
          <w:tcPr>
            <w:tcW w:w="1240" w:type="dxa"/>
            <w:shd w:val="clear" w:color="auto" w:fill="auto"/>
            <w:vAlign w:val="bottom"/>
          </w:tcPr>
          <w:p w14:paraId="356E2545" w14:textId="77777777" w:rsidR="005357C6" w:rsidRPr="00DA72A7" w:rsidRDefault="005357C6" w:rsidP="00A26497">
            <w:pPr>
              <w:pStyle w:val="08-Tabelageral"/>
              <w:rPr>
                <w:rFonts w:cs="Arial"/>
                <w:bCs/>
                <w:szCs w:val="14"/>
              </w:rPr>
            </w:pPr>
            <w:r>
              <w:rPr>
                <w:rFonts w:cs="Arial"/>
                <w:color w:val="000000"/>
                <w:szCs w:val="14"/>
              </w:rPr>
              <w:t>(17,290)</w:t>
            </w:r>
          </w:p>
        </w:tc>
        <w:tc>
          <w:tcPr>
            <w:tcW w:w="1240" w:type="dxa"/>
            <w:shd w:val="clear" w:color="auto" w:fill="auto"/>
            <w:vAlign w:val="bottom"/>
          </w:tcPr>
          <w:p w14:paraId="5D98929E" w14:textId="77777777" w:rsidR="005357C6" w:rsidRPr="00DA72A7" w:rsidRDefault="005357C6" w:rsidP="00A26497">
            <w:pPr>
              <w:pStyle w:val="08-Tabelageral"/>
              <w:rPr>
                <w:rFonts w:cs="Arial"/>
                <w:bCs/>
                <w:szCs w:val="14"/>
              </w:rPr>
            </w:pPr>
            <w:r>
              <w:rPr>
                <w:rFonts w:cs="Arial"/>
                <w:color w:val="000000"/>
                <w:szCs w:val="14"/>
              </w:rPr>
              <w:t>22,106</w:t>
            </w:r>
          </w:p>
        </w:tc>
        <w:tc>
          <w:tcPr>
            <w:tcW w:w="1241" w:type="dxa"/>
            <w:shd w:val="clear" w:color="auto" w:fill="auto"/>
            <w:vAlign w:val="bottom"/>
          </w:tcPr>
          <w:p w14:paraId="413DAD56" w14:textId="77777777" w:rsidR="005357C6" w:rsidRPr="00DA72A7" w:rsidRDefault="005357C6" w:rsidP="00A26497">
            <w:pPr>
              <w:pStyle w:val="08-Tabelageral"/>
              <w:rPr>
                <w:rFonts w:cs="Arial"/>
                <w:bCs/>
                <w:szCs w:val="14"/>
              </w:rPr>
            </w:pPr>
            <w:r>
              <w:rPr>
                <w:rFonts w:cs="Arial"/>
                <w:color w:val="000000"/>
                <w:szCs w:val="14"/>
              </w:rPr>
              <w:t>(29,501)</w:t>
            </w:r>
          </w:p>
        </w:tc>
      </w:tr>
      <w:tr w:rsidR="005357C6" w:rsidRPr="00DA72A7" w14:paraId="0B453894" w14:textId="77777777" w:rsidTr="00D3472F">
        <w:trPr>
          <w:trHeight w:val="238"/>
          <w:jc w:val="center"/>
        </w:trPr>
        <w:tc>
          <w:tcPr>
            <w:tcW w:w="4678" w:type="dxa"/>
            <w:shd w:val="clear" w:color="auto" w:fill="auto"/>
          </w:tcPr>
          <w:p w14:paraId="1A0DBBC5" w14:textId="77777777" w:rsidR="005357C6" w:rsidRPr="00DA72A7" w:rsidRDefault="005357C6" w:rsidP="00A26497">
            <w:pPr>
              <w:pStyle w:val="08-Tabelageral"/>
              <w:jc w:val="left"/>
              <w:rPr>
                <w:rFonts w:cs="Arial"/>
                <w:b/>
                <w:szCs w:val="14"/>
                <w:lang w:val="en-US"/>
              </w:rPr>
            </w:pPr>
            <w:r w:rsidRPr="00DA72A7">
              <w:rPr>
                <w:rFonts w:cs="Arial"/>
                <w:b/>
                <w:szCs w:val="14"/>
                <w:lang w:val="en-US"/>
              </w:rPr>
              <w:t>Income Before Taxes and Equities</w:t>
            </w:r>
          </w:p>
        </w:tc>
        <w:tc>
          <w:tcPr>
            <w:tcW w:w="1240" w:type="dxa"/>
            <w:shd w:val="clear" w:color="auto" w:fill="auto"/>
            <w:vAlign w:val="bottom"/>
          </w:tcPr>
          <w:p w14:paraId="1BE935D5" w14:textId="77777777" w:rsidR="005357C6" w:rsidRPr="00DA72A7" w:rsidRDefault="005357C6" w:rsidP="00A26497">
            <w:pPr>
              <w:pStyle w:val="08-Tabelageral"/>
              <w:rPr>
                <w:rFonts w:cs="Arial"/>
                <w:b/>
                <w:szCs w:val="14"/>
              </w:rPr>
            </w:pPr>
            <w:r>
              <w:rPr>
                <w:rFonts w:cs="Arial"/>
                <w:b/>
                <w:bCs/>
                <w:color w:val="000000"/>
                <w:szCs w:val="14"/>
              </w:rPr>
              <w:t>9,464,096</w:t>
            </w:r>
          </w:p>
        </w:tc>
        <w:tc>
          <w:tcPr>
            <w:tcW w:w="1240" w:type="dxa"/>
            <w:shd w:val="clear" w:color="auto" w:fill="auto"/>
            <w:vAlign w:val="bottom"/>
          </w:tcPr>
          <w:p w14:paraId="5CC2E7DF" w14:textId="77777777" w:rsidR="005357C6" w:rsidRPr="00DA72A7" w:rsidRDefault="005357C6" w:rsidP="00A26497">
            <w:pPr>
              <w:pStyle w:val="08-Tabelageral"/>
              <w:rPr>
                <w:rFonts w:cs="Arial"/>
                <w:b/>
                <w:szCs w:val="14"/>
              </w:rPr>
            </w:pPr>
            <w:r>
              <w:rPr>
                <w:rFonts w:cs="Arial"/>
                <w:b/>
                <w:bCs/>
                <w:color w:val="000000"/>
                <w:szCs w:val="14"/>
              </w:rPr>
              <w:t>4,126,924</w:t>
            </w:r>
          </w:p>
        </w:tc>
        <w:tc>
          <w:tcPr>
            <w:tcW w:w="1240" w:type="dxa"/>
            <w:shd w:val="clear" w:color="auto" w:fill="auto"/>
            <w:vAlign w:val="bottom"/>
          </w:tcPr>
          <w:p w14:paraId="3C463865" w14:textId="77777777" w:rsidR="005357C6" w:rsidRPr="00DA72A7" w:rsidRDefault="005357C6" w:rsidP="00A26497">
            <w:pPr>
              <w:pStyle w:val="08-Tabelageral"/>
              <w:rPr>
                <w:rFonts w:cs="Arial"/>
                <w:b/>
                <w:szCs w:val="14"/>
              </w:rPr>
            </w:pPr>
            <w:r>
              <w:rPr>
                <w:rFonts w:cs="Arial"/>
                <w:b/>
                <w:bCs/>
                <w:color w:val="000000"/>
                <w:szCs w:val="14"/>
              </w:rPr>
              <w:t>(6,042,789)</w:t>
            </w:r>
          </w:p>
        </w:tc>
        <w:tc>
          <w:tcPr>
            <w:tcW w:w="1241" w:type="dxa"/>
            <w:shd w:val="clear" w:color="auto" w:fill="auto"/>
            <w:vAlign w:val="bottom"/>
          </w:tcPr>
          <w:p w14:paraId="6CEE411F" w14:textId="77777777" w:rsidR="005357C6" w:rsidRPr="00DA72A7" w:rsidRDefault="005357C6" w:rsidP="00A26497">
            <w:pPr>
              <w:pStyle w:val="08-Tabelageral"/>
              <w:rPr>
                <w:rFonts w:cs="Arial"/>
                <w:b/>
                <w:szCs w:val="14"/>
              </w:rPr>
            </w:pPr>
            <w:r>
              <w:rPr>
                <w:rFonts w:cs="Arial"/>
                <w:b/>
                <w:bCs/>
                <w:color w:val="000000"/>
                <w:szCs w:val="14"/>
              </w:rPr>
              <w:t>7,548,231</w:t>
            </w:r>
          </w:p>
        </w:tc>
      </w:tr>
      <w:tr w:rsidR="005357C6" w:rsidRPr="00DA72A7" w14:paraId="3FB604DE" w14:textId="77777777" w:rsidTr="00D3472F">
        <w:trPr>
          <w:trHeight w:val="238"/>
          <w:jc w:val="center"/>
        </w:trPr>
        <w:tc>
          <w:tcPr>
            <w:tcW w:w="4678" w:type="dxa"/>
            <w:shd w:val="clear" w:color="auto" w:fill="auto"/>
          </w:tcPr>
          <w:p w14:paraId="7998320C" w14:textId="77777777" w:rsidR="005357C6" w:rsidRPr="00647C8D" w:rsidRDefault="005357C6" w:rsidP="00A26497">
            <w:pPr>
              <w:pStyle w:val="08-Tabelageral"/>
              <w:ind w:left="113"/>
              <w:jc w:val="left"/>
              <w:rPr>
                <w:rFonts w:cs="Arial"/>
                <w:bCs/>
                <w:szCs w:val="14"/>
                <w:lang w:val="en-US"/>
              </w:rPr>
            </w:pPr>
            <w:r w:rsidRPr="00647C8D">
              <w:rPr>
                <w:rFonts w:cs="Arial"/>
                <w:bCs/>
                <w:szCs w:val="14"/>
                <w:lang w:val="en-US"/>
              </w:rPr>
              <w:t>Income Tax and Social Contribution</w:t>
            </w:r>
          </w:p>
        </w:tc>
        <w:tc>
          <w:tcPr>
            <w:tcW w:w="1240" w:type="dxa"/>
            <w:shd w:val="clear" w:color="auto" w:fill="auto"/>
            <w:vAlign w:val="bottom"/>
          </w:tcPr>
          <w:p w14:paraId="5EC4DD9C" w14:textId="77777777" w:rsidR="005357C6" w:rsidRPr="00BE238B" w:rsidRDefault="005357C6" w:rsidP="00A26497">
            <w:pPr>
              <w:pStyle w:val="08-Tabelageral"/>
              <w:ind w:left="113"/>
              <w:rPr>
                <w:rFonts w:cs="Arial"/>
                <w:bCs/>
                <w:szCs w:val="14"/>
              </w:rPr>
            </w:pPr>
            <w:r>
              <w:rPr>
                <w:rFonts w:cs="Arial"/>
                <w:color w:val="000000"/>
                <w:szCs w:val="14"/>
              </w:rPr>
              <w:t>(106,214)</w:t>
            </w:r>
          </w:p>
        </w:tc>
        <w:tc>
          <w:tcPr>
            <w:tcW w:w="1240" w:type="dxa"/>
            <w:shd w:val="clear" w:color="auto" w:fill="auto"/>
            <w:vAlign w:val="bottom"/>
          </w:tcPr>
          <w:p w14:paraId="41768F33" w14:textId="77777777" w:rsidR="005357C6" w:rsidRPr="00BE238B" w:rsidRDefault="005357C6" w:rsidP="00A26497">
            <w:pPr>
              <w:pStyle w:val="08-Tabelageral"/>
              <w:ind w:left="113"/>
              <w:rPr>
                <w:rFonts w:cs="Arial"/>
                <w:bCs/>
                <w:szCs w:val="14"/>
              </w:rPr>
            </w:pPr>
            <w:r>
              <w:rPr>
                <w:rFonts w:cs="Arial"/>
                <w:color w:val="000000"/>
                <w:szCs w:val="14"/>
              </w:rPr>
              <w:t>(1,397,446)</w:t>
            </w:r>
          </w:p>
        </w:tc>
        <w:tc>
          <w:tcPr>
            <w:tcW w:w="1240" w:type="dxa"/>
            <w:shd w:val="clear" w:color="auto" w:fill="auto"/>
            <w:vAlign w:val="bottom"/>
          </w:tcPr>
          <w:p w14:paraId="7C607615" w14:textId="77777777" w:rsidR="005357C6" w:rsidRPr="00BE238B" w:rsidRDefault="005357C6" w:rsidP="00A26497">
            <w:pPr>
              <w:pStyle w:val="08-Tabelageral"/>
              <w:ind w:left="113"/>
              <w:rPr>
                <w:rFonts w:cs="Arial"/>
                <w:bCs/>
                <w:szCs w:val="14"/>
              </w:rPr>
            </w:pPr>
            <w:r>
              <w:rPr>
                <w:rFonts w:cs="Arial"/>
                <w:color w:val="000000"/>
                <w:szCs w:val="14"/>
              </w:rPr>
              <w:t>--</w:t>
            </w:r>
          </w:p>
        </w:tc>
        <w:tc>
          <w:tcPr>
            <w:tcW w:w="1241" w:type="dxa"/>
            <w:shd w:val="clear" w:color="auto" w:fill="auto"/>
            <w:vAlign w:val="bottom"/>
          </w:tcPr>
          <w:p w14:paraId="1B9F0CAD" w14:textId="77777777" w:rsidR="005357C6" w:rsidRPr="00BE238B" w:rsidRDefault="005357C6" w:rsidP="00A26497">
            <w:pPr>
              <w:pStyle w:val="08-Tabelageral"/>
              <w:ind w:left="113"/>
              <w:rPr>
                <w:rFonts w:cs="Arial"/>
                <w:bCs/>
                <w:szCs w:val="14"/>
              </w:rPr>
            </w:pPr>
            <w:r>
              <w:rPr>
                <w:rFonts w:cs="Arial"/>
                <w:color w:val="000000"/>
                <w:szCs w:val="14"/>
              </w:rPr>
              <w:t>(1,503,660)</w:t>
            </w:r>
          </w:p>
        </w:tc>
      </w:tr>
      <w:tr w:rsidR="005357C6" w:rsidRPr="00DA72A7" w14:paraId="4BF8ADF5" w14:textId="77777777" w:rsidTr="00D3472F">
        <w:trPr>
          <w:trHeight w:val="238"/>
          <w:jc w:val="center"/>
        </w:trPr>
        <w:tc>
          <w:tcPr>
            <w:tcW w:w="4678" w:type="dxa"/>
            <w:tcBorders>
              <w:bottom w:val="single" w:sz="2" w:space="0" w:color="1F4E79" w:themeColor="accent1" w:themeShade="80"/>
            </w:tcBorders>
            <w:shd w:val="clear" w:color="auto" w:fill="auto"/>
          </w:tcPr>
          <w:p w14:paraId="44E57F15" w14:textId="77777777" w:rsidR="005357C6" w:rsidRPr="00DA72A7" w:rsidRDefault="005357C6" w:rsidP="00A26497">
            <w:pPr>
              <w:pStyle w:val="08-Tabelageral"/>
              <w:jc w:val="left"/>
              <w:rPr>
                <w:rFonts w:cs="Arial"/>
                <w:b/>
                <w:szCs w:val="14"/>
                <w:lang w:val="en-US"/>
              </w:rPr>
            </w:pPr>
            <w:r w:rsidRPr="00DA72A7">
              <w:rPr>
                <w:rFonts w:cs="Arial"/>
                <w:b/>
                <w:szCs w:val="14"/>
                <w:lang w:val="en-US"/>
              </w:rPr>
              <w:t>Net Income</w:t>
            </w:r>
          </w:p>
        </w:tc>
        <w:tc>
          <w:tcPr>
            <w:tcW w:w="1240" w:type="dxa"/>
            <w:tcBorders>
              <w:bottom w:val="single" w:sz="2" w:space="0" w:color="1F4E79" w:themeColor="accent1" w:themeShade="80"/>
            </w:tcBorders>
            <w:shd w:val="clear" w:color="auto" w:fill="auto"/>
            <w:vAlign w:val="bottom"/>
          </w:tcPr>
          <w:p w14:paraId="33491894" w14:textId="77777777" w:rsidR="005357C6" w:rsidRPr="00DA72A7" w:rsidRDefault="005357C6" w:rsidP="00A26497">
            <w:pPr>
              <w:pStyle w:val="08-Tabelageral"/>
              <w:rPr>
                <w:rFonts w:cs="Arial"/>
                <w:b/>
                <w:szCs w:val="14"/>
              </w:rPr>
            </w:pPr>
            <w:r>
              <w:rPr>
                <w:rFonts w:cs="Arial"/>
                <w:b/>
                <w:bCs/>
                <w:color w:val="000000"/>
                <w:szCs w:val="14"/>
              </w:rPr>
              <w:t>9,357,882</w:t>
            </w:r>
          </w:p>
        </w:tc>
        <w:tc>
          <w:tcPr>
            <w:tcW w:w="1240" w:type="dxa"/>
            <w:tcBorders>
              <w:bottom w:val="single" w:sz="2" w:space="0" w:color="1F4E79" w:themeColor="accent1" w:themeShade="80"/>
            </w:tcBorders>
            <w:shd w:val="clear" w:color="auto" w:fill="auto"/>
            <w:vAlign w:val="bottom"/>
          </w:tcPr>
          <w:p w14:paraId="1640B857" w14:textId="77777777" w:rsidR="005357C6" w:rsidRPr="00DA72A7" w:rsidRDefault="005357C6" w:rsidP="00A26497">
            <w:pPr>
              <w:pStyle w:val="08-Tabelageral"/>
              <w:rPr>
                <w:rFonts w:cs="Arial"/>
                <w:b/>
                <w:szCs w:val="14"/>
              </w:rPr>
            </w:pPr>
            <w:r>
              <w:rPr>
                <w:rFonts w:cs="Arial"/>
                <w:b/>
                <w:bCs/>
                <w:color w:val="000000"/>
                <w:szCs w:val="14"/>
              </w:rPr>
              <w:t>2,729,478</w:t>
            </w:r>
          </w:p>
        </w:tc>
        <w:tc>
          <w:tcPr>
            <w:tcW w:w="1240" w:type="dxa"/>
            <w:tcBorders>
              <w:bottom w:val="single" w:sz="2" w:space="0" w:color="1F4E79" w:themeColor="accent1" w:themeShade="80"/>
            </w:tcBorders>
            <w:shd w:val="clear" w:color="auto" w:fill="auto"/>
            <w:vAlign w:val="bottom"/>
          </w:tcPr>
          <w:p w14:paraId="4BEC9B86" w14:textId="77777777" w:rsidR="005357C6" w:rsidRPr="00DA72A7" w:rsidRDefault="005357C6" w:rsidP="00A26497">
            <w:pPr>
              <w:pStyle w:val="08-Tabelageral"/>
              <w:rPr>
                <w:rFonts w:cs="Arial"/>
                <w:b/>
                <w:szCs w:val="14"/>
              </w:rPr>
            </w:pPr>
            <w:r>
              <w:rPr>
                <w:rFonts w:cs="Arial"/>
                <w:b/>
                <w:bCs/>
                <w:color w:val="000000"/>
                <w:szCs w:val="14"/>
              </w:rPr>
              <w:t>(6,042,789)</w:t>
            </w:r>
          </w:p>
        </w:tc>
        <w:tc>
          <w:tcPr>
            <w:tcW w:w="1241" w:type="dxa"/>
            <w:tcBorders>
              <w:bottom w:val="single" w:sz="2" w:space="0" w:color="1F4E79" w:themeColor="accent1" w:themeShade="80"/>
            </w:tcBorders>
            <w:shd w:val="clear" w:color="auto" w:fill="auto"/>
            <w:vAlign w:val="bottom"/>
          </w:tcPr>
          <w:p w14:paraId="4F174D2E" w14:textId="77777777" w:rsidR="005357C6" w:rsidRPr="00DA72A7" w:rsidRDefault="005357C6" w:rsidP="00A26497">
            <w:pPr>
              <w:pStyle w:val="08-Tabelageral"/>
              <w:rPr>
                <w:rFonts w:cs="Arial"/>
                <w:b/>
                <w:szCs w:val="14"/>
              </w:rPr>
            </w:pPr>
            <w:r>
              <w:rPr>
                <w:rFonts w:cs="Arial"/>
                <w:b/>
                <w:bCs/>
                <w:color w:val="000000"/>
                <w:szCs w:val="14"/>
              </w:rPr>
              <w:t>6,044,571</w:t>
            </w:r>
          </w:p>
        </w:tc>
      </w:tr>
    </w:tbl>
    <w:p w14:paraId="1E367E73" w14:textId="77777777" w:rsidR="005357C6" w:rsidRPr="00C7533E" w:rsidRDefault="005357C6" w:rsidP="00F2071B">
      <w:pPr>
        <w:spacing w:after="0" w:line="240" w:lineRule="auto"/>
        <w:rPr>
          <w:rFonts w:cs="Arial"/>
          <w:b/>
          <w:color w:val="1F4E79" w:themeColor="accent1" w:themeShade="80"/>
          <w:szCs w:val="18"/>
          <w:lang w:val="en-US"/>
        </w:rPr>
      </w:pPr>
    </w:p>
    <w:p w14:paraId="2B9DD194" w14:textId="77777777" w:rsidR="005357C6" w:rsidRDefault="005357C6" w:rsidP="00F2071B">
      <w:pPr>
        <w:spacing w:after="0" w:line="240" w:lineRule="auto"/>
        <w:rPr>
          <w:rFonts w:cs="Arial"/>
          <w:b/>
          <w:color w:val="1F4E79" w:themeColor="accent1" w:themeShade="80"/>
          <w:szCs w:val="18"/>
          <w:lang w:val="en-US"/>
        </w:rPr>
      </w:pPr>
    </w:p>
    <w:p w14:paraId="57F03494" w14:textId="77777777" w:rsidR="005357C6" w:rsidRPr="008D3175" w:rsidRDefault="005357C6" w:rsidP="00FC4475">
      <w:pPr>
        <w:keepNext/>
        <w:keepLines/>
        <w:spacing w:after="0"/>
        <w:jc w:val="right"/>
        <w:rPr>
          <w:rFonts w:cs="Arial"/>
          <w:b/>
          <w:sz w:val="14"/>
          <w:szCs w:val="18"/>
        </w:rPr>
      </w:pPr>
      <w:r w:rsidRPr="008D3175">
        <w:rPr>
          <w:rFonts w:cs="Arial"/>
          <w:b/>
          <w:sz w:val="14"/>
          <w:szCs w:val="18"/>
        </w:rPr>
        <w:t xml:space="preserve">R$ </w:t>
      </w:r>
      <w:r w:rsidRPr="000252B8">
        <w:rPr>
          <w:rFonts w:cs="Arial"/>
          <w:b/>
          <w:sz w:val="14"/>
          <w:szCs w:val="18"/>
        </w:rPr>
        <w:t>thousand</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4678"/>
        <w:gridCol w:w="1240"/>
        <w:gridCol w:w="1240"/>
        <w:gridCol w:w="1240"/>
        <w:gridCol w:w="1241"/>
      </w:tblGrid>
      <w:tr w:rsidR="005357C6" w:rsidRPr="0093755D" w14:paraId="29A548D1" w14:textId="77777777" w:rsidTr="00D3472F">
        <w:trPr>
          <w:trHeight w:val="238"/>
          <w:jc w:val="center"/>
        </w:trPr>
        <w:tc>
          <w:tcPr>
            <w:tcW w:w="4678" w:type="dxa"/>
            <w:tcBorders>
              <w:top w:val="single" w:sz="2" w:space="0" w:color="1F4E79" w:themeColor="accent1" w:themeShade="80"/>
              <w:bottom w:val="nil"/>
            </w:tcBorders>
            <w:shd w:val="clear" w:color="auto" w:fill="auto"/>
          </w:tcPr>
          <w:p w14:paraId="351DFA84" w14:textId="77777777" w:rsidR="005357C6" w:rsidRPr="0093755D" w:rsidRDefault="005357C6" w:rsidP="00437BE3">
            <w:pPr>
              <w:spacing w:after="0"/>
              <w:jc w:val="center"/>
              <w:rPr>
                <w:rFonts w:cs="Arial"/>
                <w:b/>
                <w:sz w:val="14"/>
                <w:szCs w:val="14"/>
              </w:rPr>
            </w:pPr>
          </w:p>
        </w:tc>
        <w:tc>
          <w:tcPr>
            <w:tcW w:w="4961" w:type="dxa"/>
            <w:gridSpan w:val="4"/>
            <w:tcBorders>
              <w:top w:val="single" w:sz="2" w:space="0" w:color="1F4E79" w:themeColor="accent1" w:themeShade="80"/>
              <w:bottom w:val="single" w:sz="2" w:space="0" w:color="1F4E79" w:themeColor="accent1" w:themeShade="80"/>
            </w:tcBorders>
            <w:shd w:val="clear" w:color="auto" w:fill="auto"/>
            <w:vAlign w:val="center"/>
          </w:tcPr>
          <w:p w14:paraId="5A20713E" w14:textId="77777777" w:rsidR="005357C6" w:rsidRPr="0093755D" w:rsidRDefault="005357C6" w:rsidP="00437BE3">
            <w:pPr>
              <w:spacing w:after="0"/>
              <w:jc w:val="center"/>
              <w:rPr>
                <w:rFonts w:cs="Arial"/>
                <w:b/>
                <w:sz w:val="14"/>
                <w:szCs w:val="14"/>
              </w:rPr>
            </w:pPr>
            <w:r>
              <w:rPr>
                <w:rFonts w:cs="Arial"/>
                <w:b/>
                <w:sz w:val="14"/>
                <w:szCs w:val="14"/>
              </w:rPr>
              <w:t>2021</w:t>
            </w:r>
          </w:p>
        </w:tc>
      </w:tr>
      <w:tr w:rsidR="005357C6" w:rsidRPr="0093755D" w14:paraId="2106C491" w14:textId="77777777" w:rsidTr="00D3472F">
        <w:trPr>
          <w:trHeight w:val="238"/>
          <w:jc w:val="center"/>
        </w:trPr>
        <w:tc>
          <w:tcPr>
            <w:tcW w:w="4678" w:type="dxa"/>
            <w:tcBorders>
              <w:top w:val="nil"/>
              <w:bottom w:val="single" w:sz="2" w:space="0" w:color="1F4E79" w:themeColor="accent1" w:themeShade="80"/>
            </w:tcBorders>
            <w:shd w:val="clear" w:color="auto" w:fill="auto"/>
          </w:tcPr>
          <w:p w14:paraId="44E745FA" w14:textId="77777777" w:rsidR="005357C6" w:rsidRPr="0093755D" w:rsidRDefault="005357C6" w:rsidP="00437BE3">
            <w:pPr>
              <w:pStyle w:val="08-Tabelageral"/>
              <w:jc w:val="left"/>
              <w:rPr>
                <w:rFonts w:cs="Arial"/>
                <w:b/>
                <w:szCs w:val="14"/>
              </w:rPr>
            </w:pP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77746FAB" w14:textId="77777777" w:rsidR="005357C6" w:rsidRPr="0093755D" w:rsidRDefault="005357C6" w:rsidP="00437BE3">
            <w:pPr>
              <w:pStyle w:val="08-Tabelageral"/>
              <w:jc w:val="center"/>
              <w:rPr>
                <w:rFonts w:cs="Arial"/>
                <w:b/>
                <w:szCs w:val="14"/>
              </w:rPr>
            </w:pPr>
            <w:r w:rsidRPr="0093755D">
              <w:rPr>
                <w:rFonts w:cs="Arial"/>
                <w:b/>
                <w:szCs w:val="14"/>
              </w:rPr>
              <w:t>Insurance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48ECE9E2" w14:textId="77777777" w:rsidR="005357C6" w:rsidRPr="0093755D" w:rsidRDefault="005357C6" w:rsidP="00437BE3">
            <w:pPr>
              <w:pStyle w:val="08-Tabelageral"/>
              <w:jc w:val="center"/>
              <w:rPr>
                <w:rFonts w:cs="Arial"/>
                <w:b/>
                <w:szCs w:val="14"/>
              </w:rPr>
            </w:pPr>
            <w:r w:rsidRPr="0093755D">
              <w:rPr>
                <w:rFonts w:cs="Arial"/>
                <w:b/>
                <w:szCs w:val="14"/>
              </w:rPr>
              <w:t>Brokerage</w:t>
            </w:r>
          </w:p>
        </w:tc>
        <w:tc>
          <w:tcPr>
            <w:tcW w:w="1240" w:type="dxa"/>
            <w:tcBorders>
              <w:top w:val="single" w:sz="2" w:space="0" w:color="1F4E79" w:themeColor="accent1" w:themeShade="80"/>
              <w:bottom w:val="single" w:sz="2" w:space="0" w:color="1F4E79" w:themeColor="accent1" w:themeShade="80"/>
            </w:tcBorders>
            <w:shd w:val="clear" w:color="auto" w:fill="auto"/>
            <w:vAlign w:val="center"/>
          </w:tcPr>
          <w:p w14:paraId="43D55932" w14:textId="77777777" w:rsidR="005357C6" w:rsidRPr="0093755D" w:rsidRDefault="005357C6" w:rsidP="00437BE3">
            <w:pPr>
              <w:pStyle w:val="08-Tabelageral"/>
              <w:jc w:val="center"/>
              <w:rPr>
                <w:rFonts w:cs="Arial"/>
                <w:b/>
                <w:szCs w:val="14"/>
              </w:rPr>
            </w:pPr>
            <w:r w:rsidRPr="0093755D">
              <w:rPr>
                <w:rFonts w:cs="Arial"/>
                <w:b/>
                <w:szCs w:val="14"/>
              </w:rPr>
              <w:t>Intersegment transactions</w:t>
            </w:r>
          </w:p>
        </w:tc>
        <w:tc>
          <w:tcPr>
            <w:tcW w:w="1241" w:type="dxa"/>
            <w:tcBorders>
              <w:top w:val="single" w:sz="2" w:space="0" w:color="1F4E79" w:themeColor="accent1" w:themeShade="80"/>
              <w:bottom w:val="single" w:sz="2" w:space="0" w:color="1F4E79" w:themeColor="accent1" w:themeShade="80"/>
            </w:tcBorders>
            <w:shd w:val="clear" w:color="auto" w:fill="auto"/>
            <w:vAlign w:val="center"/>
          </w:tcPr>
          <w:p w14:paraId="6ACBA1B0" w14:textId="77777777" w:rsidR="005357C6" w:rsidRPr="0093755D" w:rsidRDefault="005357C6" w:rsidP="00437BE3">
            <w:pPr>
              <w:pStyle w:val="08-Tabelageral"/>
              <w:jc w:val="center"/>
              <w:rPr>
                <w:rFonts w:cs="Arial"/>
                <w:b/>
                <w:szCs w:val="14"/>
              </w:rPr>
            </w:pPr>
            <w:r w:rsidRPr="0093755D">
              <w:rPr>
                <w:rFonts w:cs="Arial"/>
                <w:b/>
                <w:szCs w:val="14"/>
              </w:rPr>
              <w:t>Total</w:t>
            </w:r>
          </w:p>
        </w:tc>
      </w:tr>
      <w:tr w:rsidR="005357C6" w:rsidRPr="0093755D" w14:paraId="22AFFC9F" w14:textId="77777777" w:rsidTr="00D3472F">
        <w:trPr>
          <w:trHeight w:val="238"/>
          <w:jc w:val="center"/>
        </w:trPr>
        <w:tc>
          <w:tcPr>
            <w:tcW w:w="4678" w:type="dxa"/>
            <w:tcBorders>
              <w:top w:val="single" w:sz="2" w:space="0" w:color="1F4E79" w:themeColor="accent1" w:themeShade="80"/>
            </w:tcBorders>
            <w:shd w:val="clear" w:color="auto" w:fill="auto"/>
          </w:tcPr>
          <w:p w14:paraId="1BAFAA3F" w14:textId="77777777" w:rsidR="005357C6" w:rsidRPr="0093755D" w:rsidRDefault="005357C6" w:rsidP="00A26497">
            <w:pPr>
              <w:pStyle w:val="08-Tabelageral"/>
              <w:jc w:val="left"/>
              <w:rPr>
                <w:rFonts w:cs="Arial"/>
                <w:b/>
                <w:bCs/>
                <w:szCs w:val="14"/>
              </w:rPr>
            </w:pPr>
            <w:r w:rsidRPr="0093755D">
              <w:rPr>
                <w:rFonts w:cs="Arial"/>
                <w:b/>
                <w:szCs w:val="14"/>
              </w:rPr>
              <w:t>Operating Income</w:t>
            </w:r>
          </w:p>
        </w:tc>
        <w:tc>
          <w:tcPr>
            <w:tcW w:w="1240" w:type="dxa"/>
            <w:tcBorders>
              <w:top w:val="single" w:sz="2" w:space="0" w:color="1F4E79" w:themeColor="accent1" w:themeShade="80"/>
            </w:tcBorders>
            <w:shd w:val="clear" w:color="auto" w:fill="auto"/>
          </w:tcPr>
          <w:p w14:paraId="3D22F5E0" w14:textId="77777777" w:rsidR="005357C6" w:rsidRPr="0093755D" w:rsidRDefault="005357C6" w:rsidP="00A26497">
            <w:pPr>
              <w:pStyle w:val="08-Tabelageral"/>
              <w:rPr>
                <w:rFonts w:cs="Arial"/>
                <w:b/>
                <w:szCs w:val="14"/>
              </w:rPr>
            </w:pPr>
            <w:r w:rsidRPr="00426139">
              <w:rPr>
                <w:b/>
                <w:bCs/>
              </w:rPr>
              <w:t>5</w:t>
            </w:r>
            <w:r>
              <w:rPr>
                <w:b/>
                <w:bCs/>
              </w:rPr>
              <w:t>,</w:t>
            </w:r>
            <w:r w:rsidRPr="00426139">
              <w:rPr>
                <w:b/>
                <w:bCs/>
              </w:rPr>
              <w:t>766</w:t>
            </w:r>
            <w:r>
              <w:rPr>
                <w:b/>
                <w:bCs/>
              </w:rPr>
              <w:t>,</w:t>
            </w:r>
            <w:r w:rsidRPr="00426139">
              <w:rPr>
                <w:b/>
                <w:bCs/>
              </w:rPr>
              <w:t>581</w:t>
            </w:r>
          </w:p>
        </w:tc>
        <w:tc>
          <w:tcPr>
            <w:tcW w:w="1240" w:type="dxa"/>
            <w:tcBorders>
              <w:top w:val="single" w:sz="2" w:space="0" w:color="1F4E79" w:themeColor="accent1" w:themeShade="80"/>
            </w:tcBorders>
            <w:shd w:val="clear" w:color="auto" w:fill="auto"/>
          </w:tcPr>
          <w:p w14:paraId="013F54B1" w14:textId="77777777" w:rsidR="005357C6" w:rsidRPr="0093755D" w:rsidRDefault="005357C6" w:rsidP="00A26497">
            <w:pPr>
              <w:pStyle w:val="08-Tabelageral"/>
              <w:rPr>
                <w:rFonts w:cs="Arial"/>
                <w:b/>
                <w:szCs w:val="14"/>
              </w:rPr>
            </w:pPr>
            <w:r w:rsidRPr="00426139">
              <w:rPr>
                <w:b/>
                <w:bCs/>
              </w:rPr>
              <w:t>3</w:t>
            </w:r>
            <w:r>
              <w:rPr>
                <w:b/>
                <w:bCs/>
              </w:rPr>
              <w:t>,</w:t>
            </w:r>
            <w:r w:rsidRPr="00426139">
              <w:rPr>
                <w:b/>
                <w:bCs/>
              </w:rPr>
              <w:t>482</w:t>
            </w:r>
            <w:r>
              <w:rPr>
                <w:b/>
                <w:bCs/>
              </w:rPr>
              <w:t>,</w:t>
            </w:r>
            <w:r w:rsidRPr="00426139">
              <w:rPr>
                <w:b/>
                <w:bCs/>
              </w:rPr>
              <w:t>953</w:t>
            </w:r>
          </w:p>
        </w:tc>
        <w:tc>
          <w:tcPr>
            <w:tcW w:w="1240" w:type="dxa"/>
            <w:tcBorders>
              <w:top w:val="single" w:sz="2" w:space="0" w:color="1F4E79" w:themeColor="accent1" w:themeShade="80"/>
            </w:tcBorders>
            <w:shd w:val="clear" w:color="auto" w:fill="auto"/>
          </w:tcPr>
          <w:p w14:paraId="75A0B442" w14:textId="77777777" w:rsidR="005357C6" w:rsidRPr="0093755D" w:rsidRDefault="005357C6" w:rsidP="00A26497">
            <w:pPr>
              <w:pStyle w:val="08-Tabelageral"/>
              <w:rPr>
                <w:rFonts w:cs="Arial"/>
                <w:b/>
                <w:szCs w:val="14"/>
              </w:rPr>
            </w:pPr>
            <w:r w:rsidRPr="00426139">
              <w:rPr>
                <w:b/>
                <w:bCs/>
              </w:rPr>
              <w:t>(3</w:t>
            </w:r>
            <w:r>
              <w:rPr>
                <w:b/>
                <w:bCs/>
              </w:rPr>
              <w:t>,</w:t>
            </w:r>
            <w:r w:rsidRPr="00426139">
              <w:rPr>
                <w:b/>
                <w:bCs/>
              </w:rPr>
              <w:t>923</w:t>
            </w:r>
            <w:r>
              <w:rPr>
                <w:b/>
                <w:bCs/>
              </w:rPr>
              <w:t>,</w:t>
            </w:r>
            <w:r w:rsidRPr="00426139">
              <w:rPr>
                <w:b/>
                <w:bCs/>
              </w:rPr>
              <w:t>593)</w:t>
            </w:r>
          </w:p>
        </w:tc>
        <w:tc>
          <w:tcPr>
            <w:tcW w:w="1241" w:type="dxa"/>
            <w:tcBorders>
              <w:top w:val="single" w:sz="2" w:space="0" w:color="1F4E79" w:themeColor="accent1" w:themeShade="80"/>
            </w:tcBorders>
            <w:shd w:val="clear" w:color="auto" w:fill="auto"/>
          </w:tcPr>
          <w:p w14:paraId="31303D64" w14:textId="77777777" w:rsidR="005357C6" w:rsidRPr="0093755D" w:rsidRDefault="005357C6" w:rsidP="00A26497">
            <w:pPr>
              <w:pStyle w:val="08-Tabelageral"/>
              <w:rPr>
                <w:rFonts w:cs="Arial"/>
                <w:b/>
                <w:szCs w:val="14"/>
              </w:rPr>
            </w:pPr>
            <w:r w:rsidRPr="00426139">
              <w:rPr>
                <w:b/>
                <w:bCs/>
              </w:rPr>
              <w:t>5</w:t>
            </w:r>
            <w:r>
              <w:rPr>
                <w:b/>
                <w:bCs/>
              </w:rPr>
              <w:t>,</w:t>
            </w:r>
            <w:r w:rsidRPr="00426139">
              <w:rPr>
                <w:b/>
                <w:bCs/>
              </w:rPr>
              <w:t>325</w:t>
            </w:r>
            <w:r>
              <w:rPr>
                <w:b/>
                <w:bCs/>
              </w:rPr>
              <w:t>,</w:t>
            </w:r>
            <w:r w:rsidRPr="00426139">
              <w:rPr>
                <w:b/>
                <w:bCs/>
              </w:rPr>
              <w:t>941</w:t>
            </w:r>
          </w:p>
        </w:tc>
      </w:tr>
      <w:tr w:rsidR="005357C6" w:rsidRPr="0093755D" w14:paraId="0AEB5E32" w14:textId="77777777" w:rsidTr="00D3472F">
        <w:trPr>
          <w:trHeight w:val="238"/>
          <w:jc w:val="center"/>
        </w:trPr>
        <w:tc>
          <w:tcPr>
            <w:tcW w:w="4678" w:type="dxa"/>
            <w:shd w:val="clear" w:color="auto" w:fill="auto"/>
          </w:tcPr>
          <w:p w14:paraId="547B2AB0" w14:textId="77777777" w:rsidR="005357C6" w:rsidRPr="0093755D" w:rsidRDefault="005357C6" w:rsidP="00A26497">
            <w:pPr>
              <w:pStyle w:val="08-Tabelageral"/>
              <w:ind w:left="113"/>
              <w:jc w:val="left"/>
              <w:rPr>
                <w:rFonts w:cs="Arial"/>
                <w:szCs w:val="14"/>
              </w:rPr>
            </w:pPr>
            <w:r w:rsidRPr="0093755D">
              <w:rPr>
                <w:rFonts w:cs="Arial"/>
                <w:szCs w:val="14"/>
              </w:rPr>
              <w:t>Equity income</w:t>
            </w:r>
          </w:p>
        </w:tc>
        <w:tc>
          <w:tcPr>
            <w:tcW w:w="1240" w:type="dxa"/>
            <w:shd w:val="clear" w:color="auto" w:fill="auto"/>
          </w:tcPr>
          <w:p w14:paraId="1421945B" w14:textId="77777777" w:rsidR="005357C6" w:rsidRPr="0093755D" w:rsidRDefault="005357C6" w:rsidP="00A26497">
            <w:pPr>
              <w:pStyle w:val="08-Tabelageral"/>
              <w:rPr>
                <w:rFonts w:cs="Arial"/>
                <w:szCs w:val="14"/>
              </w:rPr>
            </w:pPr>
            <w:r w:rsidRPr="00EB1CA0">
              <w:t>5</w:t>
            </w:r>
            <w:r>
              <w:t>,</w:t>
            </w:r>
            <w:r w:rsidRPr="00EB1CA0">
              <w:t>766</w:t>
            </w:r>
            <w:r>
              <w:t>,</w:t>
            </w:r>
            <w:r w:rsidRPr="00EB1CA0">
              <w:t>581</w:t>
            </w:r>
          </w:p>
        </w:tc>
        <w:tc>
          <w:tcPr>
            <w:tcW w:w="1240" w:type="dxa"/>
            <w:shd w:val="clear" w:color="auto" w:fill="auto"/>
          </w:tcPr>
          <w:p w14:paraId="6745288B" w14:textId="77777777" w:rsidR="005357C6" w:rsidRPr="0093755D" w:rsidRDefault="005357C6" w:rsidP="00A26497">
            <w:pPr>
              <w:pStyle w:val="08-Tabelageral"/>
              <w:rPr>
                <w:rFonts w:cs="Arial"/>
                <w:szCs w:val="14"/>
              </w:rPr>
            </w:pPr>
            <w:r w:rsidRPr="00C166D7">
              <w:t>(12</w:t>
            </w:r>
            <w:r>
              <w:t>,</w:t>
            </w:r>
            <w:r w:rsidRPr="00C166D7">
              <w:t>633)</w:t>
            </w:r>
          </w:p>
        </w:tc>
        <w:tc>
          <w:tcPr>
            <w:tcW w:w="1240" w:type="dxa"/>
            <w:shd w:val="clear" w:color="auto" w:fill="auto"/>
          </w:tcPr>
          <w:p w14:paraId="63315341" w14:textId="77777777" w:rsidR="005357C6" w:rsidRPr="0093755D" w:rsidRDefault="005357C6" w:rsidP="00A26497">
            <w:pPr>
              <w:pStyle w:val="08-Tabelageral"/>
              <w:rPr>
                <w:rFonts w:cs="Arial"/>
                <w:szCs w:val="14"/>
              </w:rPr>
            </w:pPr>
            <w:r w:rsidRPr="00F72C73">
              <w:t>(3</w:t>
            </w:r>
            <w:r>
              <w:t>,</w:t>
            </w:r>
            <w:r w:rsidRPr="00F72C73">
              <w:t>923</w:t>
            </w:r>
            <w:r>
              <w:t>,</w:t>
            </w:r>
            <w:r w:rsidRPr="00F72C73">
              <w:t>593)</w:t>
            </w:r>
          </w:p>
        </w:tc>
        <w:tc>
          <w:tcPr>
            <w:tcW w:w="1241" w:type="dxa"/>
            <w:shd w:val="clear" w:color="auto" w:fill="auto"/>
          </w:tcPr>
          <w:p w14:paraId="7653E0FE" w14:textId="77777777" w:rsidR="005357C6" w:rsidRPr="0093755D" w:rsidRDefault="005357C6" w:rsidP="00A26497">
            <w:pPr>
              <w:pStyle w:val="08-Tabelageral"/>
              <w:rPr>
                <w:rFonts w:cs="Arial"/>
                <w:szCs w:val="14"/>
              </w:rPr>
            </w:pPr>
            <w:r w:rsidRPr="003C1107">
              <w:t>1</w:t>
            </w:r>
            <w:r>
              <w:t>,</w:t>
            </w:r>
            <w:r w:rsidRPr="003C1107">
              <w:t>830</w:t>
            </w:r>
            <w:r>
              <w:t>,</w:t>
            </w:r>
            <w:r w:rsidRPr="003C1107">
              <w:t>355</w:t>
            </w:r>
          </w:p>
        </w:tc>
      </w:tr>
      <w:tr w:rsidR="005357C6" w:rsidRPr="0093755D" w14:paraId="66A63DCF" w14:textId="77777777" w:rsidTr="00D3472F">
        <w:trPr>
          <w:trHeight w:val="238"/>
          <w:jc w:val="center"/>
        </w:trPr>
        <w:tc>
          <w:tcPr>
            <w:tcW w:w="4678" w:type="dxa"/>
            <w:shd w:val="clear" w:color="auto" w:fill="auto"/>
          </w:tcPr>
          <w:p w14:paraId="028969A0" w14:textId="77777777" w:rsidR="005357C6" w:rsidRPr="0093755D" w:rsidRDefault="005357C6" w:rsidP="00A26497">
            <w:pPr>
              <w:pStyle w:val="08-Tabelageral"/>
              <w:ind w:left="113"/>
              <w:jc w:val="left"/>
              <w:rPr>
                <w:rFonts w:cs="Arial"/>
                <w:szCs w:val="14"/>
              </w:rPr>
            </w:pPr>
            <w:r w:rsidRPr="0093755D">
              <w:rPr>
                <w:rFonts w:cs="Arial"/>
                <w:szCs w:val="14"/>
              </w:rPr>
              <w:t>Commissions income</w:t>
            </w:r>
          </w:p>
        </w:tc>
        <w:tc>
          <w:tcPr>
            <w:tcW w:w="1240" w:type="dxa"/>
            <w:shd w:val="clear" w:color="auto" w:fill="auto"/>
          </w:tcPr>
          <w:p w14:paraId="6CA5E136" w14:textId="77777777" w:rsidR="005357C6" w:rsidRPr="0093755D" w:rsidRDefault="005357C6" w:rsidP="00A26497">
            <w:pPr>
              <w:pStyle w:val="08-Tabelageral"/>
              <w:rPr>
                <w:rFonts w:cs="Arial"/>
                <w:szCs w:val="14"/>
              </w:rPr>
            </w:pPr>
            <w:r w:rsidRPr="00EB1CA0">
              <w:t>--</w:t>
            </w:r>
          </w:p>
        </w:tc>
        <w:tc>
          <w:tcPr>
            <w:tcW w:w="1240" w:type="dxa"/>
            <w:shd w:val="clear" w:color="auto" w:fill="auto"/>
          </w:tcPr>
          <w:p w14:paraId="32BDB667" w14:textId="77777777" w:rsidR="005357C6" w:rsidRPr="0093755D" w:rsidRDefault="005357C6" w:rsidP="00A26497">
            <w:pPr>
              <w:pStyle w:val="08-Tabelageral"/>
              <w:rPr>
                <w:rFonts w:cs="Arial"/>
                <w:szCs w:val="14"/>
              </w:rPr>
            </w:pPr>
            <w:r w:rsidRPr="00C166D7">
              <w:t>3</w:t>
            </w:r>
            <w:r>
              <w:t>,</w:t>
            </w:r>
            <w:r w:rsidRPr="00C166D7">
              <w:t>495</w:t>
            </w:r>
            <w:r>
              <w:t>,</w:t>
            </w:r>
            <w:r w:rsidRPr="00C166D7">
              <w:t>586</w:t>
            </w:r>
          </w:p>
        </w:tc>
        <w:tc>
          <w:tcPr>
            <w:tcW w:w="1240" w:type="dxa"/>
            <w:shd w:val="clear" w:color="auto" w:fill="auto"/>
          </w:tcPr>
          <w:p w14:paraId="330B5979" w14:textId="77777777" w:rsidR="005357C6" w:rsidRPr="0093755D" w:rsidRDefault="005357C6" w:rsidP="00A26497">
            <w:pPr>
              <w:pStyle w:val="08-Tabelageral"/>
              <w:rPr>
                <w:rFonts w:cs="Arial"/>
                <w:szCs w:val="14"/>
              </w:rPr>
            </w:pPr>
            <w:r w:rsidRPr="00F72C73">
              <w:t>--</w:t>
            </w:r>
          </w:p>
        </w:tc>
        <w:tc>
          <w:tcPr>
            <w:tcW w:w="1241" w:type="dxa"/>
            <w:shd w:val="clear" w:color="auto" w:fill="auto"/>
          </w:tcPr>
          <w:p w14:paraId="55743872" w14:textId="77777777" w:rsidR="005357C6" w:rsidRPr="0093755D" w:rsidRDefault="005357C6" w:rsidP="00A26497">
            <w:pPr>
              <w:pStyle w:val="08-Tabelageral"/>
              <w:rPr>
                <w:rFonts w:cs="Arial"/>
                <w:szCs w:val="14"/>
              </w:rPr>
            </w:pPr>
            <w:r w:rsidRPr="003C1107">
              <w:t>3</w:t>
            </w:r>
            <w:r>
              <w:t>,</w:t>
            </w:r>
            <w:r w:rsidRPr="003C1107">
              <w:t>495</w:t>
            </w:r>
            <w:r>
              <w:t>,</w:t>
            </w:r>
            <w:r w:rsidRPr="003C1107">
              <w:t>586</w:t>
            </w:r>
          </w:p>
        </w:tc>
      </w:tr>
      <w:tr w:rsidR="005357C6" w:rsidRPr="0093755D" w14:paraId="08833A23" w14:textId="77777777" w:rsidTr="00D3472F">
        <w:trPr>
          <w:trHeight w:val="238"/>
          <w:jc w:val="center"/>
        </w:trPr>
        <w:tc>
          <w:tcPr>
            <w:tcW w:w="4678" w:type="dxa"/>
            <w:shd w:val="clear" w:color="auto" w:fill="auto"/>
          </w:tcPr>
          <w:p w14:paraId="129E2A95" w14:textId="77777777" w:rsidR="005357C6" w:rsidRPr="0093755D" w:rsidRDefault="005357C6" w:rsidP="00A26497">
            <w:pPr>
              <w:pStyle w:val="08-Tabelageral"/>
              <w:jc w:val="left"/>
              <w:rPr>
                <w:rFonts w:cs="Arial"/>
                <w:b/>
                <w:szCs w:val="14"/>
              </w:rPr>
            </w:pPr>
            <w:r>
              <w:rPr>
                <w:rFonts w:cs="Arial"/>
                <w:b/>
                <w:szCs w:val="14"/>
              </w:rPr>
              <w:t>Cost o</w:t>
            </w:r>
            <w:r w:rsidRPr="0093755D">
              <w:rPr>
                <w:rFonts w:cs="Arial"/>
                <w:b/>
                <w:szCs w:val="14"/>
              </w:rPr>
              <w:t>f Services Provided</w:t>
            </w:r>
          </w:p>
        </w:tc>
        <w:tc>
          <w:tcPr>
            <w:tcW w:w="1240" w:type="dxa"/>
            <w:shd w:val="clear" w:color="auto" w:fill="auto"/>
          </w:tcPr>
          <w:p w14:paraId="58D45DAF" w14:textId="77777777" w:rsidR="005357C6" w:rsidRPr="0093755D" w:rsidRDefault="005357C6" w:rsidP="00A26497">
            <w:pPr>
              <w:pStyle w:val="08-Tabelageral"/>
              <w:rPr>
                <w:rFonts w:cs="Arial"/>
                <w:b/>
                <w:szCs w:val="14"/>
              </w:rPr>
            </w:pPr>
            <w:r w:rsidRPr="00426139">
              <w:rPr>
                <w:b/>
                <w:bCs/>
              </w:rPr>
              <w:t>--</w:t>
            </w:r>
          </w:p>
        </w:tc>
        <w:tc>
          <w:tcPr>
            <w:tcW w:w="1240" w:type="dxa"/>
            <w:shd w:val="clear" w:color="auto" w:fill="auto"/>
          </w:tcPr>
          <w:p w14:paraId="661AEE52" w14:textId="77777777" w:rsidR="005357C6" w:rsidRPr="0093755D" w:rsidRDefault="005357C6" w:rsidP="00A26497">
            <w:pPr>
              <w:pStyle w:val="08-Tabelageral"/>
              <w:rPr>
                <w:rFonts w:cs="Arial"/>
                <w:b/>
                <w:szCs w:val="14"/>
              </w:rPr>
            </w:pPr>
            <w:r w:rsidRPr="00426139">
              <w:rPr>
                <w:b/>
                <w:bCs/>
              </w:rPr>
              <w:t>(193</w:t>
            </w:r>
            <w:r>
              <w:rPr>
                <w:b/>
                <w:bCs/>
              </w:rPr>
              <w:t>,</w:t>
            </w:r>
            <w:r w:rsidRPr="00426139">
              <w:rPr>
                <w:b/>
                <w:bCs/>
              </w:rPr>
              <w:t>830)</w:t>
            </w:r>
          </w:p>
        </w:tc>
        <w:tc>
          <w:tcPr>
            <w:tcW w:w="1240" w:type="dxa"/>
            <w:shd w:val="clear" w:color="auto" w:fill="auto"/>
          </w:tcPr>
          <w:p w14:paraId="3235A146" w14:textId="77777777" w:rsidR="005357C6" w:rsidRPr="0093755D" w:rsidRDefault="005357C6" w:rsidP="00A26497">
            <w:pPr>
              <w:pStyle w:val="08-Tabelageral"/>
              <w:rPr>
                <w:rFonts w:cs="Arial"/>
                <w:b/>
                <w:szCs w:val="14"/>
              </w:rPr>
            </w:pPr>
            <w:r w:rsidRPr="00426139">
              <w:rPr>
                <w:b/>
                <w:bCs/>
              </w:rPr>
              <w:t>--</w:t>
            </w:r>
          </w:p>
        </w:tc>
        <w:tc>
          <w:tcPr>
            <w:tcW w:w="1241" w:type="dxa"/>
            <w:shd w:val="clear" w:color="auto" w:fill="auto"/>
          </w:tcPr>
          <w:p w14:paraId="4E78B9F8" w14:textId="77777777" w:rsidR="005357C6" w:rsidRPr="0093755D" w:rsidRDefault="005357C6" w:rsidP="00A26497">
            <w:pPr>
              <w:pStyle w:val="08-Tabelageral"/>
              <w:rPr>
                <w:rFonts w:cs="Arial"/>
                <w:b/>
                <w:szCs w:val="14"/>
              </w:rPr>
            </w:pPr>
            <w:r w:rsidRPr="00426139">
              <w:rPr>
                <w:b/>
                <w:bCs/>
              </w:rPr>
              <w:t>(193</w:t>
            </w:r>
            <w:r>
              <w:rPr>
                <w:b/>
                <w:bCs/>
              </w:rPr>
              <w:t>,</w:t>
            </w:r>
            <w:r w:rsidRPr="00426139">
              <w:rPr>
                <w:b/>
                <w:bCs/>
              </w:rPr>
              <w:t>830)</w:t>
            </w:r>
          </w:p>
        </w:tc>
      </w:tr>
      <w:tr w:rsidR="005357C6" w:rsidRPr="0093755D" w14:paraId="585CCA0E" w14:textId="77777777" w:rsidTr="00D3472F">
        <w:trPr>
          <w:trHeight w:val="238"/>
          <w:jc w:val="center"/>
        </w:trPr>
        <w:tc>
          <w:tcPr>
            <w:tcW w:w="4678" w:type="dxa"/>
            <w:shd w:val="clear" w:color="auto" w:fill="auto"/>
          </w:tcPr>
          <w:p w14:paraId="2D59F86E" w14:textId="77777777" w:rsidR="005357C6" w:rsidRPr="0093755D" w:rsidRDefault="005357C6" w:rsidP="00A26497">
            <w:pPr>
              <w:pStyle w:val="08-Tabelageral"/>
              <w:jc w:val="left"/>
              <w:rPr>
                <w:rFonts w:cs="Arial"/>
                <w:b/>
                <w:szCs w:val="14"/>
              </w:rPr>
            </w:pPr>
            <w:r w:rsidRPr="0093755D">
              <w:rPr>
                <w:rFonts w:cs="Arial"/>
                <w:b/>
                <w:szCs w:val="14"/>
              </w:rPr>
              <w:t>Gross Profit</w:t>
            </w:r>
          </w:p>
        </w:tc>
        <w:tc>
          <w:tcPr>
            <w:tcW w:w="1240" w:type="dxa"/>
            <w:shd w:val="clear" w:color="auto" w:fill="auto"/>
          </w:tcPr>
          <w:p w14:paraId="6F9C51C6" w14:textId="77777777" w:rsidR="005357C6" w:rsidRPr="0093755D" w:rsidRDefault="005357C6" w:rsidP="00A26497">
            <w:pPr>
              <w:pStyle w:val="08-Tabelageral"/>
              <w:rPr>
                <w:rFonts w:cs="Arial"/>
                <w:b/>
                <w:szCs w:val="14"/>
              </w:rPr>
            </w:pPr>
            <w:r w:rsidRPr="00426139">
              <w:rPr>
                <w:b/>
                <w:bCs/>
              </w:rPr>
              <w:t>5</w:t>
            </w:r>
            <w:r>
              <w:rPr>
                <w:b/>
                <w:bCs/>
              </w:rPr>
              <w:t>,</w:t>
            </w:r>
            <w:r w:rsidRPr="00426139">
              <w:rPr>
                <w:b/>
                <w:bCs/>
              </w:rPr>
              <w:t>766</w:t>
            </w:r>
            <w:r>
              <w:rPr>
                <w:b/>
                <w:bCs/>
              </w:rPr>
              <w:t>,</w:t>
            </w:r>
            <w:r w:rsidRPr="00426139">
              <w:rPr>
                <w:b/>
                <w:bCs/>
              </w:rPr>
              <w:t>581</w:t>
            </w:r>
          </w:p>
        </w:tc>
        <w:tc>
          <w:tcPr>
            <w:tcW w:w="1240" w:type="dxa"/>
            <w:shd w:val="clear" w:color="auto" w:fill="auto"/>
          </w:tcPr>
          <w:p w14:paraId="5AFA1383" w14:textId="77777777" w:rsidR="005357C6" w:rsidRPr="0093755D" w:rsidRDefault="005357C6" w:rsidP="00A26497">
            <w:pPr>
              <w:pStyle w:val="08-Tabelageral"/>
              <w:rPr>
                <w:rFonts w:cs="Arial"/>
                <w:b/>
                <w:szCs w:val="14"/>
              </w:rPr>
            </w:pPr>
            <w:r w:rsidRPr="00426139">
              <w:rPr>
                <w:b/>
                <w:bCs/>
              </w:rPr>
              <w:t>3</w:t>
            </w:r>
            <w:r>
              <w:rPr>
                <w:b/>
                <w:bCs/>
              </w:rPr>
              <w:t>,</w:t>
            </w:r>
            <w:r w:rsidRPr="00426139">
              <w:rPr>
                <w:b/>
                <w:bCs/>
              </w:rPr>
              <w:t>289</w:t>
            </w:r>
            <w:r>
              <w:rPr>
                <w:b/>
                <w:bCs/>
              </w:rPr>
              <w:t>,</w:t>
            </w:r>
            <w:r w:rsidRPr="00426139">
              <w:rPr>
                <w:b/>
                <w:bCs/>
              </w:rPr>
              <w:t>123</w:t>
            </w:r>
          </w:p>
        </w:tc>
        <w:tc>
          <w:tcPr>
            <w:tcW w:w="1240" w:type="dxa"/>
            <w:shd w:val="clear" w:color="auto" w:fill="auto"/>
          </w:tcPr>
          <w:p w14:paraId="46CB68B9" w14:textId="77777777" w:rsidR="005357C6" w:rsidRPr="0093755D" w:rsidRDefault="005357C6" w:rsidP="00A26497">
            <w:pPr>
              <w:pStyle w:val="08-Tabelageral"/>
              <w:rPr>
                <w:rFonts w:cs="Arial"/>
                <w:b/>
                <w:szCs w:val="14"/>
              </w:rPr>
            </w:pPr>
            <w:r w:rsidRPr="00426139">
              <w:rPr>
                <w:b/>
                <w:bCs/>
              </w:rPr>
              <w:t>(3</w:t>
            </w:r>
            <w:r>
              <w:rPr>
                <w:b/>
                <w:bCs/>
              </w:rPr>
              <w:t>,</w:t>
            </w:r>
            <w:r w:rsidRPr="00426139">
              <w:rPr>
                <w:b/>
                <w:bCs/>
              </w:rPr>
              <w:t>923</w:t>
            </w:r>
            <w:r>
              <w:rPr>
                <w:b/>
                <w:bCs/>
              </w:rPr>
              <w:t>,</w:t>
            </w:r>
            <w:r w:rsidRPr="00426139">
              <w:rPr>
                <w:b/>
                <w:bCs/>
              </w:rPr>
              <w:t>593)</w:t>
            </w:r>
          </w:p>
        </w:tc>
        <w:tc>
          <w:tcPr>
            <w:tcW w:w="1241" w:type="dxa"/>
            <w:shd w:val="clear" w:color="auto" w:fill="auto"/>
          </w:tcPr>
          <w:p w14:paraId="047D5CC6" w14:textId="77777777" w:rsidR="005357C6" w:rsidRPr="0093755D" w:rsidRDefault="005357C6" w:rsidP="00A26497">
            <w:pPr>
              <w:pStyle w:val="08-Tabelageral"/>
              <w:rPr>
                <w:rFonts w:cs="Arial"/>
                <w:b/>
                <w:szCs w:val="14"/>
              </w:rPr>
            </w:pPr>
            <w:r w:rsidRPr="00426139">
              <w:rPr>
                <w:b/>
                <w:bCs/>
              </w:rPr>
              <w:t>5</w:t>
            </w:r>
            <w:r>
              <w:rPr>
                <w:b/>
                <w:bCs/>
              </w:rPr>
              <w:t>,</w:t>
            </w:r>
            <w:r w:rsidRPr="00426139">
              <w:rPr>
                <w:b/>
                <w:bCs/>
              </w:rPr>
              <w:t>132</w:t>
            </w:r>
            <w:r>
              <w:rPr>
                <w:b/>
                <w:bCs/>
              </w:rPr>
              <w:t>,</w:t>
            </w:r>
            <w:r w:rsidRPr="00426139">
              <w:rPr>
                <w:b/>
                <w:bCs/>
              </w:rPr>
              <w:t>111</w:t>
            </w:r>
          </w:p>
        </w:tc>
      </w:tr>
      <w:tr w:rsidR="005357C6" w:rsidRPr="0093755D" w14:paraId="1B0632D4" w14:textId="77777777" w:rsidTr="00D3472F">
        <w:trPr>
          <w:trHeight w:val="238"/>
          <w:jc w:val="center"/>
        </w:trPr>
        <w:tc>
          <w:tcPr>
            <w:tcW w:w="4678" w:type="dxa"/>
            <w:shd w:val="clear" w:color="auto" w:fill="auto"/>
          </w:tcPr>
          <w:p w14:paraId="7AC068C7" w14:textId="77777777" w:rsidR="005357C6" w:rsidRPr="0093755D" w:rsidRDefault="005357C6" w:rsidP="00A26497">
            <w:pPr>
              <w:pStyle w:val="08-Tabelageral"/>
              <w:jc w:val="left"/>
              <w:rPr>
                <w:rFonts w:cs="Arial"/>
                <w:b/>
                <w:bCs/>
                <w:szCs w:val="14"/>
              </w:rPr>
            </w:pPr>
            <w:r>
              <w:rPr>
                <w:rFonts w:cs="Arial"/>
                <w:b/>
                <w:szCs w:val="14"/>
              </w:rPr>
              <w:t>Other Income a</w:t>
            </w:r>
            <w:r w:rsidRPr="0093755D">
              <w:rPr>
                <w:rFonts w:cs="Arial"/>
                <w:b/>
                <w:szCs w:val="14"/>
              </w:rPr>
              <w:t>nd Expenses</w:t>
            </w:r>
          </w:p>
        </w:tc>
        <w:tc>
          <w:tcPr>
            <w:tcW w:w="1240" w:type="dxa"/>
            <w:shd w:val="clear" w:color="auto" w:fill="auto"/>
          </w:tcPr>
          <w:p w14:paraId="42809780" w14:textId="77777777" w:rsidR="005357C6" w:rsidRPr="0093755D" w:rsidRDefault="005357C6" w:rsidP="00A26497">
            <w:pPr>
              <w:pStyle w:val="08-Tabelageral"/>
              <w:rPr>
                <w:rFonts w:cs="Arial"/>
                <w:b/>
                <w:szCs w:val="14"/>
              </w:rPr>
            </w:pPr>
            <w:r w:rsidRPr="00426139">
              <w:rPr>
                <w:b/>
                <w:bCs/>
              </w:rPr>
              <w:t>(61</w:t>
            </w:r>
            <w:r>
              <w:rPr>
                <w:b/>
                <w:bCs/>
              </w:rPr>
              <w:t>,</w:t>
            </w:r>
            <w:r w:rsidRPr="00426139">
              <w:rPr>
                <w:b/>
                <w:bCs/>
              </w:rPr>
              <w:t>507)</w:t>
            </w:r>
          </w:p>
        </w:tc>
        <w:tc>
          <w:tcPr>
            <w:tcW w:w="1240" w:type="dxa"/>
            <w:shd w:val="clear" w:color="auto" w:fill="auto"/>
          </w:tcPr>
          <w:p w14:paraId="5A40D10E" w14:textId="77777777" w:rsidR="005357C6" w:rsidRPr="0093755D" w:rsidRDefault="005357C6" w:rsidP="00A26497">
            <w:pPr>
              <w:pStyle w:val="08-Tabelageral"/>
              <w:rPr>
                <w:rFonts w:cs="Arial"/>
                <w:b/>
                <w:szCs w:val="14"/>
              </w:rPr>
            </w:pPr>
            <w:r w:rsidRPr="00426139">
              <w:rPr>
                <w:b/>
                <w:bCs/>
              </w:rPr>
              <w:t>(138</w:t>
            </w:r>
            <w:r>
              <w:rPr>
                <w:b/>
                <w:bCs/>
              </w:rPr>
              <w:t>,</w:t>
            </w:r>
            <w:r w:rsidRPr="00426139">
              <w:rPr>
                <w:b/>
                <w:bCs/>
              </w:rPr>
              <w:t>404)</w:t>
            </w:r>
          </w:p>
        </w:tc>
        <w:tc>
          <w:tcPr>
            <w:tcW w:w="1240" w:type="dxa"/>
            <w:shd w:val="clear" w:color="auto" w:fill="auto"/>
          </w:tcPr>
          <w:p w14:paraId="03A0F1D6" w14:textId="77777777" w:rsidR="005357C6" w:rsidRPr="0093755D" w:rsidRDefault="005357C6" w:rsidP="00A26497">
            <w:pPr>
              <w:pStyle w:val="08-Tabelageral"/>
              <w:rPr>
                <w:rFonts w:cs="Arial"/>
                <w:b/>
                <w:szCs w:val="14"/>
              </w:rPr>
            </w:pPr>
            <w:r w:rsidRPr="00426139">
              <w:rPr>
                <w:b/>
                <w:bCs/>
              </w:rPr>
              <w:t>--</w:t>
            </w:r>
          </w:p>
        </w:tc>
        <w:tc>
          <w:tcPr>
            <w:tcW w:w="1241" w:type="dxa"/>
            <w:shd w:val="clear" w:color="auto" w:fill="auto"/>
          </w:tcPr>
          <w:p w14:paraId="506A59DC" w14:textId="77777777" w:rsidR="005357C6" w:rsidRPr="0093755D" w:rsidRDefault="005357C6" w:rsidP="00A26497">
            <w:pPr>
              <w:pStyle w:val="08-Tabelageral"/>
              <w:rPr>
                <w:rFonts w:cs="Arial"/>
                <w:b/>
                <w:szCs w:val="14"/>
              </w:rPr>
            </w:pPr>
            <w:r w:rsidRPr="00426139">
              <w:rPr>
                <w:b/>
                <w:bCs/>
              </w:rPr>
              <w:t>(199</w:t>
            </w:r>
            <w:r>
              <w:rPr>
                <w:b/>
                <w:bCs/>
              </w:rPr>
              <w:t>,</w:t>
            </w:r>
            <w:r w:rsidRPr="00426139">
              <w:rPr>
                <w:b/>
                <w:bCs/>
              </w:rPr>
              <w:t>911)</w:t>
            </w:r>
          </w:p>
        </w:tc>
      </w:tr>
      <w:tr w:rsidR="005357C6" w:rsidRPr="0093755D" w14:paraId="3E471A28" w14:textId="77777777" w:rsidTr="00D3472F">
        <w:trPr>
          <w:trHeight w:val="238"/>
          <w:jc w:val="center"/>
        </w:trPr>
        <w:tc>
          <w:tcPr>
            <w:tcW w:w="4678" w:type="dxa"/>
            <w:shd w:val="clear" w:color="auto" w:fill="auto"/>
          </w:tcPr>
          <w:p w14:paraId="57D8A3B0" w14:textId="77777777" w:rsidR="005357C6" w:rsidRPr="0093755D" w:rsidRDefault="005357C6" w:rsidP="00A26497">
            <w:pPr>
              <w:pStyle w:val="08-Tabelageral"/>
              <w:ind w:left="113"/>
              <w:jc w:val="left"/>
              <w:rPr>
                <w:rFonts w:cs="Arial"/>
                <w:szCs w:val="14"/>
              </w:rPr>
            </w:pPr>
            <w:r w:rsidRPr="0093755D">
              <w:rPr>
                <w:rFonts w:cs="Arial"/>
                <w:szCs w:val="14"/>
              </w:rPr>
              <w:t>Personnel expenses</w:t>
            </w:r>
          </w:p>
        </w:tc>
        <w:tc>
          <w:tcPr>
            <w:tcW w:w="1240" w:type="dxa"/>
            <w:shd w:val="clear" w:color="auto" w:fill="auto"/>
          </w:tcPr>
          <w:p w14:paraId="2D0C8B61" w14:textId="77777777" w:rsidR="005357C6" w:rsidRPr="0093755D" w:rsidRDefault="005357C6" w:rsidP="00A26497">
            <w:pPr>
              <w:pStyle w:val="08-Tabelageral"/>
              <w:rPr>
                <w:rFonts w:cs="Arial"/>
                <w:szCs w:val="14"/>
              </w:rPr>
            </w:pPr>
            <w:r w:rsidRPr="00EB1CA0">
              <w:t>(20</w:t>
            </w:r>
            <w:r>
              <w:t>,</w:t>
            </w:r>
            <w:r w:rsidRPr="00EB1CA0">
              <w:t>068)</w:t>
            </w:r>
          </w:p>
        </w:tc>
        <w:tc>
          <w:tcPr>
            <w:tcW w:w="1240" w:type="dxa"/>
            <w:shd w:val="clear" w:color="auto" w:fill="auto"/>
          </w:tcPr>
          <w:p w14:paraId="554BC60E" w14:textId="77777777" w:rsidR="005357C6" w:rsidRPr="0093755D" w:rsidRDefault="005357C6" w:rsidP="00A26497">
            <w:pPr>
              <w:pStyle w:val="08-Tabelageral"/>
              <w:rPr>
                <w:rFonts w:cs="Arial"/>
                <w:szCs w:val="14"/>
              </w:rPr>
            </w:pPr>
            <w:r w:rsidRPr="00C166D7">
              <w:t>(43</w:t>
            </w:r>
            <w:r>
              <w:t>,</w:t>
            </w:r>
            <w:r w:rsidRPr="00C166D7">
              <w:t>046)</w:t>
            </w:r>
          </w:p>
        </w:tc>
        <w:tc>
          <w:tcPr>
            <w:tcW w:w="1240" w:type="dxa"/>
            <w:shd w:val="clear" w:color="auto" w:fill="auto"/>
          </w:tcPr>
          <w:p w14:paraId="56F9DB4E" w14:textId="77777777" w:rsidR="005357C6" w:rsidRPr="0093755D" w:rsidRDefault="005357C6" w:rsidP="00A26497">
            <w:pPr>
              <w:pStyle w:val="08-Tabelageral"/>
              <w:rPr>
                <w:rFonts w:cs="Arial"/>
                <w:szCs w:val="14"/>
              </w:rPr>
            </w:pPr>
            <w:r w:rsidRPr="00F72C73">
              <w:t>--</w:t>
            </w:r>
          </w:p>
        </w:tc>
        <w:tc>
          <w:tcPr>
            <w:tcW w:w="1241" w:type="dxa"/>
            <w:shd w:val="clear" w:color="auto" w:fill="auto"/>
          </w:tcPr>
          <w:p w14:paraId="4A5F1F78" w14:textId="77777777" w:rsidR="005357C6" w:rsidRPr="0093755D" w:rsidRDefault="005357C6" w:rsidP="00A26497">
            <w:pPr>
              <w:pStyle w:val="08-Tabelageral"/>
              <w:rPr>
                <w:rFonts w:cs="Arial"/>
                <w:szCs w:val="14"/>
              </w:rPr>
            </w:pPr>
            <w:r w:rsidRPr="003C1107">
              <w:t>(63</w:t>
            </w:r>
            <w:r>
              <w:t>,</w:t>
            </w:r>
            <w:r w:rsidRPr="003C1107">
              <w:t>114)</w:t>
            </w:r>
          </w:p>
        </w:tc>
      </w:tr>
      <w:tr w:rsidR="005357C6" w:rsidRPr="0093755D" w14:paraId="3926DEA3" w14:textId="77777777" w:rsidTr="00D3472F">
        <w:trPr>
          <w:trHeight w:val="238"/>
          <w:jc w:val="center"/>
        </w:trPr>
        <w:tc>
          <w:tcPr>
            <w:tcW w:w="4678" w:type="dxa"/>
            <w:shd w:val="clear" w:color="auto" w:fill="auto"/>
          </w:tcPr>
          <w:p w14:paraId="48C34905" w14:textId="77777777" w:rsidR="005357C6" w:rsidRPr="0093755D" w:rsidRDefault="005357C6" w:rsidP="00A26497">
            <w:pPr>
              <w:pStyle w:val="08-Tabelageral"/>
              <w:ind w:left="113"/>
              <w:jc w:val="left"/>
              <w:rPr>
                <w:rFonts w:cs="Arial"/>
                <w:szCs w:val="14"/>
              </w:rPr>
            </w:pPr>
            <w:r w:rsidRPr="0093755D">
              <w:rPr>
                <w:rFonts w:cs="Arial"/>
                <w:szCs w:val="14"/>
              </w:rPr>
              <w:t>Adminstrative expenses</w:t>
            </w:r>
          </w:p>
        </w:tc>
        <w:tc>
          <w:tcPr>
            <w:tcW w:w="1240" w:type="dxa"/>
            <w:shd w:val="clear" w:color="auto" w:fill="auto"/>
          </w:tcPr>
          <w:p w14:paraId="06D53284" w14:textId="77777777" w:rsidR="005357C6" w:rsidRPr="0093755D" w:rsidRDefault="005357C6" w:rsidP="00A26497">
            <w:pPr>
              <w:pStyle w:val="08-Tabelageral"/>
              <w:rPr>
                <w:rFonts w:cs="Arial"/>
                <w:szCs w:val="14"/>
              </w:rPr>
            </w:pPr>
            <w:r w:rsidRPr="00EB1CA0">
              <w:t>(5</w:t>
            </w:r>
            <w:r>
              <w:t>,</w:t>
            </w:r>
            <w:r w:rsidRPr="00EB1CA0">
              <w:t>416)</w:t>
            </w:r>
          </w:p>
        </w:tc>
        <w:tc>
          <w:tcPr>
            <w:tcW w:w="1240" w:type="dxa"/>
            <w:shd w:val="clear" w:color="auto" w:fill="auto"/>
          </w:tcPr>
          <w:p w14:paraId="3BFFA26F" w14:textId="77777777" w:rsidR="005357C6" w:rsidRPr="0093755D" w:rsidRDefault="005357C6" w:rsidP="00A26497">
            <w:pPr>
              <w:pStyle w:val="08-Tabelageral"/>
              <w:rPr>
                <w:rFonts w:cs="Arial"/>
                <w:szCs w:val="14"/>
              </w:rPr>
            </w:pPr>
            <w:r w:rsidRPr="00C166D7">
              <w:t>(32</w:t>
            </w:r>
            <w:r>
              <w:t>,</w:t>
            </w:r>
            <w:r w:rsidRPr="00C166D7">
              <w:t>850)</w:t>
            </w:r>
          </w:p>
        </w:tc>
        <w:tc>
          <w:tcPr>
            <w:tcW w:w="1240" w:type="dxa"/>
            <w:shd w:val="clear" w:color="auto" w:fill="auto"/>
          </w:tcPr>
          <w:p w14:paraId="590743CE" w14:textId="77777777" w:rsidR="005357C6" w:rsidRPr="0093755D" w:rsidRDefault="005357C6" w:rsidP="00A26497">
            <w:pPr>
              <w:pStyle w:val="08-Tabelageral"/>
              <w:rPr>
                <w:rFonts w:cs="Arial"/>
                <w:szCs w:val="14"/>
              </w:rPr>
            </w:pPr>
            <w:r w:rsidRPr="00F72C73">
              <w:t>--</w:t>
            </w:r>
          </w:p>
        </w:tc>
        <w:tc>
          <w:tcPr>
            <w:tcW w:w="1241" w:type="dxa"/>
            <w:shd w:val="clear" w:color="auto" w:fill="auto"/>
          </w:tcPr>
          <w:p w14:paraId="06C11A9E" w14:textId="77777777" w:rsidR="005357C6" w:rsidRPr="0093755D" w:rsidRDefault="005357C6" w:rsidP="00A26497">
            <w:pPr>
              <w:pStyle w:val="08-Tabelageral"/>
              <w:rPr>
                <w:rFonts w:cs="Arial"/>
                <w:szCs w:val="14"/>
              </w:rPr>
            </w:pPr>
            <w:r w:rsidRPr="003C1107">
              <w:t>(38</w:t>
            </w:r>
            <w:r>
              <w:t>,</w:t>
            </w:r>
            <w:r w:rsidRPr="003C1107">
              <w:t>266)</w:t>
            </w:r>
          </w:p>
        </w:tc>
      </w:tr>
      <w:tr w:rsidR="005357C6" w:rsidRPr="0093755D" w14:paraId="560D785F" w14:textId="77777777" w:rsidTr="00D3472F">
        <w:trPr>
          <w:trHeight w:val="238"/>
          <w:jc w:val="center"/>
        </w:trPr>
        <w:tc>
          <w:tcPr>
            <w:tcW w:w="4678" w:type="dxa"/>
            <w:shd w:val="clear" w:color="auto" w:fill="auto"/>
          </w:tcPr>
          <w:p w14:paraId="2337F8BF" w14:textId="77777777" w:rsidR="005357C6" w:rsidRPr="0093755D" w:rsidRDefault="005357C6" w:rsidP="00A26497">
            <w:pPr>
              <w:pStyle w:val="08-Tabelageral"/>
              <w:ind w:left="113"/>
              <w:jc w:val="left"/>
              <w:rPr>
                <w:rFonts w:cs="Arial"/>
                <w:szCs w:val="14"/>
              </w:rPr>
            </w:pPr>
            <w:r w:rsidRPr="0093755D">
              <w:rPr>
                <w:rFonts w:cs="Arial"/>
                <w:szCs w:val="14"/>
              </w:rPr>
              <w:t>Tax expenses</w:t>
            </w:r>
          </w:p>
        </w:tc>
        <w:tc>
          <w:tcPr>
            <w:tcW w:w="1240" w:type="dxa"/>
            <w:shd w:val="clear" w:color="auto" w:fill="auto"/>
          </w:tcPr>
          <w:p w14:paraId="354E6F95" w14:textId="77777777" w:rsidR="005357C6" w:rsidRPr="0093755D" w:rsidRDefault="005357C6" w:rsidP="00A26497">
            <w:pPr>
              <w:pStyle w:val="08-Tabelageral"/>
              <w:rPr>
                <w:rFonts w:cs="Arial"/>
                <w:szCs w:val="14"/>
              </w:rPr>
            </w:pPr>
            <w:r w:rsidRPr="00EB1CA0">
              <w:t>(17</w:t>
            </w:r>
            <w:r>
              <w:t>,</w:t>
            </w:r>
            <w:r w:rsidRPr="00EB1CA0">
              <w:t>156)</w:t>
            </w:r>
          </w:p>
        </w:tc>
        <w:tc>
          <w:tcPr>
            <w:tcW w:w="1240" w:type="dxa"/>
            <w:shd w:val="clear" w:color="auto" w:fill="auto"/>
          </w:tcPr>
          <w:p w14:paraId="1D1B89D0" w14:textId="77777777" w:rsidR="005357C6" w:rsidRPr="0093755D" w:rsidRDefault="005357C6" w:rsidP="00A26497">
            <w:pPr>
              <w:pStyle w:val="08-Tabelageral"/>
              <w:rPr>
                <w:rFonts w:cs="Arial"/>
                <w:szCs w:val="14"/>
              </w:rPr>
            </w:pPr>
            <w:r w:rsidRPr="00C166D7">
              <w:t>(5</w:t>
            </w:r>
            <w:r>
              <w:t>,</w:t>
            </w:r>
            <w:r w:rsidRPr="00C166D7">
              <w:t>495)</w:t>
            </w:r>
          </w:p>
        </w:tc>
        <w:tc>
          <w:tcPr>
            <w:tcW w:w="1240" w:type="dxa"/>
            <w:shd w:val="clear" w:color="auto" w:fill="auto"/>
          </w:tcPr>
          <w:p w14:paraId="4482AC81" w14:textId="77777777" w:rsidR="005357C6" w:rsidRPr="0093755D" w:rsidRDefault="005357C6" w:rsidP="00A26497">
            <w:pPr>
              <w:pStyle w:val="08-Tabelageral"/>
              <w:rPr>
                <w:rFonts w:cs="Arial"/>
                <w:szCs w:val="14"/>
              </w:rPr>
            </w:pPr>
            <w:r w:rsidRPr="00F72C73">
              <w:t>--</w:t>
            </w:r>
          </w:p>
        </w:tc>
        <w:tc>
          <w:tcPr>
            <w:tcW w:w="1241" w:type="dxa"/>
            <w:shd w:val="clear" w:color="auto" w:fill="auto"/>
          </w:tcPr>
          <w:p w14:paraId="6420B6B0" w14:textId="77777777" w:rsidR="005357C6" w:rsidRPr="0093755D" w:rsidRDefault="005357C6" w:rsidP="00A26497">
            <w:pPr>
              <w:pStyle w:val="08-Tabelageral"/>
              <w:rPr>
                <w:rFonts w:cs="Arial"/>
                <w:szCs w:val="14"/>
              </w:rPr>
            </w:pPr>
            <w:r w:rsidRPr="003C1107">
              <w:t>(22</w:t>
            </w:r>
            <w:r>
              <w:t>,</w:t>
            </w:r>
            <w:r w:rsidRPr="003C1107">
              <w:t>651)</w:t>
            </w:r>
          </w:p>
        </w:tc>
      </w:tr>
      <w:tr w:rsidR="005357C6" w:rsidRPr="0093755D" w14:paraId="408A462A" w14:textId="77777777" w:rsidTr="00D3472F">
        <w:trPr>
          <w:trHeight w:val="238"/>
          <w:jc w:val="center"/>
        </w:trPr>
        <w:tc>
          <w:tcPr>
            <w:tcW w:w="4678" w:type="dxa"/>
            <w:shd w:val="clear" w:color="auto" w:fill="auto"/>
          </w:tcPr>
          <w:p w14:paraId="5DCFA6B5" w14:textId="77777777" w:rsidR="005357C6" w:rsidRPr="0093755D" w:rsidRDefault="005357C6" w:rsidP="00A26497">
            <w:pPr>
              <w:pStyle w:val="08-Tabelageral"/>
              <w:ind w:left="113"/>
              <w:jc w:val="left"/>
              <w:rPr>
                <w:rFonts w:cs="Arial"/>
                <w:szCs w:val="14"/>
              </w:rPr>
            </w:pPr>
            <w:r w:rsidRPr="0093755D">
              <w:rPr>
                <w:rFonts w:cs="Arial"/>
                <w:szCs w:val="14"/>
              </w:rPr>
              <w:t>Other</w:t>
            </w:r>
          </w:p>
        </w:tc>
        <w:tc>
          <w:tcPr>
            <w:tcW w:w="1240" w:type="dxa"/>
            <w:shd w:val="clear" w:color="auto" w:fill="auto"/>
          </w:tcPr>
          <w:p w14:paraId="023B5190" w14:textId="77777777" w:rsidR="005357C6" w:rsidRPr="0093755D" w:rsidRDefault="005357C6" w:rsidP="00A26497">
            <w:pPr>
              <w:pStyle w:val="08-Tabelageral"/>
              <w:rPr>
                <w:rFonts w:cs="Arial"/>
                <w:szCs w:val="14"/>
              </w:rPr>
            </w:pPr>
            <w:r w:rsidRPr="00EB1CA0">
              <w:t>(18</w:t>
            </w:r>
            <w:r>
              <w:t>,</w:t>
            </w:r>
            <w:r w:rsidRPr="00EB1CA0">
              <w:t>867)</w:t>
            </w:r>
          </w:p>
        </w:tc>
        <w:tc>
          <w:tcPr>
            <w:tcW w:w="1240" w:type="dxa"/>
            <w:shd w:val="clear" w:color="auto" w:fill="auto"/>
          </w:tcPr>
          <w:p w14:paraId="38B4B2B1" w14:textId="77777777" w:rsidR="005357C6" w:rsidRPr="0093755D" w:rsidRDefault="005357C6" w:rsidP="00A26497">
            <w:pPr>
              <w:pStyle w:val="08-Tabelageral"/>
              <w:rPr>
                <w:rFonts w:cs="Arial"/>
                <w:szCs w:val="14"/>
              </w:rPr>
            </w:pPr>
            <w:r w:rsidRPr="00C166D7">
              <w:t>(57</w:t>
            </w:r>
            <w:r>
              <w:t>,</w:t>
            </w:r>
            <w:r w:rsidRPr="00C166D7">
              <w:t>013)</w:t>
            </w:r>
          </w:p>
        </w:tc>
        <w:tc>
          <w:tcPr>
            <w:tcW w:w="1240" w:type="dxa"/>
            <w:shd w:val="clear" w:color="auto" w:fill="auto"/>
          </w:tcPr>
          <w:p w14:paraId="0737FEAF" w14:textId="77777777" w:rsidR="005357C6" w:rsidRPr="0093755D" w:rsidRDefault="005357C6" w:rsidP="00A26497">
            <w:pPr>
              <w:pStyle w:val="08-Tabelageral"/>
              <w:rPr>
                <w:rFonts w:cs="Arial"/>
                <w:szCs w:val="14"/>
              </w:rPr>
            </w:pPr>
            <w:r w:rsidRPr="00F72C73">
              <w:t>--</w:t>
            </w:r>
          </w:p>
        </w:tc>
        <w:tc>
          <w:tcPr>
            <w:tcW w:w="1241" w:type="dxa"/>
            <w:shd w:val="clear" w:color="auto" w:fill="auto"/>
          </w:tcPr>
          <w:p w14:paraId="0A32238B" w14:textId="77777777" w:rsidR="005357C6" w:rsidRPr="0093755D" w:rsidRDefault="005357C6" w:rsidP="00A26497">
            <w:pPr>
              <w:pStyle w:val="08-Tabelageral"/>
              <w:rPr>
                <w:rFonts w:cs="Arial"/>
                <w:szCs w:val="14"/>
              </w:rPr>
            </w:pPr>
            <w:r w:rsidRPr="003C1107">
              <w:t>(75</w:t>
            </w:r>
            <w:r>
              <w:t>,</w:t>
            </w:r>
            <w:r w:rsidRPr="003C1107">
              <w:t>880)</w:t>
            </w:r>
          </w:p>
        </w:tc>
      </w:tr>
      <w:tr w:rsidR="005357C6" w:rsidRPr="0093755D" w14:paraId="17A28D65" w14:textId="77777777" w:rsidTr="00D3472F">
        <w:trPr>
          <w:trHeight w:val="238"/>
          <w:jc w:val="center"/>
        </w:trPr>
        <w:tc>
          <w:tcPr>
            <w:tcW w:w="4678" w:type="dxa"/>
            <w:shd w:val="clear" w:color="auto" w:fill="auto"/>
          </w:tcPr>
          <w:p w14:paraId="13B29BB7" w14:textId="77777777" w:rsidR="005357C6" w:rsidRPr="0093755D" w:rsidRDefault="005357C6" w:rsidP="00A26497">
            <w:pPr>
              <w:pStyle w:val="08-Tabelageral"/>
              <w:jc w:val="left"/>
              <w:rPr>
                <w:rFonts w:cs="Arial"/>
                <w:b/>
                <w:szCs w:val="14"/>
                <w:lang w:val="en-US"/>
              </w:rPr>
            </w:pPr>
            <w:r w:rsidRPr="0093755D">
              <w:rPr>
                <w:rFonts w:cs="Arial"/>
                <w:b/>
                <w:szCs w:val="14"/>
                <w:lang w:val="en-US"/>
              </w:rPr>
              <w:t>I</w:t>
            </w:r>
            <w:r>
              <w:rPr>
                <w:rFonts w:cs="Arial"/>
                <w:b/>
                <w:szCs w:val="14"/>
                <w:lang w:val="en-US"/>
              </w:rPr>
              <w:t>ncome Before Financial Revenue a</w:t>
            </w:r>
            <w:r w:rsidRPr="0093755D">
              <w:rPr>
                <w:rFonts w:cs="Arial"/>
                <w:b/>
                <w:szCs w:val="14"/>
                <w:lang w:val="en-US"/>
              </w:rPr>
              <w:t>nd Expenses</w:t>
            </w:r>
          </w:p>
        </w:tc>
        <w:tc>
          <w:tcPr>
            <w:tcW w:w="1240" w:type="dxa"/>
            <w:shd w:val="clear" w:color="auto" w:fill="auto"/>
          </w:tcPr>
          <w:p w14:paraId="460C88E2" w14:textId="77777777" w:rsidR="005357C6" w:rsidRPr="0093755D" w:rsidRDefault="005357C6" w:rsidP="00A26497">
            <w:pPr>
              <w:pStyle w:val="08-Tabelageral"/>
              <w:rPr>
                <w:rFonts w:cs="Arial"/>
                <w:b/>
                <w:szCs w:val="14"/>
              </w:rPr>
            </w:pPr>
            <w:r w:rsidRPr="00426139">
              <w:rPr>
                <w:b/>
                <w:bCs/>
              </w:rPr>
              <w:t>5</w:t>
            </w:r>
            <w:r>
              <w:rPr>
                <w:b/>
                <w:bCs/>
              </w:rPr>
              <w:t>,</w:t>
            </w:r>
            <w:r w:rsidRPr="00426139">
              <w:rPr>
                <w:b/>
                <w:bCs/>
              </w:rPr>
              <w:t>705</w:t>
            </w:r>
            <w:r>
              <w:rPr>
                <w:b/>
                <w:bCs/>
              </w:rPr>
              <w:t>,</w:t>
            </w:r>
            <w:r w:rsidRPr="00426139">
              <w:rPr>
                <w:b/>
                <w:bCs/>
              </w:rPr>
              <w:t>074</w:t>
            </w:r>
          </w:p>
        </w:tc>
        <w:tc>
          <w:tcPr>
            <w:tcW w:w="1240" w:type="dxa"/>
            <w:shd w:val="clear" w:color="auto" w:fill="auto"/>
          </w:tcPr>
          <w:p w14:paraId="69EC11ED" w14:textId="77777777" w:rsidR="005357C6" w:rsidRPr="0093755D" w:rsidRDefault="005357C6" w:rsidP="00A26497">
            <w:pPr>
              <w:pStyle w:val="08-Tabelageral"/>
              <w:rPr>
                <w:rFonts w:cs="Arial"/>
                <w:b/>
                <w:szCs w:val="14"/>
              </w:rPr>
            </w:pPr>
            <w:r w:rsidRPr="00426139">
              <w:rPr>
                <w:b/>
                <w:bCs/>
              </w:rPr>
              <w:t>3</w:t>
            </w:r>
            <w:r>
              <w:rPr>
                <w:b/>
                <w:bCs/>
              </w:rPr>
              <w:t>,</w:t>
            </w:r>
            <w:r w:rsidRPr="00426139">
              <w:rPr>
                <w:b/>
                <w:bCs/>
              </w:rPr>
              <w:t>150</w:t>
            </w:r>
            <w:r>
              <w:rPr>
                <w:b/>
                <w:bCs/>
              </w:rPr>
              <w:t>,</w:t>
            </w:r>
            <w:r w:rsidRPr="00426139">
              <w:rPr>
                <w:b/>
                <w:bCs/>
              </w:rPr>
              <w:t>719</w:t>
            </w:r>
          </w:p>
        </w:tc>
        <w:tc>
          <w:tcPr>
            <w:tcW w:w="1240" w:type="dxa"/>
            <w:shd w:val="clear" w:color="auto" w:fill="auto"/>
          </w:tcPr>
          <w:p w14:paraId="2078AA69" w14:textId="77777777" w:rsidR="005357C6" w:rsidRPr="0093755D" w:rsidRDefault="005357C6" w:rsidP="00A26497">
            <w:pPr>
              <w:pStyle w:val="08-Tabelageral"/>
              <w:rPr>
                <w:rFonts w:cs="Arial"/>
                <w:b/>
                <w:szCs w:val="14"/>
              </w:rPr>
            </w:pPr>
            <w:r w:rsidRPr="00426139">
              <w:rPr>
                <w:b/>
                <w:bCs/>
              </w:rPr>
              <w:t>(3</w:t>
            </w:r>
            <w:r>
              <w:rPr>
                <w:b/>
                <w:bCs/>
              </w:rPr>
              <w:t>,</w:t>
            </w:r>
            <w:r w:rsidRPr="00426139">
              <w:rPr>
                <w:b/>
                <w:bCs/>
              </w:rPr>
              <w:t>923</w:t>
            </w:r>
            <w:r>
              <w:rPr>
                <w:b/>
                <w:bCs/>
              </w:rPr>
              <w:t>,</w:t>
            </w:r>
            <w:r w:rsidRPr="00426139">
              <w:rPr>
                <w:b/>
                <w:bCs/>
              </w:rPr>
              <w:t>593)</w:t>
            </w:r>
          </w:p>
        </w:tc>
        <w:tc>
          <w:tcPr>
            <w:tcW w:w="1241" w:type="dxa"/>
            <w:shd w:val="clear" w:color="auto" w:fill="auto"/>
          </w:tcPr>
          <w:p w14:paraId="502E348B" w14:textId="77777777" w:rsidR="005357C6" w:rsidRPr="0093755D" w:rsidRDefault="005357C6" w:rsidP="00A26497">
            <w:pPr>
              <w:pStyle w:val="08-Tabelageral"/>
              <w:rPr>
                <w:rFonts w:cs="Arial"/>
                <w:b/>
                <w:szCs w:val="14"/>
              </w:rPr>
            </w:pPr>
            <w:r w:rsidRPr="00426139">
              <w:rPr>
                <w:b/>
                <w:bCs/>
              </w:rPr>
              <w:t>4</w:t>
            </w:r>
            <w:r>
              <w:rPr>
                <w:b/>
                <w:bCs/>
              </w:rPr>
              <w:t>,</w:t>
            </w:r>
            <w:r w:rsidRPr="00426139">
              <w:rPr>
                <w:b/>
                <w:bCs/>
              </w:rPr>
              <w:t>932</w:t>
            </w:r>
            <w:r>
              <w:rPr>
                <w:b/>
                <w:bCs/>
              </w:rPr>
              <w:t>,</w:t>
            </w:r>
            <w:r w:rsidRPr="00426139">
              <w:rPr>
                <w:b/>
                <w:bCs/>
              </w:rPr>
              <w:t>200</w:t>
            </w:r>
          </w:p>
        </w:tc>
      </w:tr>
      <w:tr w:rsidR="005357C6" w:rsidRPr="0093755D" w14:paraId="64EDA873" w14:textId="77777777" w:rsidTr="00D3472F">
        <w:trPr>
          <w:trHeight w:val="238"/>
          <w:jc w:val="center"/>
        </w:trPr>
        <w:tc>
          <w:tcPr>
            <w:tcW w:w="4678" w:type="dxa"/>
            <w:shd w:val="clear" w:color="auto" w:fill="auto"/>
          </w:tcPr>
          <w:p w14:paraId="52170773" w14:textId="77777777" w:rsidR="005357C6" w:rsidRPr="0093755D" w:rsidRDefault="005357C6" w:rsidP="00A26497">
            <w:pPr>
              <w:pStyle w:val="08-Tabelageral"/>
              <w:jc w:val="left"/>
              <w:rPr>
                <w:rFonts w:cs="Arial"/>
                <w:b/>
                <w:szCs w:val="14"/>
              </w:rPr>
            </w:pPr>
            <w:r w:rsidRPr="0093755D">
              <w:rPr>
                <w:rFonts w:cs="Arial"/>
                <w:b/>
                <w:szCs w:val="14"/>
              </w:rPr>
              <w:t>Financial Result</w:t>
            </w:r>
          </w:p>
        </w:tc>
        <w:tc>
          <w:tcPr>
            <w:tcW w:w="1240" w:type="dxa"/>
            <w:shd w:val="clear" w:color="auto" w:fill="auto"/>
          </w:tcPr>
          <w:p w14:paraId="5885A39D" w14:textId="77777777" w:rsidR="005357C6" w:rsidRPr="0093755D" w:rsidRDefault="005357C6" w:rsidP="00A26497">
            <w:pPr>
              <w:pStyle w:val="08-Tabelageral"/>
              <w:rPr>
                <w:rFonts w:cs="Arial"/>
                <w:b/>
                <w:szCs w:val="14"/>
              </w:rPr>
            </w:pPr>
            <w:r w:rsidRPr="00426139">
              <w:rPr>
                <w:b/>
                <w:bCs/>
              </w:rPr>
              <w:t>33</w:t>
            </w:r>
            <w:r>
              <w:rPr>
                <w:b/>
                <w:bCs/>
              </w:rPr>
              <w:t>,</w:t>
            </w:r>
            <w:r w:rsidRPr="00426139">
              <w:rPr>
                <w:b/>
                <w:bCs/>
              </w:rPr>
              <w:t>772</w:t>
            </w:r>
          </w:p>
        </w:tc>
        <w:tc>
          <w:tcPr>
            <w:tcW w:w="1240" w:type="dxa"/>
            <w:shd w:val="clear" w:color="auto" w:fill="auto"/>
          </w:tcPr>
          <w:p w14:paraId="19E299E6" w14:textId="77777777" w:rsidR="005357C6" w:rsidRPr="0093755D" w:rsidRDefault="005357C6" w:rsidP="00A26497">
            <w:pPr>
              <w:pStyle w:val="08-Tabelageral"/>
              <w:rPr>
                <w:rFonts w:cs="Arial"/>
                <w:b/>
                <w:szCs w:val="14"/>
              </w:rPr>
            </w:pPr>
            <w:r w:rsidRPr="00426139">
              <w:rPr>
                <w:b/>
                <w:bCs/>
              </w:rPr>
              <w:t>113</w:t>
            </w:r>
            <w:r>
              <w:rPr>
                <w:b/>
                <w:bCs/>
              </w:rPr>
              <w:t>,</w:t>
            </w:r>
            <w:r w:rsidRPr="00426139">
              <w:rPr>
                <w:b/>
                <w:bCs/>
              </w:rPr>
              <w:t>452</w:t>
            </w:r>
          </w:p>
        </w:tc>
        <w:tc>
          <w:tcPr>
            <w:tcW w:w="1240" w:type="dxa"/>
            <w:shd w:val="clear" w:color="auto" w:fill="auto"/>
          </w:tcPr>
          <w:p w14:paraId="2536DA8F" w14:textId="77777777" w:rsidR="005357C6" w:rsidRPr="0093755D" w:rsidRDefault="005357C6" w:rsidP="00A26497">
            <w:pPr>
              <w:pStyle w:val="08-Tabelageral"/>
              <w:rPr>
                <w:rFonts w:cs="Arial"/>
                <w:b/>
                <w:szCs w:val="14"/>
              </w:rPr>
            </w:pPr>
            <w:r w:rsidRPr="00426139">
              <w:rPr>
                <w:b/>
                <w:bCs/>
              </w:rPr>
              <w:t>--</w:t>
            </w:r>
          </w:p>
        </w:tc>
        <w:tc>
          <w:tcPr>
            <w:tcW w:w="1241" w:type="dxa"/>
            <w:shd w:val="clear" w:color="auto" w:fill="auto"/>
          </w:tcPr>
          <w:p w14:paraId="446B56CC" w14:textId="77777777" w:rsidR="005357C6" w:rsidRPr="0093755D" w:rsidRDefault="005357C6" w:rsidP="00A26497">
            <w:pPr>
              <w:pStyle w:val="08-Tabelageral"/>
              <w:rPr>
                <w:rFonts w:cs="Arial"/>
                <w:b/>
                <w:szCs w:val="14"/>
              </w:rPr>
            </w:pPr>
            <w:r w:rsidRPr="00426139">
              <w:rPr>
                <w:b/>
                <w:bCs/>
              </w:rPr>
              <w:t>147</w:t>
            </w:r>
            <w:r>
              <w:rPr>
                <w:b/>
                <w:bCs/>
              </w:rPr>
              <w:t>,</w:t>
            </w:r>
            <w:r w:rsidRPr="00426139">
              <w:rPr>
                <w:b/>
                <w:bCs/>
              </w:rPr>
              <w:t>224</w:t>
            </w:r>
          </w:p>
        </w:tc>
      </w:tr>
      <w:tr w:rsidR="005357C6" w:rsidRPr="0093755D" w14:paraId="72BE0DE2" w14:textId="77777777" w:rsidTr="00D3472F">
        <w:trPr>
          <w:trHeight w:val="238"/>
          <w:jc w:val="center"/>
        </w:trPr>
        <w:tc>
          <w:tcPr>
            <w:tcW w:w="4678" w:type="dxa"/>
            <w:shd w:val="clear" w:color="auto" w:fill="auto"/>
          </w:tcPr>
          <w:p w14:paraId="0C64238A" w14:textId="77777777" w:rsidR="005357C6" w:rsidRPr="0093755D" w:rsidRDefault="005357C6" w:rsidP="00A26497">
            <w:pPr>
              <w:pStyle w:val="08-Tabelageral"/>
              <w:ind w:left="113"/>
              <w:jc w:val="left"/>
              <w:rPr>
                <w:rFonts w:cs="Arial"/>
                <w:szCs w:val="14"/>
              </w:rPr>
            </w:pPr>
            <w:r w:rsidRPr="0093755D">
              <w:rPr>
                <w:rFonts w:cs="Arial"/>
                <w:szCs w:val="14"/>
              </w:rPr>
              <w:t>Financial revenue</w:t>
            </w:r>
          </w:p>
        </w:tc>
        <w:tc>
          <w:tcPr>
            <w:tcW w:w="1240" w:type="dxa"/>
            <w:shd w:val="clear" w:color="auto" w:fill="auto"/>
          </w:tcPr>
          <w:p w14:paraId="78B41DDA" w14:textId="77777777" w:rsidR="005357C6" w:rsidRPr="0093755D" w:rsidRDefault="005357C6" w:rsidP="00A26497">
            <w:pPr>
              <w:pStyle w:val="08-Tabelageral"/>
              <w:rPr>
                <w:rFonts w:cs="Arial"/>
                <w:szCs w:val="14"/>
              </w:rPr>
            </w:pPr>
            <w:r w:rsidRPr="00EB1CA0">
              <w:t>37</w:t>
            </w:r>
            <w:r>
              <w:t>,</w:t>
            </w:r>
            <w:r w:rsidRPr="00EB1CA0">
              <w:t>872</w:t>
            </w:r>
          </w:p>
        </w:tc>
        <w:tc>
          <w:tcPr>
            <w:tcW w:w="1240" w:type="dxa"/>
            <w:shd w:val="clear" w:color="auto" w:fill="auto"/>
          </w:tcPr>
          <w:p w14:paraId="30EA214B" w14:textId="77777777" w:rsidR="005357C6" w:rsidRPr="0093755D" w:rsidRDefault="005357C6" w:rsidP="00A26497">
            <w:pPr>
              <w:pStyle w:val="08-Tabelageral"/>
              <w:rPr>
                <w:rFonts w:cs="Arial"/>
                <w:szCs w:val="14"/>
              </w:rPr>
            </w:pPr>
            <w:r w:rsidRPr="00C166D7">
              <w:t>116</w:t>
            </w:r>
            <w:r>
              <w:t>,</w:t>
            </w:r>
            <w:r w:rsidRPr="00C166D7">
              <w:t>801</w:t>
            </w:r>
          </w:p>
        </w:tc>
        <w:tc>
          <w:tcPr>
            <w:tcW w:w="1240" w:type="dxa"/>
            <w:shd w:val="clear" w:color="auto" w:fill="auto"/>
          </w:tcPr>
          <w:p w14:paraId="210BFFB5" w14:textId="77777777" w:rsidR="005357C6" w:rsidRPr="0093755D" w:rsidRDefault="005357C6" w:rsidP="00A26497">
            <w:pPr>
              <w:pStyle w:val="08-Tabelageral"/>
              <w:rPr>
                <w:rFonts w:cs="Arial"/>
                <w:szCs w:val="14"/>
              </w:rPr>
            </w:pPr>
            <w:r w:rsidRPr="00F72C73">
              <w:t>(2</w:t>
            </w:r>
            <w:r>
              <w:t>,</w:t>
            </w:r>
            <w:r w:rsidRPr="00F72C73">
              <w:t>934)</w:t>
            </w:r>
          </w:p>
        </w:tc>
        <w:tc>
          <w:tcPr>
            <w:tcW w:w="1241" w:type="dxa"/>
            <w:shd w:val="clear" w:color="auto" w:fill="auto"/>
          </w:tcPr>
          <w:p w14:paraId="645D84D7" w14:textId="77777777" w:rsidR="005357C6" w:rsidRPr="0093755D" w:rsidRDefault="005357C6" w:rsidP="00A26497">
            <w:pPr>
              <w:pStyle w:val="08-Tabelageral"/>
              <w:rPr>
                <w:rFonts w:cs="Arial"/>
                <w:szCs w:val="14"/>
              </w:rPr>
            </w:pPr>
            <w:r w:rsidRPr="003C1107">
              <w:t>151</w:t>
            </w:r>
            <w:r>
              <w:t>,</w:t>
            </w:r>
            <w:r w:rsidRPr="003C1107">
              <w:t>739</w:t>
            </w:r>
          </w:p>
        </w:tc>
      </w:tr>
      <w:tr w:rsidR="005357C6" w:rsidRPr="0093755D" w14:paraId="518EC70B" w14:textId="77777777" w:rsidTr="00D3472F">
        <w:trPr>
          <w:trHeight w:val="238"/>
          <w:jc w:val="center"/>
        </w:trPr>
        <w:tc>
          <w:tcPr>
            <w:tcW w:w="4678" w:type="dxa"/>
            <w:shd w:val="clear" w:color="auto" w:fill="auto"/>
          </w:tcPr>
          <w:p w14:paraId="002798E2" w14:textId="77777777" w:rsidR="005357C6" w:rsidRPr="0093755D" w:rsidRDefault="005357C6" w:rsidP="00A26497">
            <w:pPr>
              <w:pStyle w:val="08-Tabelageral"/>
              <w:ind w:left="113"/>
              <w:jc w:val="left"/>
              <w:rPr>
                <w:rFonts w:cs="Arial"/>
                <w:szCs w:val="14"/>
              </w:rPr>
            </w:pPr>
            <w:r w:rsidRPr="0093755D">
              <w:rPr>
                <w:rFonts w:cs="Arial"/>
                <w:szCs w:val="14"/>
              </w:rPr>
              <w:t>Financial expenses</w:t>
            </w:r>
          </w:p>
        </w:tc>
        <w:tc>
          <w:tcPr>
            <w:tcW w:w="1240" w:type="dxa"/>
            <w:shd w:val="clear" w:color="auto" w:fill="auto"/>
          </w:tcPr>
          <w:p w14:paraId="0A20BA4C" w14:textId="77777777" w:rsidR="005357C6" w:rsidRPr="0093755D" w:rsidRDefault="005357C6" w:rsidP="00A26497">
            <w:pPr>
              <w:pStyle w:val="08-Tabelageral"/>
              <w:rPr>
                <w:rFonts w:cs="Arial"/>
                <w:szCs w:val="14"/>
              </w:rPr>
            </w:pPr>
            <w:r w:rsidRPr="00EB1CA0">
              <w:t>(4</w:t>
            </w:r>
            <w:r>
              <w:t>,</w:t>
            </w:r>
            <w:r w:rsidRPr="00EB1CA0">
              <w:t>100)</w:t>
            </w:r>
          </w:p>
        </w:tc>
        <w:tc>
          <w:tcPr>
            <w:tcW w:w="1240" w:type="dxa"/>
            <w:shd w:val="clear" w:color="auto" w:fill="auto"/>
          </w:tcPr>
          <w:p w14:paraId="24979ED3" w14:textId="77777777" w:rsidR="005357C6" w:rsidRPr="0093755D" w:rsidRDefault="005357C6" w:rsidP="00A26497">
            <w:pPr>
              <w:pStyle w:val="08-Tabelageral"/>
              <w:rPr>
                <w:rFonts w:cs="Arial"/>
                <w:szCs w:val="14"/>
              </w:rPr>
            </w:pPr>
            <w:r w:rsidRPr="00C166D7">
              <w:t>(3</w:t>
            </w:r>
            <w:r>
              <w:t>,</w:t>
            </w:r>
            <w:r w:rsidRPr="00C166D7">
              <w:t>349)</w:t>
            </w:r>
          </w:p>
        </w:tc>
        <w:tc>
          <w:tcPr>
            <w:tcW w:w="1240" w:type="dxa"/>
            <w:shd w:val="clear" w:color="auto" w:fill="auto"/>
          </w:tcPr>
          <w:p w14:paraId="67B4C2C2" w14:textId="77777777" w:rsidR="005357C6" w:rsidRPr="0093755D" w:rsidRDefault="005357C6" w:rsidP="00A26497">
            <w:pPr>
              <w:pStyle w:val="08-Tabelageral"/>
              <w:rPr>
                <w:rFonts w:cs="Arial"/>
                <w:szCs w:val="14"/>
              </w:rPr>
            </w:pPr>
            <w:r w:rsidRPr="00F72C73">
              <w:t>2</w:t>
            </w:r>
            <w:r>
              <w:t>,</w:t>
            </w:r>
            <w:r w:rsidRPr="00F72C73">
              <w:t>934</w:t>
            </w:r>
          </w:p>
        </w:tc>
        <w:tc>
          <w:tcPr>
            <w:tcW w:w="1241" w:type="dxa"/>
            <w:shd w:val="clear" w:color="auto" w:fill="auto"/>
          </w:tcPr>
          <w:p w14:paraId="1CA06D53" w14:textId="77777777" w:rsidR="005357C6" w:rsidRPr="0093755D" w:rsidRDefault="005357C6" w:rsidP="00A26497">
            <w:pPr>
              <w:pStyle w:val="08-Tabelageral"/>
              <w:rPr>
                <w:rFonts w:cs="Arial"/>
                <w:szCs w:val="14"/>
              </w:rPr>
            </w:pPr>
            <w:r w:rsidRPr="003C1107">
              <w:t>(4</w:t>
            </w:r>
            <w:r>
              <w:t>,</w:t>
            </w:r>
            <w:r w:rsidRPr="003C1107">
              <w:t>515)</w:t>
            </w:r>
          </w:p>
        </w:tc>
      </w:tr>
      <w:tr w:rsidR="005357C6" w:rsidRPr="0093755D" w14:paraId="3DA765A7" w14:textId="77777777" w:rsidTr="00D3472F">
        <w:trPr>
          <w:trHeight w:val="238"/>
          <w:jc w:val="center"/>
        </w:trPr>
        <w:tc>
          <w:tcPr>
            <w:tcW w:w="4678" w:type="dxa"/>
            <w:shd w:val="clear" w:color="auto" w:fill="auto"/>
          </w:tcPr>
          <w:p w14:paraId="6D76CC2E" w14:textId="77777777" w:rsidR="005357C6" w:rsidRPr="0093755D" w:rsidRDefault="005357C6" w:rsidP="00A26497">
            <w:pPr>
              <w:pStyle w:val="08-Tabelageral"/>
              <w:jc w:val="left"/>
              <w:rPr>
                <w:rFonts w:cs="Arial"/>
                <w:b/>
                <w:bCs/>
                <w:szCs w:val="14"/>
                <w:lang w:val="en-US"/>
              </w:rPr>
            </w:pPr>
            <w:r w:rsidRPr="0093755D">
              <w:rPr>
                <w:rFonts w:cs="Arial"/>
                <w:b/>
                <w:szCs w:val="14"/>
                <w:lang w:val="en-US"/>
              </w:rPr>
              <w:t xml:space="preserve">Income Before Taxes </w:t>
            </w:r>
            <w:r>
              <w:rPr>
                <w:rFonts w:cs="Arial"/>
                <w:b/>
                <w:szCs w:val="14"/>
                <w:lang w:val="en-US"/>
              </w:rPr>
              <w:t>a</w:t>
            </w:r>
            <w:r w:rsidRPr="0093755D">
              <w:rPr>
                <w:rFonts w:cs="Arial"/>
                <w:b/>
                <w:szCs w:val="14"/>
                <w:lang w:val="en-US"/>
              </w:rPr>
              <w:t>nd Equities</w:t>
            </w:r>
          </w:p>
        </w:tc>
        <w:tc>
          <w:tcPr>
            <w:tcW w:w="1240" w:type="dxa"/>
            <w:shd w:val="clear" w:color="auto" w:fill="auto"/>
          </w:tcPr>
          <w:p w14:paraId="01840317" w14:textId="77777777" w:rsidR="005357C6" w:rsidRPr="0093755D" w:rsidRDefault="005357C6" w:rsidP="00A26497">
            <w:pPr>
              <w:pStyle w:val="08-Tabelageral"/>
              <w:rPr>
                <w:rFonts w:cs="Arial"/>
                <w:b/>
                <w:szCs w:val="14"/>
              </w:rPr>
            </w:pPr>
            <w:r w:rsidRPr="00426139">
              <w:rPr>
                <w:b/>
                <w:bCs/>
              </w:rPr>
              <w:t>5</w:t>
            </w:r>
            <w:r>
              <w:rPr>
                <w:b/>
                <w:bCs/>
              </w:rPr>
              <w:t>,</w:t>
            </w:r>
            <w:r w:rsidRPr="00426139">
              <w:rPr>
                <w:b/>
                <w:bCs/>
              </w:rPr>
              <w:t>738</w:t>
            </w:r>
            <w:r>
              <w:rPr>
                <w:b/>
                <w:bCs/>
              </w:rPr>
              <w:t>,</w:t>
            </w:r>
            <w:r w:rsidRPr="00426139">
              <w:rPr>
                <w:b/>
                <w:bCs/>
              </w:rPr>
              <w:t>846</w:t>
            </w:r>
          </w:p>
        </w:tc>
        <w:tc>
          <w:tcPr>
            <w:tcW w:w="1240" w:type="dxa"/>
            <w:shd w:val="clear" w:color="auto" w:fill="auto"/>
          </w:tcPr>
          <w:p w14:paraId="40773EEE" w14:textId="77777777" w:rsidR="005357C6" w:rsidRPr="0093755D" w:rsidRDefault="005357C6" w:rsidP="00A26497">
            <w:pPr>
              <w:pStyle w:val="08-Tabelageral"/>
              <w:rPr>
                <w:rFonts w:cs="Arial"/>
                <w:b/>
                <w:szCs w:val="14"/>
              </w:rPr>
            </w:pPr>
            <w:r w:rsidRPr="00426139">
              <w:rPr>
                <w:b/>
                <w:bCs/>
              </w:rPr>
              <w:t>3</w:t>
            </w:r>
            <w:r>
              <w:rPr>
                <w:b/>
                <w:bCs/>
              </w:rPr>
              <w:t>,</w:t>
            </w:r>
            <w:r w:rsidRPr="00426139">
              <w:rPr>
                <w:b/>
                <w:bCs/>
              </w:rPr>
              <w:t>264</w:t>
            </w:r>
            <w:r>
              <w:rPr>
                <w:b/>
                <w:bCs/>
              </w:rPr>
              <w:t>,</w:t>
            </w:r>
            <w:r w:rsidRPr="00426139">
              <w:rPr>
                <w:b/>
                <w:bCs/>
              </w:rPr>
              <w:t>171</w:t>
            </w:r>
          </w:p>
        </w:tc>
        <w:tc>
          <w:tcPr>
            <w:tcW w:w="1240" w:type="dxa"/>
            <w:shd w:val="clear" w:color="auto" w:fill="auto"/>
          </w:tcPr>
          <w:p w14:paraId="39B6056E" w14:textId="77777777" w:rsidR="005357C6" w:rsidRPr="0093755D" w:rsidRDefault="005357C6" w:rsidP="00A26497">
            <w:pPr>
              <w:pStyle w:val="08-Tabelageral"/>
              <w:rPr>
                <w:rFonts w:cs="Arial"/>
                <w:b/>
                <w:szCs w:val="14"/>
              </w:rPr>
            </w:pPr>
            <w:r w:rsidRPr="00426139">
              <w:rPr>
                <w:b/>
                <w:bCs/>
              </w:rPr>
              <w:t>(3</w:t>
            </w:r>
            <w:r>
              <w:rPr>
                <w:b/>
                <w:bCs/>
              </w:rPr>
              <w:t>,</w:t>
            </w:r>
            <w:r w:rsidRPr="00426139">
              <w:rPr>
                <w:b/>
                <w:bCs/>
              </w:rPr>
              <w:t>923</w:t>
            </w:r>
            <w:r>
              <w:rPr>
                <w:b/>
                <w:bCs/>
              </w:rPr>
              <w:t>,</w:t>
            </w:r>
            <w:r w:rsidRPr="00426139">
              <w:rPr>
                <w:b/>
                <w:bCs/>
              </w:rPr>
              <w:t>593)</w:t>
            </w:r>
          </w:p>
        </w:tc>
        <w:tc>
          <w:tcPr>
            <w:tcW w:w="1241" w:type="dxa"/>
            <w:shd w:val="clear" w:color="auto" w:fill="auto"/>
          </w:tcPr>
          <w:p w14:paraId="16FB3184" w14:textId="77777777" w:rsidR="005357C6" w:rsidRPr="0093755D" w:rsidRDefault="005357C6" w:rsidP="00A26497">
            <w:pPr>
              <w:pStyle w:val="08-Tabelageral"/>
              <w:rPr>
                <w:rFonts w:cs="Arial"/>
                <w:b/>
                <w:szCs w:val="14"/>
              </w:rPr>
            </w:pPr>
            <w:r w:rsidRPr="00426139">
              <w:rPr>
                <w:b/>
                <w:bCs/>
              </w:rPr>
              <w:t>5</w:t>
            </w:r>
            <w:r>
              <w:rPr>
                <w:b/>
                <w:bCs/>
              </w:rPr>
              <w:t>,</w:t>
            </w:r>
            <w:r w:rsidRPr="00426139">
              <w:rPr>
                <w:b/>
                <w:bCs/>
              </w:rPr>
              <w:t>079</w:t>
            </w:r>
            <w:r>
              <w:rPr>
                <w:b/>
                <w:bCs/>
              </w:rPr>
              <w:t>,</w:t>
            </w:r>
            <w:r w:rsidRPr="00426139">
              <w:rPr>
                <w:b/>
                <w:bCs/>
              </w:rPr>
              <w:t>424</w:t>
            </w:r>
          </w:p>
        </w:tc>
      </w:tr>
      <w:tr w:rsidR="005357C6" w:rsidRPr="000F19A6" w14:paraId="43520B28" w14:textId="77777777" w:rsidTr="00D3472F">
        <w:trPr>
          <w:trHeight w:val="238"/>
          <w:jc w:val="center"/>
        </w:trPr>
        <w:tc>
          <w:tcPr>
            <w:tcW w:w="4678" w:type="dxa"/>
            <w:tcBorders>
              <w:bottom w:val="nil"/>
            </w:tcBorders>
            <w:shd w:val="clear" w:color="auto" w:fill="auto"/>
          </w:tcPr>
          <w:p w14:paraId="59F38332" w14:textId="77777777" w:rsidR="005357C6" w:rsidRPr="000F19A6" w:rsidRDefault="005357C6" w:rsidP="00A26497">
            <w:pPr>
              <w:pStyle w:val="08-Tabelageral"/>
              <w:ind w:left="113"/>
              <w:jc w:val="left"/>
              <w:rPr>
                <w:rFonts w:cs="Arial"/>
                <w:szCs w:val="14"/>
                <w:lang w:val="en-US"/>
              </w:rPr>
            </w:pPr>
            <w:r w:rsidRPr="000F19A6">
              <w:rPr>
                <w:rFonts w:cs="Arial"/>
                <w:szCs w:val="14"/>
                <w:lang w:val="en-US"/>
              </w:rPr>
              <w:t>Income Tax and Social Contribution</w:t>
            </w:r>
          </w:p>
        </w:tc>
        <w:tc>
          <w:tcPr>
            <w:tcW w:w="1240" w:type="dxa"/>
            <w:tcBorders>
              <w:bottom w:val="nil"/>
            </w:tcBorders>
            <w:shd w:val="clear" w:color="auto" w:fill="auto"/>
          </w:tcPr>
          <w:p w14:paraId="6DFCF299" w14:textId="77777777" w:rsidR="005357C6" w:rsidRPr="000F19A6" w:rsidRDefault="005357C6" w:rsidP="00A26497">
            <w:pPr>
              <w:pStyle w:val="08-Tabelageral"/>
              <w:rPr>
                <w:rFonts w:cs="Arial"/>
                <w:szCs w:val="14"/>
              </w:rPr>
            </w:pPr>
            <w:r w:rsidRPr="00EB1CA0">
              <w:t>(44</w:t>
            </w:r>
            <w:r>
              <w:t>,</w:t>
            </w:r>
            <w:r w:rsidRPr="00EB1CA0">
              <w:t>075)</w:t>
            </w:r>
          </w:p>
        </w:tc>
        <w:tc>
          <w:tcPr>
            <w:tcW w:w="1240" w:type="dxa"/>
            <w:tcBorders>
              <w:bottom w:val="nil"/>
            </w:tcBorders>
            <w:shd w:val="clear" w:color="auto" w:fill="auto"/>
          </w:tcPr>
          <w:p w14:paraId="1BF3C4D4" w14:textId="77777777" w:rsidR="005357C6" w:rsidRPr="000F19A6" w:rsidRDefault="005357C6" w:rsidP="00A26497">
            <w:pPr>
              <w:pStyle w:val="08-Tabelageral"/>
              <w:rPr>
                <w:rFonts w:cs="Arial"/>
                <w:szCs w:val="14"/>
              </w:rPr>
            </w:pPr>
            <w:r w:rsidRPr="00C166D7">
              <w:t>(1</w:t>
            </w:r>
            <w:r>
              <w:t>,</w:t>
            </w:r>
            <w:r w:rsidRPr="00C166D7">
              <w:t>102</w:t>
            </w:r>
            <w:r>
              <w:t>,</w:t>
            </w:r>
            <w:r w:rsidRPr="00C166D7">
              <w:t>132)</w:t>
            </w:r>
          </w:p>
        </w:tc>
        <w:tc>
          <w:tcPr>
            <w:tcW w:w="1240" w:type="dxa"/>
            <w:tcBorders>
              <w:bottom w:val="nil"/>
            </w:tcBorders>
            <w:shd w:val="clear" w:color="auto" w:fill="auto"/>
          </w:tcPr>
          <w:p w14:paraId="71D2CC8F" w14:textId="77777777" w:rsidR="005357C6" w:rsidRPr="000F19A6" w:rsidRDefault="005357C6" w:rsidP="00A26497">
            <w:pPr>
              <w:pStyle w:val="08-Tabelageral"/>
              <w:rPr>
                <w:rFonts w:cs="Arial"/>
                <w:szCs w:val="14"/>
              </w:rPr>
            </w:pPr>
            <w:r w:rsidRPr="00F72C73">
              <w:t>--</w:t>
            </w:r>
          </w:p>
        </w:tc>
        <w:tc>
          <w:tcPr>
            <w:tcW w:w="1241" w:type="dxa"/>
            <w:tcBorders>
              <w:bottom w:val="nil"/>
            </w:tcBorders>
            <w:shd w:val="clear" w:color="auto" w:fill="auto"/>
          </w:tcPr>
          <w:p w14:paraId="3EFE7818" w14:textId="77777777" w:rsidR="005357C6" w:rsidRPr="000F19A6" w:rsidRDefault="005357C6" w:rsidP="00A26497">
            <w:pPr>
              <w:pStyle w:val="08-Tabelageral"/>
              <w:rPr>
                <w:rFonts w:cs="Arial"/>
                <w:szCs w:val="14"/>
              </w:rPr>
            </w:pPr>
            <w:r w:rsidRPr="003C1107">
              <w:t>(1</w:t>
            </w:r>
            <w:r>
              <w:t>,</w:t>
            </w:r>
            <w:r w:rsidRPr="003C1107">
              <w:t>146</w:t>
            </w:r>
            <w:r>
              <w:t>,</w:t>
            </w:r>
            <w:r w:rsidRPr="003C1107">
              <w:t>207)</w:t>
            </w:r>
          </w:p>
        </w:tc>
      </w:tr>
      <w:tr w:rsidR="005357C6" w:rsidRPr="0093755D" w14:paraId="305B4173" w14:textId="77777777" w:rsidTr="00D3472F">
        <w:trPr>
          <w:trHeight w:val="238"/>
          <w:jc w:val="center"/>
        </w:trPr>
        <w:tc>
          <w:tcPr>
            <w:tcW w:w="4678" w:type="dxa"/>
            <w:tcBorders>
              <w:top w:val="nil"/>
              <w:bottom w:val="single" w:sz="2" w:space="0" w:color="1F3864" w:themeColor="accent5" w:themeShade="80"/>
            </w:tcBorders>
            <w:shd w:val="clear" w:color="auto" w:fill="auto"/>
          </w:tcPr>
          <w:p w14:paraId="3D82E096" w14:textId="77777777" w:rsidR="005357C6" w:rsidRPr="0093755D" w:rsidRDefault="005357C6" w:rsidP="00A26497">
            <w:pPr>
              <w:pStyle w:val="08-Tabelageral"/>
              <w:jc w:val="left"/>
              <w:rPr>
                <w:rFonts w:cs="Arial"/>
                <w:b/>
                <w:bCs/>
                <w:szCs w:val="14"/>
                <w:lang w:val="en-US"/>
              </w:rPr>
            </w:pPr>
            <w:r w:rsidRPr="0093755D">
              <w:rPr>
                <w:rFonts w:cs="Arial"/>
                <w:b/>
                <w:szCs w:val="14"/>
                <w:lang w:val="en-US"/>
              </w:rPr>
              <w:t>Net Income</w:t>
            </w:r>
          </w:p>
        </w:tc>
        <w:tc>
          <w:tcPr>
            <w:tcW w:w="1240" w:type="dxa"/>
            <w:tcBorders>
              <w:top w:val="nil"/>
              <w:bottom w:val="single" w:sz="2" w:space="0" w:color="1F3864" w:themeColor="accent5" w:themeShade="80"/>
            </w:tcBorders>
            <w:shd w:val="clear" w:color="auto" w:fill="auto"/>
          </w:tcPr>
          <w:p w14:paraId="60EEB946" w14:textId="77777777" w:rsidR="005357C6" w:rsidRPr="0093755D" w:rsidRDefault="005357C6" w:rsidP="00A26497">
            <w:pPr>
              <w:pStyle w:val="08-Tabelageral"/>
              <w:rPr>
                <w:rFonts w:cs="Arial"/>
                <w:b/>
                <w:szCs w:val="14"/>
              </w:rPr>
            </w:pPr>
            <w:r w:rsidRPr="00426139">
              <w:rPr>
                <w:b/>
                <w:bCs/>
              </w:rPr>
              <w:t>5</w:t>
            </w:r>
            <w:r>
              <w:rPr>
                <w:b/>
                <w:bCs/>
              </w:rPr>
              <w:t>,</w:t>
            </w:r>
            <w:r w:rsidRPr="00426139">
              <w:rPr>
                <w:b/>
                <w:bCs/>
              </w:rPr>
              <w:t>694</w:t>
            </w:r>
            <w:r>
              <w:rPr>
                <w:b/>
                <w:bCs/>
              </w:rPr>
              <w:t>,</w:t>
            </w:r>
            <w:r w:rsidRPr="00426139">
              <w:rPr>
                <w:b/>
                <w:bCs/>
              </w:rPr>
              <w:t>771</w:t>
            </w:r>
          </w:p>
        </w:tc>
        <w:tc>
          <w:tcPr>
            <w:tcW w:w="1240" w:type="dxa"/>
            <w:tcBorders>
              <w:top w:val="nil"/>
              <w:bottom w:val="single" w:sz="2" w:space="0" w:color="1F3864" w:themeColor="accent5" w:themeShade="80"/>
            </w:tcBorders>
            <w:shd w:val="clear" w:color="auto" w:fill="auto"/>
          </w:tcPr>
          <w:p w14:paraId="4146AA04" w14:textId="77777777" w:rsidR="005357C6" w:rsidRPr="0093755D" w:rsidRDefault="005357C6" w:rsidP="00A26497">
            <w:pPr>
              <w:pStyle w:val="08-Tabelageral"/>
              <w:rPr>
                <w:rFonts w:cs="Arial"/>
                <w:b/>
                <w:szCs w:val="14"/>
              </w:rPr>
            </w:pPr>
            <w:r w:rsidRPr="00426139">
              <w:rPr>
                <w:b/>
                <w:bCs/>
              </w:rPr>
              <w:t>2</w:t>
            </w:r>
            <w:r>
              <w:rPr>
                <w:b/>
                <w:bCs/>
              </w:rPr>
              <w:t>,</w:t>
            </w:r>
            <w:r w:rsidRPr="00426139">
              <w:rPr>
                <w:b/>
                <w:bCs/>
              </w:rPr>
              <w:t>162</w:t>
            </w:r>
            <w:r>
              <w:rPr>
                <w:b/>
                <w:bCs/>
              </w:rPr>
              <w:t>,</w:t>
            </w:r>
            <w:r w:rsidRPr="00426139">
              <w:rPr>
                <w:b/>
                <w:bCs/>
              </w:rPr>
              <w:t>039</w:t>
            </w:r>
          </w:p>
        </w:tc>
        <w:tc>
          <w:tcPr>
            <w:tcW w:w="1240" w:type="dxa"/>
            <w:tcBorders>
              <w:top w:val="nil"/>
              <w:bottom w:val="single" w:sz="2" w:space="0" w:color="1F3864" w:themeColor="accent5" w:themeShade="80"/>
            </w:tcBorders>
            <w:shd w:val="clear" w:color="auto" w:fill="auto"/>
          </w:tcPr>
          <w:p w14:paraId="4EF53165" w14:textId="77777777" w:rsidR="005357C6" w:rsidRPr="0093755D" w:rsidRDefault="005357C6" w:rsidP="00A26497">
            <w:pPr>
              <w:pStyle w:val="08-Tabelageral"/>
              <w:rPr>
                <w:rFonts w:cs="Arial"/>
                <w:b/>
                <w:szCs w:val="14"/>
              </w:rPr>
            </w:pPr>
            <w:r w:rsidRPr="00426139">
              <w:rPr>
                <w:b/>
                <w:bCs/>
              </w:rPr>
              <w:t>(3</w:t>
            </w:r>
            <w:r>
              <w:rPr>
                <w:b/>
                <w:bCs/>
              </w:rPr>
              <w:t>,</w:t>
            </w:r>
            <w:r w:rsidRPr="00426139">
              <w:rPr>
                <w:b/>
                <w:bCs/>
              </w:rPr>
              <w:t>923</w:t>
            </w:r>
            <w:r>
              <w:rPr>
                <w:b/>
                <w:bCs/>
              </w:rPr>
              <w:t>,</w:t>
            </w:r>
            <w:r w:rsidRPr="00426139">
              <w:rPr>
                <w:b/>
                <w:bCs/>
              </w:rPr>
              <w:t>593)</w:t>
            </w:r>
          </w:p>
        </w:tc>
        <w:tc>
          <w:tcPr>
            <w:tcW w:w="1241" w:type="dxa"/>
            <w:tcBorders>
              <w:top w:val="nil"/>
              <w:bottom w:val="single" w:sz="2" w:space="0" w:color="1F3864" w:themeColor="accent5" w:themeShade="80"/>
            </w:tcBorders>
            <w:shd w:val="clear" w:color="auto" w:fill="auto"/>
          </w:tcPr>
          <w:p w14:paraId="2F74D6A5" w14:textId="77777777" w:rsidR="005357C6" w:rsidRPr="0093755D" w:rsidRDefault="005357C6" w:rsidP="00A26497">
            <w:pPr>
              <w:pStyle w:val="08-Tabelageral"/>
              <w:rPr>
                <w:rFonts w:cs="Arial"/>
                <w:b/>
                <w:szCs w:val="14"/>
              </w:rPr>
            </w:pPr>
            <w:r w:rsidRPr="00426139">
              <w:rPr>
                <w:b/>
                <w:bCs/>
              </w:rPr>
              <w:t>3</w:t>
            </w:r>
            <w:r>
              <w:rPr>
                <w:b/>
                <w:bCs/>
              </w:rPr>
              <w:t>,</w:t>
            </w:r>
            <w:r w:rsidRPr="00426139">
              <w:rPr>
                <w:b/>
                <w:bCs/>
              </w:rPr>
              <w:t>933</w:t>
            </w:r>
            <w:r>
              <w:rPr>
                <w:b/>
                <w:bCs/>
              </w:rPr>
              <w:t>,</w:t>
            </w:r>
            <w:r w:rsidRPr="00426139">
              <w:rPr>
                <w:b/>
                <w:bCs/>
              </w:rPr>
              <w:t>217</w:t>
            </w:r>
          </w:p>
        </w:tc>
      </w:tr>
    </w:tbl>
    <w:p w14:paraId="37EA9386" w14:textId="77777777" w:rsidR="005357C6" w:rsidRDefault="005357C6" w:rsidP="00F2071B">
      <w:pPr>
        <w:spacing w:after="0" w:line="240" w:lineRule="auto"/>
        <w:rPr>
          <w:rFonts w:cs="Arial"/>
          <w:b/>
          <w:color w:val="1F4E79" w:themeColor="accent1" w:themeShade="80"/>
          <w:szCs w:val="18"/>
          <w:lang w:val="en-US"/>
        </w:rPr>
      </w:pPr>
    </w:p>
    <w:p w14:paraId="3D2A3EBE" w14:textId="77777777" w:rsidR="005357C6" w:rsidRDefault="005357C6" w:rsidP="00FC4475">
      <w:pPr>
        <w:keepNext/>
        <w:keepLines/>
        <w:pageBreakBefore/>
        <w:spacing w:after="0" w:line="240" w:lineRule="auto"/>
        <w:rPr>
          <w:rFonts w:cs="Arial"/>
          <w:b/>
          <w:color w:val="1F4E79" w:themeColor="accent1" w:themeShade="80"/>
          <w:szCs w:val="18"/>
          <w:lang w:val="en-US"/>
        </w:rPr>
      </w:pPr>
      <w:r w:rsidRPr="00C7533E">
        <w:rPr>
          <w:rFonts w:cs="Arial"/>
          <w:b/>
          <w:color w:val="1F4E79" w:themeColor="accent1" w:themeShade="80"/>
          <w:szCs w:val="18"/>
          <w:lang w:val="en-US"/>
        </w:rPr>
        <w:lastRenderedPageBreak/>
        <w:t>d) Balance sheet by segment</w:t>
      </w:r>
    </w:p>
    <w:p w14:paraId="18B5C84E" w14:textId="77777777" w:rsidR="005357C6" w:rsidRDefault="005357C6" w:rsidP="00F2071B">
      <w:pPr>
        <w:spacing w:after="0" w:line="240" w:lineRule="auto"/>
        <w:rPr>
          <w:rFonts w:cs="Arial"/>
          <w:b/>
          <w:color w:val="1F4E79" w:themeColor="accent1" w:themeShade="80"/>
          <w:szCs w:val="18"/>
          <w:lang w:val="en-US"/>
        </w:rPr>
      </w:pPr>
    </w:p>
    <w:p w14:paraId="10D2248B" w14:textId="77777777" w:rsidR="005357C6" w:rsidRPr="00C7533E" w:rsidRDefault="005357C6" w:rsidP="009A0C19">
      <w:pPr>
        <w:pStyle w:val="05-Textonormal"/>
        <w:spacing w:after="0"/>
        <w:jc w:val="right"/>
        <w:rPr>
          <w:b/>
          <w:sz w:val="14"/>
          <w:lang w:val="en-US"/>
        </w:rPr>
      </w:pPr>
      <w:r w:rsidRPr="00C7533E">
        <w:rPr>
          <w:b/>
          <w:sz w:val="14"/>
          <w:lang w:val="en-US"/>
        </w:rPr>
        <w:t xml:space="preserve">R$ </w:t>
      </w:r>
      <w:r w:rsidRPr="00C7533E">
        <w:rPr>
          <w:rFonts w:cs="Arial"/>
          <w:b/>
          <w:sz w:val="14"/>
          <w:lang w:val="en-US"/>
        </w:rPr>
        <w:t>thousand</w:t>
      </w:r>
    </w:p>
    <w:tbl>
      <w:tblPr>
        <w:tblW w:w="9639" w:type="dxa"/>
        <w:jc w:val="center"/>
        <w:tblLayout w:type="fixed"/>
        <w:tblLook w:val="04A0" w:firstRow="1" w:lastRow="0" w:firstColumn="1" w:lastColumn="0" w:noHBand="0" w:noVBand="1"/>
      </w:tblPr>
      <w:tblGrid>
        <w:gridCol w:w="3119"/>
        <w:gridCol w:w="1630"/>
        <w:gridCol w:w="1630"/>
        <w:gridCol w:w="1630"/>
        <w:gridCol w:w="1630"/>
      </w:tblGrid>
      <w:tr w:rsidR="005357C6" w:rsidRPr="005C67D6" w14:paraId="00515994" w14:textId="77777777" w:rsidTr="00D3472F">
        <w:trPr>
          <w:trHeight w:val="238"/>
          <w:jc w:val="center"/>
        </w:trPr>
        <w:tc>
          <w:tcPr>
            <w:tcW w:w="3119" w:type="dxa"/>
            <w:tcBorders>
              <w:top w:val="single" w:sz="2" w:space="0" w:color="1F4E79" w:themeColor="accent1" w:themeShade="80"/>
            </w:tcBorders>
            <w:shd w:val="clear" w:color="auto" w:fill="auto"/>
            <w:vAlign w:val="center"/>
          </w:tcPr>
          <w:p w14:paraId="68D0918E" w14:textId="77777777" w:rsidR="005357C6" w:rsidRPr="00C7533E" w:rsidRDefault="005357C6" w:rsidP="00437BE3">
            <w:pPr>
              <w:spacing w:after="0"/>
              <w:jc w:val="center"/>
              <w:rPr>
                <w:rFonts w:cs="Arial"/>
                <w:b/>
                <w:szCs w:val="18"/>
                <w:lang w:val="en-US"/>
              </w:rPr>
            </w:pPr>
          </w:p>
        </w:tc>
        <w:tc>
          <w:tcPr>
            <w:tcW w:w="6520" w:type="dxa"/>
            <w:gridSpan w:val="4"/>
            <w:tcBorders>
              <w:top w:val="single" w:sz="2" w:space="0" w:color="1F4E79" w:themeColor="accent1" w:themeShade="80"/>
              <w:bottom w:val="single" w:sz="2" w:space="0" w:color="1F4E79" w:themeColor="accent1" w:themeShade="80"/>
            </w:tcBorders>
            <w:shd w:val="clear" w:color="auto" w:fill="auto"/>
            <w:vAlign w:val="center"/>
          </w:tcPr>
          <w:p w14:paraId="246CE31B" w14:textId="77777777" w:rsidR="005357C6" w:rsidRPr="005C67D6" w:rsidRDefault="005357C6" w:rsidP="00437BE3">
            <w:pPr>
              <w:spacing w:after="0"/>
              <w:jc w:val="center"/>
              <w:rPr>
                <w:rFonts w:cs="Arial"/>
                <w:b/>
                <w:szCs w:val="18"/>
              </w:rPr>
            </w:pPr>
            <w:r>
              <w:rPr>
                <w:rFonts w:cs="Arial"/>
                <w:b/>
                <w:sz w:val="14"/>
                <w:szCs w:val="18"/>
              </w:rPr>
              <w:t>Dec 31, 2022</w:t>
            </w:r>
          </w:p>
        </w:tc>
      </w:tr>
      <w:tr w:rsidR="005357C6" w:rsidRPr="005C67D6" w14:paraId="7C33550D" w14:textId="77777777" w:rsidTr="00D3472F">
        <w:trPr>
          <w:trHeight w:val="238"/>
          <w:jc w:val="center"/>
        </w:trPr>
        <w:tc>
          <w:tcPr>
            <w:tcW w:w="3119" w:type="dxa"/>
            <w:tcBorders>
              <w:bottom w:val="single" w:sz="2" w:space="0" w:color="1F4E79" w:themeColor="accent1" w:themeShade="80"/>
            </w:tcBorders>
            <w:shd w:val="clear" w:color="auto" w:fill="auto"/>
            <w:vAlign w:val="center"/>
          </w:tcPr>
          <w:p w14:paraId="4BE64347" w14:textId="77777777" w:rsidR="005357C6" w:rsidRPr="005C67D6" w:rsidRDefault="005357C6" w:rsidP="00437BE3">
            <w:pPr>
              <w:pStyle w:val="08-Tabelageral"/>
              <w:rPr>
                <w:rFonts w:cs="Arial"/>
                <w:b/>
              </w:rPr>
            </w:pP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5BAFE3B1" w14:textId="77777777" w:rsidR="005357C6" w:rsidRPr="005C67D6" w:rsidRDefault="005357C6" w:rsidP="00437BE3">
            <w:pPr>
              <w:pStyle w:val="08-Tabelageral"/>
              <w:jc w:val="center"/>
              <w:rPr>
                <w:rFonts w:cs="Arial"/>
                <w:b/>
              </w:rPr>
            </w:pPr>
            <w:r w:rsidRPr="005C67D6">
              <w:rPr>
                <w:rFonts w:cs="Arial"/>
                <w:b/>
              </w:rPr>
              <w:t>Insurance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05BEF0EB" w14:textId="77777777" w:rsidR="005357C6" w:rsidRPr="005C67D6" w:rsidRDefault="005357C6" w:rsidP="00437BE3">
            <w:pPr>
              <w:pStyle w:val="08-Tabelageral"/>
              <w:jc w:val="center"/>
              <w:rPr>
                <w:rFonts w:cs="Arial"/>
                <w:b/>
                <w:szCs w:val="12"/>
              </w:rPr>
            </w:pPr>
            <w:r w:rsidRPr="005C67D6">
              <w:rPr>
                <w:b/>
                <w:szCs w:val="12"/>
              </w:rPr>
              <w:t>Brokerage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092D2544" w14:textId="77777777" w:rsidR="005357C6" w:rsidRPr="005C67D6" w:rsidRDefault="005357C6" w:rsidP="00437BE3">
            <w:pPr>
              <w:pStyle w:val="08-Tabelageral"/>
              <w:jc w:val="center"/>
              <w:rPr>
                <w:rFonts w:cs="Arial"/>
                <w:b/>
              </w:rPr>
            </w:pPr>
            <w:r w:rsidRPr="005C67D6">
              <w:rPr>
                <w:rFonts w:cs="Arial"/>
                <w:b/>
              </w:rPr>
              <w:t>Intersegment transactions</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23FB5688" w14:textId="77777777" w:rsidR="005357C6" w:rsidRPr="005C67D6" w:rsidRDefault="005357C6" w:rsidP="00437BE3">
            <w:pPr>
              <w:pStyle w:val="08-Tabelageral"/>
              <w:jc w:val="center"/>
              <w:rPr>
                <w:rFonts w:cs="Arial"/>
                <w:b/>
              </w:rPr>
            </w:pPr>
            <w:r w:rsidRPr="005C67D6">
              <w:rPr>
                <w:rFonts w:cs="Arial"/>
                <w:b/>
              </w:rPr>
              <w:t>Total</w:t>
            </w:r>
          </w:p>
        </w:tc>
      </w:tr>
      <w:tr w:rsidR="005357C6" w:rsidRPr="005C67D6" w14:paraId="7C1F2FF1" w14:textId="77777777" w:rsidTr="00D3472F">
        <w:trPr>
          <w:trHeight w:val="238"/>
          <w:jc w:val="center"/>
        </w:trPr>
        <w:tc>
          <w:tcPr>
            <w:tcW w:w="3119" w:type="dxa"/>
            <w:tcBorders>
              <w:top w:val="single" w:sz="2" w:space="0" w:color="1F4E79" w:themeColor="accent1" w:themeShade="80"/>
            </w:tcBorders>
            <w:shd w:val="clear" w:color="auto" w:fill="auto"/>
          </w:tcPr>
          <w:p w14:paraId="5852D606" w14:textId="77777777" w:rsidR="005357C6" w:rsidRPr="005C67D6" w:rsidRDefault="005357C6" w:rsidP="00A26497">
            <w:pPr>
              <w:pStyle w:val="08-Tabelageral"/>
              <w:ind w:left="113"/>
              <w:jc w:val="left"/>
              <w:rPr>
                <w:rFonts w:cs="Arial"/>
                <w:bCs/>
              </w:rPr>
            </w:pPr>
            <w:r w:rsidRPr="005C67D6">
              <w:t>Current assets</w:t>
            </w:r>
          </w:p>
        </w:tc>
        <w:tc>
          <w:tcPr>
            <w:tcW w:w="1630" w:type="dxa"/>
            <w:tcBorders>
              <w:top w:val="single" w:sz="2" w:space="0" w:color="1F4E79" w:themeColor="accent1" w:themeShade="80"/>
            </w:tcBorders>
            <w:shd w:val="clear" w:color="auto" w:fill="auto"/>
            <w:vAlign w:val="bottom"/>
          </w:tcPr>
          <w:p w14:paraId="7CE97938" w14:textId="77777777" w:rsidR="005357C6" w:rsidRPr="005C67D6" w:rsidRDefault="005357C6" w:rsidP="00A26497">
            <w:pPr>
              <w:pStyle w:val="08-Tabelageral"/>
              <w:rPr>
                <w:color w:val="000000"/>
              </w:rPr>
            </w:pPr>
            <w:r>
              <w:rPr>
                <w:rFonts w:cs="Arial"/>
                <w:color w:val="000000"/>
                <w:szCs w:val="14"/>
              </w:rPr>
              <w:t>6,148,927</w:t>
            </w:r>
          </w:p>
        </w:tc>
        <w:tc>
          <w:tcPr>
            <w:tcW w:w="1630" w:type="dxa"/>
            <w:tcBorders>
              <w:top w:val="single" w:sz="2" w:space="0" w:color="1F4E79" w:themeColor="accent1" w:themeShade="80"/>
            </w:tcBorders>
            <w:shd w:val="clear" w:color="auto" w:fill="auto"/>
            <w:vAlign w:val="bottom"/>
          </w:tcPr>
          <w:p w14:paraId="23DC5FC4" w14:textId="77777777" w:rsidR="005357C6" w:rsidRPr="005C67D6" w:rsidRDefault="005357C6" w:rsidP="00A26497">
            <w:pPr>
              <w:pStyle w:val="08-Tabelageral"/>
            </w:pPr>
            <w:r>
              <w:rPr>
                <w:rFonts w:cs="Arial"/>
                <w:color w:val="000000"/>
                <w:szCs w:val="14"/>
              </w:rPr>
              <w:t>4,764,890</w:t>
            </w:r>
          </w:p>
        </w:tc>
        <w:tc>
          <w:tcPr>
            <w:tcW w:w="1630" w:type="dxa"/>
            <w:tcBorders>
              <w:top w:val="single" w:sz="2" w:space="0" w:color="1F4E79" w:themeColor="accent1" w:themeShade="80"/>
            </w:tcBorders>
            <w:shd w:val="clear" w:color="auto" w:fill="auto"/>
            <w:vAlign w:val="bottom"/>
          </w:tcPr>
          <w:p w14:paraId="5852B6F2" w14:textId="77777777" w:rsidR="005357C6" w:rsidRPr="005C67D6" w:rsidRDefault="005357C6" w:rsidP="00A26497">
            <w:pPr>
              <w:pStyle w:val="08-Tabelageral"/>
            </w:pPr>
            <w:r>
              <w:rPr>
                <w:rFonts w:cs="Arial"/>
                <w:color w:val="000000"/>
                <w:szCs w:val="14"/>
              </w:rPr>
              <w:t>(3,692,719)</w:t>
            </w:r>
          </w:p>
        </w:tc>
        <w:tc>
          <w:tcPr>
            <w:tcW w:w="1630" w:type="dxa"/>
            <w:tcBorders>
              <w:top w:val="single" w:sz="2" w:space="0" w:color="1F4E79" w:themeColor="accent1" w:themeShade="80"/>
            </w:tcBorders>
            <w:shd w:val="clear" w:color="auto" w:fill="auto"/>
            <w:vAlign w:val="bottom"/>
          </w:tcPr>
          <w:p w14:paraId="78414C75" w14:textId="77777777" w:rsidR="005357C6" w:rsidRPr="005C67D6" w:rsidRDefault="005357C6" w:rsidP="00A26497">
            <w:pPr>
              <w:pStyle w:val="08-Tabelageral"/>
            </w:pPr>
            <w:r>
              <w:rPr>
                <w:rFonts w:cs="Arial"/>
                <w:color w:val="000000"/>
                <w:szCs w:val="14"/>
              </w:rPr>
              <w:t>7,221,098</w:t>
            </w:r>
          </w:p>
        </w:tc>
      </w:tr>
      <w:tr w:rsidR="005357C6" w:rsidRPr="005C67D6" w14:paraId="53E95F5D" w14:textId="77777777" w:rsidTr="00D3472F">
        <w:trPr>
          <w:trHeight w:val="238"/>
          <w:jc w:val="center"/>
        </w:trPr>
        <w:tc>
          <w:tcPr>
            <w:tcW w:w="3119" w:type="dxa"/>
            <w:shd w:val="clear" w:color="auto" w:fill="auto"/>
          </w:tcPr>
          <w:p w14:paraId="537F321A" w14:textId="77777777" w:rsidR="005357C6" w:rsidRPr="005C67D6" w:rsidRDefault="005357C6" w:rsidP="00A26497">
            <w:pPr>
              <w:pStyle w:val="08-Tabelageral"/>
              <w:ind w:left="113"/>
              <w:jc w:val="left"/>
              <w:rPr>
                <w:rFonts w:cs="Arial"/>
                <w:bCs/>
              </w:rPr>
            </w:pPr>
            <w:r w:rsidRPr="005C67D6">
              <w:t>Non-current assets</w:t>
            </w:r>
          </w:p>
        </w:tc>
        <w:tc>
          <w:tcPr>
            <w:tcW w:w="1630" w:type="dxa"/>
            <w:shd w:val="clear" w:color="auto" w:fill="auto"/>
            <w:vAlign w:val="bottom"/>
          </w:tcPr>
          <w:p w14:paraId="51B1EB88" w14:textId="77777777" w:rsidR="005357C6" w:rsidRPr="005C67D6" w:rsidRDefault="005357C6" w:rsidP="00A26497">
            <w:pPr>
              <w:pStyle w:val="08-Tabelageral"/>
              <w:rPr>
                <w:color w:val="000000"/>
              </w:rPr>
            </w:pPr>
            <w:r>
              <w:rPr>
                <w:rFonts w:cs="Arial"/>
                <w:color w:val="000000"/>
                <w:szCs w:val="14"/>
              </w:rPr>
              <w:t>15,032,789</w:t>
            </w:r>
          </w:p>
        </w:tc>
        <w:tc>
          <w:tcPr>
            <w:tcW w:w="1630" w:type="dxa"/>
            <w:shd w:val="clear" w:color="auto" w:fill="auto"/>
            <w:vAlign w:val="bottom"/>
          </w:tcPr>
          <w:p w14:paraId="31A5A350" w14:textId="77777777" w:rsidR="005357C6" w:rsidRPr="005C67D6" w:rsidRDefault="005357C6" w:rsidP="00A26497">
            <w:pPr>
              <w:pStyle w:val="08-Tabelageral"/>
            </w:pPr>
            <w:r>
              <w:rPr>
                <w:rFonts w:cs="Arial"/>
                <w:color w:val="000000"/>
                <w:szCs w:val="14"/>
              </w:rPr>
              <w:t>1,292,715</w:t>
            </w:r>
          </w:p>
        </w:tc>
        <w:tc>
          <w:tcPr>
            <w:tcW w:w="1630" w:type="dxa"/>
            <w:shd w:val="clear" w:color="auto" w:fill="auto"/>
            <w:vAlign w:val="bottom"/>
          </w:tcPr>
          <w:p w14:paraId="3A7704E9" w14:textId="77777777" w:rsidR="005357C6" w:rsidRPr="005C67D6" w:rsidRDefault="005357C6" w:rsidP="00A26497">
            <w:pPr>
              <w:pStyle w:val="08-Tabelageral"/>
            </w:pPr>
            <w:r>
              <w:rPr>
                <w:rFonts w:cs="Arial"/>
                <w:color w:val="000000"/>
                <w:szCs w:val="14"/>
              </w:rPr>
              <w:t>(7,416,770)</w:t>
            </w:r>
          </w:p>
        </w:tc>
        <w:tc>
          <w:tcPr>
            <w:tcW w:w="1630" w:type="dxa"/>
            <w:shd w:val="clear" w:color="auto" w:fill="auto"/>
            <w:vAlign w:val="bottom"/>
          </w:tcPr>
          <w:p w14:paraId="0304381D" w14:textId="77777777" w:rsidR="005357C6" w:rsidRPr="005C67D6" w:rsidRDefault="005357C6" w:rsidP="00A26497">
            <w:pPr>
              <w:pStyle w:val="08-Tabelageral"/>
            </w:pPr>
            <w:r>
              <w:rPr>
                <w:rFonts w:cs="Arial"/>
                <w:color w:val="000000"/>
                <w:szCs w:val="14"/>
              </w:rPr>
              <w:t>8,908,734</w:t>
            </w:r>
          </w:p>
        </w:tc>
      </w:tr>
      <w:tr w:rsidR="005357C6" w:rsidRPr="00B0013B" w14:paraId="6A916322" w14:textId="77777777" w:rsidTr="00D3472F">
        <w:trPr>
          <w:trHeight w:val="238"/>
          <w:jc w:val="center"/>
        </w:trPr>
        <w:tc>
          <w:tcPr>
            <w:tcW w:w="3119" w:type="dxa"/>
            <w:shd w:val="clear" w:color="auto" w:fill="auto"/>
          </w:tcPr>
          <w:p w14:paraId="3AFC60C8" w14:textId="77777777" w:rsidR="005357C6" w:rsidRPr="00B0013B" w:rsidRDefault="005357C6" w:rsidP="00A26497">
            <w:pPr>
              <w:pStyle w:val="08-Tabelageral"/>
              <w:jc w:val="left"/>
              <w:rPr>
                <w:rFonts w:cs="Arial"/>
                <w:b/>
              </w:rPr>
            </w:pPr>
            <w:r w:rsidRPr="00B0013B">
              <w:rPr>
                <w:rFonts w:cs="Arial"/>
                <w:b/>
              </w:rPr>
              <w:t>Total assets</w:t>
            </w:r>
          </w:p>
        </w:tc>
        <w:tc>
          <w:tcPr>
            <w:tcW w:w="1630" w:type="dxa"/>
            <w:shd w:val="clear" w:color="auto" w:fill="auto"/>
            <w:vAlign w:val="bottom"/>
          </w:tcPr>
          <w:p w14:paraId="7F19BC02" w14:textId="77777777" w:rsidR="005357C6" w:rsidRPr="00B0013B" w:rsidRDefault="005357C6" w:rsidP="00A26497">
            <w:pPr>
              <w:pStyle w:val="08-Tabelageral"/>
              <w:rPr>
                <w:b/>
                <w:color w:val="000000"/>
              </w:rPr>
            </w:pPr>
            <w:r w:rsidRPr="00647CD3">
              <w:rPr>
                <w:rFonts w:cs="Arial"/>
                <w:b/>
                <w:bCs/>
                <w:color w:val="000000"/>
                <w:szCs w:val="14"/>
              </w:rPr>
              <w:t>21</w:t>
            </w:r>
            <w:r>
              <w:rPr>
                <w:rFonts w:cs="Arial"/>
                <w:b/>
                <w:bCs/>
                <w:color w:val="000000"/>
                <w:szCs w:val="14"/>
              </w:rPr>
              <w:t>,</w:t>
            </w:r>
            <w:r w:rsidRPr="00647CD3">
              <w:rPr>
                <w:rFonts w:cs="Arial"/>
                <w:b/>
                <w:bCs/>
                <w:color w:val="000000"/>
                <w:szCs w:val="14"/>
              </w:rPr>
              <w:t>181</w:t>
            </w:r>
            <w:r>
              <w:rPr>
                <w:rFonts w:cs="Arial"/>
                <w:b/>
                <w:bCs/>
                <w:color w:val="000000"/>
                <w:szCs w:val="14"/>
              </w:rPr>
              <w:t>,</w:t>
            </w:r>
            <w:r w:rsidRPr="00647CD3">
              <w:rPr>
                <w:rFonts w:cs="Arial"/>
                <w:b/>
                <w:bCs/>
                <w:color w:val="000000"/>
                <w:szCs w:val="14"/>
              </w:rPr>
              <w:t>716</w:t>
            </w:r>
          </w:p>
        </w:tc>
        <w:tc>
          <w:tcPr>
            <w:tcW w:w="1630" w:type="dxa"/>
            <w:shd w:val="clear" w:color="auto" w:fill="auto"/>
            <w:vAlign w:val="bottom"/>
          </w:tcPr>
          <w:p w14:paraId="194E9363" w14:textId="77777777" w:rsidR="005357C6" w:rsidRPr="00B0013B" w:rsidRDefault="005357C6" w:rsidP="00A26497">
            <w:pPr>
              <w:pStyle w:val="08-Tabelageral"/>
              <w:rPr>
                <w:b/>
              </w:rPr>
            </w:pPr>
            <w:r w:rsidRPr="00647CD3">
              <w:rPr>
                <w:rFonts w:cs="Arial"/>
                <w:b/>
                <w:bCs/>
                <w:color w:val="000000"/>
                <w:szCs w:val="14"/>
              </w:rPr>
              <w:t>6</w:t>
            </w:r>
            <w:r>
              <w:rPr>
                <w:rFonts w:cs="Arial"/>
                <w:b/>
                <w:bCs/>
                <w:color w:val="000000"/>
                <w:szCs w:val="14"/>
              </w:rPr>
              <w:t>,</w:t>
            </w:r>
            <w:r w:rsidRPr="00647CD3">
              <w:rPr>
                <w:rFonts w:cs="Arial"/>
                <w:b/>
                <w:bCs/>
                <w:color w:val="000000"/>
                <w:szCs w:val="14"/>
              </w:rPr>
              <w:t>057</w:t>
            </w:r>
            <w:r>
              <w:rPr>
                <w:rFonts w:cs="Arial"/>
                <w:b/>
                <w:bCs/>
                <w:color w:val="000000"/>
                <w:szCs w:val="14"/>
              </w:rPr>
              <w:t>,</w:t>
            </w:r>
            <w:r w:rsidRPr="00647CD3">
              <w:rPr>
                <w:rFonts w:cs="Arial"/>
                <w:b/>
                <w:bCs/>
                <w:color w:val="000000"/>
                <w:szCs w:val="14"/>
              </w:rPr>
              <w:t>605</w:t>
            </w:r>
          </w:p>
        </w:tc>
        <w:tc>
          <w:tcPr>
            <w:tcW w:w="1630" w:type="dxa"/>
            <w:shd w:val="clear" w:color="auto" w:fill="auto"/>
            <w:vAlign w:val="bottom"/>
          </w:tcPr>
          <w:p w14:paraId="7678FDC6" w14:textId="77777777" w:rsidR="005357C6" w:rsidRPr="00B0013B" w:rsidRDefault="005357C6" w:rsidP="00A26497">
            <w:pPr>
              <w:pStyle w:val="08-Tabelageral"/>
              <w:rPr>
                <w:b/>
              </w:rPr>
            </w:pPr>
            <w:r w:rsidRPr="00647CD3">
              <w:rPr>
                <w:rFonts w:cs="Arial"/>
                <w:b/>
                <w:bCs/>
                <w:color w:val="000000"/>
                <w:szCs w:val="14"/>
              </w:rPr>
              <w:t>(11</w:t>
            </w:r>
            <w:r>
              <w:rPr>
                <w:rFonts w:cs="Arial"/>
                <w:b/>
                <w:bCs/>
                <w:color w:val="000000"/>
                <w:szCs w:val="14"/>
              </w:rPr>
              <w:t>,</w:t>
            </w:r>
            <w:r w:rsidRPr="00647CD3">
              <w:rPr>
                <w:rFonts w:cs="Arial"/>
                <w:b/>
                <w:bCs/>
                <w:color w:val="000000"/>
                <w:szCs w:val="14"/>
              </w:rPr>
              <w:t>109</w:t>
            </w:r>
            <w:r>
              <w:rPr>
                <w:rFonts w:cs="Arial"/>
                <w:b/>
                <w:bCs/>
                <w:color w:val="000000"/>
                <w:szCs w:val="14"/>
              </w:rPr>
              <w:t>,</w:t>
            </w:r>
            <w:r w:rsidRPr="00647CD3">
              <w:rPr>
                <w:rFonts w:cs="Arial"/>
                <w:b/>
                <w:bCs/>
                <w:color w:val="000000"/>
                <w:szCs w:val="14"/>
              </w:rPr>
              <w:t>489)</w:t>
            </w:r>
          </w:p>
        </w:tc>
        <w:tc>
          <w:tcPr>
            <w:tcW w:w="1630" w:type="dxa"/>
            <w:shd w:val="clear" w:color="auto" w:fill="auto"/>
            <w:vAlign w:val="bottom"/>
          </w:tcPr>
          <w:p w14:paraId="1AAC99B5" w14:textId="77777777" w:rsidR="005357C6" w:rsidRPr="00B0013B" w:rsidRDefault="005357C6" w:rsidP="00A26497">
            <w:pPr>
              <w:pStyle w:val="08-Tabelageral"/>
              <w:rPr>
                <w:b/>
              </w:rPr>
            </w:pPr>
            <w:r w:rsidRPr="00647CD3">
              <w:rPr>
                <w:rFonts w:cs="Arial"/>
                <w:b/>
                <w:bCs/>
                <w:color w:val="000000"/>
                <w:szCs w:val="14"/>
              </w:rPr>
              <w:t>16</w:t>
            </w:r>
            <w:r>
              <w:rPr>
                <w:rFonts w:cs="Arial"/>
                <w:b/>
                <w:bCs/>
                <w:color w:val="000000"/>
                <w:szCs w:val="14"/>
              </w:rPr>
              <w:t>,</w:t>
            </w:r>
            <w:r w:rsidRPr="00647CD3">
              <w:rPr>
                <w:rFonts w:cs="Arial"/>
                <w:b/>
                <w:bCs/>
                <w:color w:val="000000"/>
                <w:szCs w:val="14"/>
              </w:rPr>
              <w:t>129</w:t>
            </w:r>
            <w:r>
              <w:rPr>
                <w:rFonts w:cs="Arial"/>
                <w:b/>
                <w:bCs/>
                <w:color w:val="000000"/>
                <w:szCs w:val="14"/>
              </w:rPr>
              <w:t>,</w:t>
            </w:r>
            <w:r w:rsidRPr="00647CD3">
              <w:rPr>
                <w:rFonts w:cs="Arial"/>
                <w:b/>
                <w:bCs/>
                <w:color w:val="000000"/>
                <w:szCs w:val="14"/>
              </w:rPr>
              <w:t>832</w:t>
            </w:r>
          </w:p>
        </w:tc>
      </w:tr>
      <w:tr w:rsidR="005357C6" w:rsidRPr="005C67D6" w14:paraId="31DA1B81" w14:textId="77777777" w:rsidTr="00D3472F">
        <w:trPr>
          <w:trHeight w:val="238"/>
          <w:jc w:val="center"/>
        </w:trPr>
        <w:tc>
          <w:tcPr>
            <w:tcW w:w="3119" w:type="dxa"/>
            <w:shd w:val="clear" w:color="auto" w:fill="auto"/>
          </w:tcPr>
          <w:p w14:paraId="6694F9E6" w14:textId="77777777" w:rsidR="005357C6" w:rsidRPr="005C67D6" w:rsidRDefault="005357C6" w:rsidP="00A26497">
            <w:pPr>
              <w:pStyle w:val="08-Tabelageral"/>
              <w:ind w:left="113"/>
              <w:jc w:val="left"/>
              <w:rPr>
                <w:rFonts w:cs="Arial"/>
                <w:bCs/>
              </w:rPr>
            </w:pPr>
            <w:r w:rsidRPr="005C67D6">
              <w:rPr>
                <w:rFonts w:cs="Arial"/>
              </w:rPr>
              <w:t>Current liabilities</w:t>
            </w:r>
          </w:p>
        </w:tc>
        <w:tc>
          <w:tcPr>
            <w:tcW w:w="1630" w:type="dxa"/>
            <w:shd w:val="clear" w:color="auto" w:fill="auto"/>
            <w:vAlign w:val="bottom"/>
          </w:tcPr>
          <w:p w14:paraId="7C43D1A1" w14:textId="77777777" w:rsidR="005357C6" w:rsidRPr="005C67D6" w:rsidRDefault="005357C6" w:rsidP="00A26497">
            <w:pPr>
              <w:pStyle w:val="08-Tabelageral"/>
              <w:rPr>
                <w:color w:val="000000"/>
              </w:rPr>
            </w:pPr>
            <w:r>
              <w:rPr>
                <w:rFonts w:cs="Arial"/>
                <w:color w:val="000000"/>
                <w:szCs w:val="14"/>
              </w:rPr>
              <w:t>5,945,959</w:t>
            </w:r>
          </w:p>
        </w:tc>
        <w:tc>
          <w:tcPr>
            <w:tcW w:w="1630" w:type="dxa"/>
            <w:shd w:val="clear" w:color="auto" w:fill="auto"/>
            <w:vAlign w:val="bottom"/>
          </w:tcPr>
          <w:p w14:paraId="50CE0EF7" w14:textId="77777777" w:rsidR="005357C6" w:rsidRPr="005C67D6" w:rsidRDefault="005357C6" w:rsidP="00A26497">
            <w:pPr>
              <w:pStyle w:val="08-Tabelageral"/>
            </w:pPr>
            <w:r>
              <w:rPr>
                <w:rFonts w:cs="Arial"/>
                <w:color w:val="000000"/>
                <w:szCs w:val="14"/>
              </w:rPr>
              <w:t>4,254,929</w:t>
            </w:r>
          </w:p>
        </w:tc>
        <w:tc>
          <w:tcPr>
            <w:tcW w:w="1630" w:type="dxa"/>
            <w:shd w:val="clear" w:color="auto" w:fill="auto"/>
            <w:vAlign w:val="bottom"/>
          </w:tcPr>
          <w:p w14:paraId="0C20EEC7" w14:textId="77777777" w:rsidR="005357C6" w:rsidRPr="005C67D6" w:rsidRDefault="005357C6" w:rsidP="00A26497">
            <w:pPr>
              <w:pStyle w:val="08-Tabelageral"/>
            </w:pPr>
            <w:r>
              <w:rPr>
                <w:rFonts w:cs="Arial"/>
                <w:color w:val="000000"/>
                <w:szCs w:val="14"/>
              </w:rPr>
              <w:t>(3,692,720)</w:t>
            </w:r>
          </w:p>
        </w:tc>
        <w:tc>
          <w:tcPr>
            <w:tcW w:w="1630" w:type="dxa"/>
            <w:shd w:val="clear" w:color="auto" w:fill="auto"/>
            <w:vAlign w:val="bottom"/>
          </w:tcPr>
          <w:p w14:paraId="667501FC" w14:textId="77777777" w:rsidR="005357C6" w:rsidRPr="005C67D6" w:rsidRDefault="005357C6" w:rsidP="00A26497">
            <w:pPr>
              <w:pStyle w:val="08-Tabelageral"/>
            </w:pPr>
            <w:r>
              <w:rPr>
                <w:rFonts w:cs="Arial"/>
                <w:color w:val="000000"/>
                <w:szCs w:val="14"/>
              </w:rPr>
              <w:t>6,508,168</w:t>
            </w:r>
          </w:p>
        </w:tc>
      </w:tr>
      <w:tr w:rsidR="005357C6" w:rsidRPr="005C67D6" w14:paraId="20CFB030" w14:textId="77777777" w:rsidTr="00D3472F">
        <w:trPr>
          <w:trHeight w:val="238"/>
          <w:jc w:val="center"/>
        </w:trPr>
        <w:tc>
          <w:tcPr>
            <w:tcW w:w="3119" w:type="dxa"/>
            <w:shd w:val="clear" w:color="auto" w:fill="auto"/>
          </w:tcPr>
          <w:p w14:paraId="175E007A" w14:textId="77777777" w:rsidR="005357C6" w:rsidRPr="005C67D6" w:rsidRDefault="005357C6" w:rsidP="00A26497">
            <w:pPr>
              <w:pStyle w:val="08-Tabelageral"/>
              <w:ind w:left="113"/>
              <w:jc w:val="left"/>
              <w:rPr>
                <w:rFonts w:cs="Arial"/>
                <w:bCs/>
              </w:rPr>
            </w:pPr>
            <w:r w:rsidRPr="005C67D6">
              <w:rPr>
                <w:rFonts w:cs="Arial"/>
              </w:rPr>
              <w:t>Non-current liabilities</w:t>
            </w:r>
          </w:p>
        </w:tc>
        <w:tc>
          <w:tcPr>
            <w:tcW w:w="1630" w:type="dxa"/>
            <w:shd w:val="clear" w:color="auto" w:fill="auto"/>
            <w:vAlign w:val="bottom"/>
          </w:tcPr>
          <w:p w14:paraId="0C450F48" w14:textId="77777777" w:rsidR="005357C6" w:rsidRPr="005C67D6" w:rsidRDefault="005357C6" w:rsidP="00A26497">
            <w:pPr>
              <w:pStyle w:val="08-Tabelageral"/>
              <w:rPr>
                <w:color w:val="000000"/>
              </w:rPr>
            </w:pPr>
            <w:r w:rsidRPr="00647CD3">
              <w:rPr>
                <w:rFonts w:cs="Arial"/>
                <w:color w:val="000000"/>
                <w:szCs w:val="14"/>
              </w:rPr>
              <w:t>229</w:t>
            </w:r>
            <w:r>
              <w:rPr>
                <w:rFonts w:cs="Arial"/>
                <w:color w:val="000000"/>
                <w:szCs w:val="14"/>
              </w:rPr>
              <w:t>,</w:t>
            </w:r>
            <w:r w:rsidRPr="00647CD3">
              <w:rPr>
                <w:rFonts w:cs="Arial"/>
                <w:color w:val="000000"/>
                <w:szCs w:val="14"/>
              </w:rPr>
              <w:t>225</w:t>
            </w:r>
          </w:p>
        </w:tc>
        <w:tc>
          <w:tcPr>
            <w:tcW w:w="1630" w:type="dxa"/>
            <w:shd w:val="clear" w:color="auto" w:fill="auto"/>
            <w:vAlign w:val="bottom"/>
          </w:tcPr>
          <w:p w14:paraId="5067F128" w14:textId="77777777" w:rsidR="005357C6" w:rsidRPr="005C67D6" w:rsidRDefault="005357C6" w:rsidP="00A26497">
            <w:pPr>
              <w:pStyle w:val="08-Tabelageral"/>
            </w:pPr>
            <w:r w:rsidRPr="00647CD3">
              <w:rPr>
                <w:rFonts w:cs="Arial"/>
                <w:color w:val="000000"/>
                <w:szCs w:val="14"/>
              </w:rPr>
              <w:t>1</w:t>
            </w:r>
            <w:r>
              <w:rPr>
                <w:rFonts w:cs="Arial"/>
                <w:color w:val="000000"/>
                <w:szCs w:val="14"/>
              </w:rPr>
              <w:t>,</w:t>
            </w:r>
            <w:r w:rsidRPr="00647CD3">
              <w:rPr>
                <w:rFonts w:cs="Arial"/>
                <w:color w:val="000000"/>
                <w:szCs w:val="14"/>
              </w:rPr>
              <w:t>796</w:t>
            </w:r>
            <w:r>
              <w:rPr>
                <w:rFonts w:cs="Arial"/>
                <w:color w:val="000000"/>
                <w:szCs w:val="14"/>
              </w:rPr>
              <w:t>,</w:t>
            </w:r>
            <w:r w:rsidRPr="00647CD3">
              <w:rPr>
                <w:rFonts w:cs="Arial"/>
                <w:color w:val="000000"/>
                <w:szCs w:val="14"/>
              </w:rPr>
              <w:t>338</w:t>
            </w:r>
          </w:p>
        </w:tc>
        <w:tc>
          <w:tcPr>
            <w:tcW w:w="1630" w:type="dxa"/>
            <w:shd w:val="clear" w:color="auto" w:fill="auto"/>
            <w:vAlign w:val="bottom"/>
          </w:tcPr>
          <w:p w14:paraId="3E9B679E" w14:textId="77777777" w:rsidR="005357C6" w:rsidRPr="005C67D6" w:rsidRDefault="005357C6" w:rsidP="00A26497">
            <w:pPr>
              <w:pStyle w:val="08-Tabelageral"/>
            </w:pPr>
            <w:r w:rsidRPr="00647CD3">
              <w:rPr>
                <w:rFonts w:cs="Arial"/>
                <w:color w:val="000000"/>
                <w:szCs w:val="14"/>
              </w:rPr>
              <w:t>--</w:t>
            </w:r>
          </w:p>
        </w:tc>
        <w:tc>
          <w:tcPr>
            <w:tcW w:w="1630" w:type="dxa"/>
            <w:shd w:val="clear" w:color="auto" w:fill="auto"/>
            <w:vAlign w:val="bottom"/>
          </w:tcPr>
          <w:p w14:paraId="6AE2FB4D" w14:textId="77777777" w:rsidR="005357C6" w:rsidRPr="005C67D6" w:rsidRDefault="005357C6" w:rsidP="00A26497">
            <w:pPr>
              <w:pStyle w:val="08-Tabelageral"/>
            </w:pPr>
            <w:r w:rsidRPr="00647CD3">
              <w:rPr>
                <w:rFonts w:cs="Arial"/>
                <w:color w:val="000000"/>
                <w:szCs w:val="14"/>
              </w:rPr>
              <w:t>2</w:t>
            </w:r>
            <w:r>
              <w:rPr>
                <w:rFonts w:cs="Arial"/>
                <w:color w:val="000000"/>
                <w:szCs w:val="14"/>
              </w:rPr>
              <w:t>,</w:t>
            </w:r>
            <w:r w:rsidRPr="00647CD3">
              <w:rPr>
                <w:rFonts w:cs="Arial"/>
                <w:color w:val="000000"/>
                <w:szCs w:val="14"/>
              </w:rPr>
              <w:t>025</w:t>
            </w:r>
            <w:r>
              <w:rPr>
                <w:rFonts w:cs="Arial"/>
                <w:color w:val="000000"/>
                <w:szCs w:val="14"/>
              </w:rPr>
              <w:t>,</w:t>
            </w:r>
            <w:r w:rsidRPr="00647CD3">
              <w:rPr>
                <w:rFonts w:cs="Arial"/>
                <w:color w:val="000000"/>
                <w:szCs w:val="14"/>
              </w:rPr>
              <w:t>563</w:t>
            </w:r>
          </w:p>
        </w:tc>
      </w:tr>
      <w:tr w:rsidR="005357C6" w:rsidRPr="005C67D6" w14:paraId="4D9DDE03" w14:textId="77777777" w:rsidTr="00D3472F">
        <w:trPr>
          <w:trHeight w:val="238"/>
          <w:jc w:val="center"/>
        </w:trPr>
        <w:tc>
          <w:tcPr>
            <w:tcW w:w="3119" w:type="dxa"/>
            <w:shd w:val="clear" w:color="auto" w:fill="auto"/>
          </w:tcPr>
          <w:p w14:paraId="5AA6D49D" w14:textId="77777777" w:rsidR="005357C6" w:rsidRPr="005C67D6" w:rsidRDefault="005357C6" w:rsidP="00A26497">
            <w:pPr>
              <w:pStyle w:val="08-Tabelageral"/>
              <w:ind w:left="113"/>
              <w:jc w:val="left"/>
              <w:rPr>
                <w:rFonts w:cs="Arial"/>
                <w:bCs/>
              </w:rPr>
            </w:pPr>
            <w:r w:rsidRPr="005C67D6">
              <w:t>Equity</w:t>
            </w:r>
          </w:p>
        </w:tc>
        <w:tc>
          <w:tcPr>
            <w:tcW w:w="1630" w:type="dxa"/>
            <w:shd w:val="clear" w:color="auto" w:fill="auto"/>
            <w:vAlign w:val="bottom"/>
          </w:tcPr>
          <w:p w14:paraId="4D376732" w14:textId="77777777" w:rsidR="005357C6" w:rsidRPr="005C67D6" w:rsidRDefault="005357C6" w:rsidP="00A26497">
            <w:pPr>
              <w:pStyle w:val="08-Tabelageral"/>
              <w:rPr>
                <w:color w:val="000000"/>
              </w:rPr>
            </w:pPr>
            <w:r>
              <w:rPr>
                <w:rFonts w:cs="Arial"/>
                <w:color w:val="000000"/>
                <w:szCs w:val="14"/>
              </w:rPr>
              <w:t>15,006,532</w:t>
            </w:r>
          </w:p>
        </w:tc>
        <w:tc>
          <w:tcPr>
            <w:tcW w:w="1630" w:type="dxa"/>
            <w:shd w:val="clear" w:color="auto" w:fill="auto"/>
            <w:vAlign w:val="bottom"/>
          </w:tcPr>
          <w:p w14:paraId="617ED309" w14:textId="77777777" w:rsidR="005357C6" w:rsidRPr="005C67D6" w:rsidRDefault="005357C6" w:rsidP="00A26497">
            <w:pPr>
              <w:pStyle w:val="08-Tabelageral"/>
            </w:pPr>
            <w:r>
              <w:rPr>
                <w:rFonts w:cs="Arial"/>
                <w:color w:val="000000"/>
                <w:szCs w:val="14"/>
              </w:rPr>
              <w:t>6,338</w:t>
            </w:r>
          </w:p>
        </w:tc>
        <w:tc>
          <w:tcPr>
            <w:tcW w:w="1630" w:type="dxa"/>
            <w:shd w:val="clear" w:color="auto" w:fill="auto"/>
            <w:vAlign w:val="bottom"/>
          </w:tcPr>
          <w:p w14:paraId="5972F35C" w14:textId="77777777" w:rsidR="005357C6" w:rsidRPr="005C67D6" w:rsidRDefault="005357C6" w:rsidP="00A26497">
            <w:pPr>
              <w:pStyle w:val="08-Tabelageral"/>
            </w:pPr>
            <w:r>
              <w:rPr>
                <w:rFonts w:cs="Arial"/>
                <w:color w:val="000000"/>
                <w:szCs w:val="14"/>
              </w:rPr>
              <w:t>(7,416,769)</w:t>
            </w:r>
          </w:p>
        </w:tc>
        <w:tc>
          <w:tcPr>
            <w:tcW w:w="1630" w:type="dxa"/>
            <w:shd w:val="clear" w:color="auto" w:fill="auto"/>
            <w:vAlign w:val="bottom"/>
          </w:tcPr>
          <w:p w14:paraId="29EEEA43" w14:textId="77777777" w:rsidR="005357C6" w:rsidRPr="005C67D6" w:rsidRDefault="005357C6" w:rsidP="00A26497">
            <w:pPr>
              <w:pStyle w:val="08-Tabelageral"/>
            </w:pPr>
            <w:r>
              <w:rPr>
                <w:rFonts w:cs="Arial"/>
                <w:color w:val="000000"/>
                <w:szCs w:val="14"/>
              </w:rPr>
              <w:t>7,596,101</w:t>
            </w:r>
          </w:p>
        </w:tc>
      </w:tr>
      <w:tr w:rsidR="005357C6" w:rsidRPr="00B0013B" w14:paraId="615411E6" w14:textId="77777777" w:rsidTr="00D3472F">
        <w:trPr>
          <w:trHeight w:val="238"/>
          <w:jc w:val="center"/>
        </w:trPr>
        <w:tc>
          <w:tcPr>
            <w:tcW w:w="3119" w:type="dxa"/>
            <w:tcBorders>
              <w:bottom w:val="single" w:sz="2" w:space="0" w:color="1F4E79" w:themeColor="accent1" w:themeShade="80"/>
            </w:tcBorders>
            <w:shd w:val="clear" w:color="auto" w:fill="auto"/>
          </w:tcPr>
          <w:p w14:paraId="3C5AF27B" w14:textId="77777777" w:rsidR="005357C6" w:rsidRPr="00B0013B" w:rsidRDefault="005357C6" w:rsidP="00A26497">
            <w:pPr>
              <w:pStyle w:val="08-Tabelageral"/>
              <w:jc w:val="left"/>
              <w:rPr>
                <w:rFonts w:cs="Arial"/>
                <w:b/>
              </w:rPr>
            </w:pPr>
            <w:r w:rsidRPr="00B0013B">
              <w:rPr>
                <w:b/>
              </w:rPr>
              <w:t>Total liabilities and equity</w:t>
            </w:r>
          </w:p>
        </w:tc>
        <w:tc>
          <w:tcPr>
            <w:tcW w:w="1630" w:type="dxa"/>
            <w:tcBorders>
              <w:bottom w:val="single" w:sz="2" w:space="0" w:color="1F4E79" w:themeColor="accent1" w:themeShade="80"/>
            </w:tcBorders>
            <w:shd w:val="clear" w:color="auto" w:fill="auto"/>
            <w:vAlign w:val="bottom"/>
          </w:tcPr>
          <w:p w14:paraId="081526EA" w14:textId="77777777" w:rsidR="005357C6" w:rsidRPr="00B0013B" w:rsidRDefault="005357C6" w:rsidP="00A26497">
            <w:pPr>
              <w:pStyle w:val="08-Tabelageral"/>
              <w:rPr>
                <w:b/>
                <w:color w:val="000000"/>
              </w:rPr>
            </w:pPr>
            <w:r w:rsidRPr="00647CD3">
              <w:rPr>
                <w:rFonts w:cs="Arial"/>
                <w:b/>
                <w:bCs/>
                <w:color w:val="000000"/>
                <w:szCs w:val="14"/>
              </w:rPr>
              <w:t>21</w:t>
            </w:r>
            <w:r>
              <w:rPr>
                <w:rFonts w:cs="Arial"/>
                <w:b/>
                <w:bCs/>
                <w:color w:val="000000"/>
                <w:szCs w:val="14"/>
              </w:rPr>
              <w:t>,</w:t>
            </w:r>
            <w:r w:rsidRPr="00647CD3">
              <w:rPr>
                <w:rFonts w:cs="Arial"/>
                <w:b/>
                <w:bCs/>
                <w:color w:val="000000"/>
                <w:szCs w:val="14"/>
              </w:rPr>
              <w:t>181</w:t>
            </w:r>
            <w:r>
              <w:rPr>
                <w:rFonts w:cs="Arial"/>
                <w:b/>
                <w:bCs/>
                <w:color w:val="000000"/>
                <w:szCs w:val="14"/>
              </w:rPr>
              <w:t>,</w:t>
            </w:r>
            <w:r w:rsidRPr="00647CD3">
              <w:rPr>
                <w:rFonts w:cs="Arial"/>
                <w:b/>
                <w:bCs/>
                <w:color w:val="000000"/>
                <w:szCs w:val="14"/>
              </w:rPr>
              <w:t>716</w:t>
            </w:r>
          </w:p>
        </w:tc>
        <w:tc>
          <w:tcPr>
            <w:tcW w:w="1630" w:type="dxa"/>
            <w:tcBorders>
              <w:bottom w:val="single" w:sz="2" w:space="0" w:color="1F4E79" w:themeColor="accent1" w:themeShade="80"/>
            </w:tcBorders>
            <w:shd w:val="clear" w:color="auto" w:fill="auto"/>
            <w:vAlign w:val="bottom"/>
          </w:tcPr>
          <w:p w14:paraId="2E828466" w14:textId="77777777" w:rsidR="005357C6" w:rsidRPr="00B0013B" w:rsidRDefault="005357C6" w:rsidP="00A26497">
            <w:pPr>
              <w:pStyle w:val="08-Tabelageral"/>
              <w:rPr>
                <w:b/>
              </w:rPr>
            </w:pPr>
            <w:r w:rsidRPr="00647CD3">
              <w:rPr>
                <w:rFonts w:cs="Arial"/>
                <w:b/>
                <w:bCs/>
                <w:color w:val="000000"/>
                <w:szCs w:val="14"/>
              </w:rPr>
              <w:t>6</w:t>
            </w:r>
            <w:r>
              <w:rPr>
                <w:rFonts w:cs="Arial"/>
                <w:b/>
                <w:bCs/>
                <w:color w:val="000000"/>
                <w:szCs w:val="14"/>
              </w:rPr>
              <w:t>,</w:t>
            </w:r>
            <w:r w:rsidRPr="00647CD3">
              <w:rPr>
                <w:rFonts w:cs="Arial"/>
                <w:b/>
                <w:bCs/>
                <w:color w:val="000000"/>
                <w:szCs w:val="14"/>
              </w:rPr>
              <w:t>057</w:t>
            </w:r>
            <w:r>
              <w:rPr>
                <w:rFonts w:cs="Arial"/>
                <w:b/>
                <w:bCs/>
                <w:color w:val="000000"/>
                <w:szCs w:val="14"/>
              </w:rPr>
              <w:t>,</w:t>
            </w:r>
            <w:r w:rsidRPr="00647CD3">
              <w:rPr>
                <w:rFonts w:cs="Arial"/>
                <w:b/>
                <w:bCs/>
                <w:color w:val="000000"/>
                <w:szCs w:val="14"/>
              </w:rPr>
              <w:t>605</w:t>
            </w:r>
          </w:p>
        </w:tc>
        <w:tc>
          <w:tcPr>
            <w:tcW w:w="1630" w:type="dxa"/>
            <w:tcBorders>
              <w:bottom w:val="single" w:sz="2" w:space="0" w:color="1F4E79" w:themeColor="accent1" w:themeShade="80"/>
            </w:tcBorders>
            <w:shd w:val="clear" w:color="auto" w:fill="auto"/>
            <w:vAlign w:val="bottom"/>
          </w:tcPr>
          <w:p w14:paraId="601E0908" w14:textId="77777777" w:rsidR="005357C6" w:rsidRPr="00B0013B" w:rsidRDefault="005357C6" w:rsidP="00A26497">
            <w:pPr>
              <w:pStyle w:val="08-Tabelageral"/>
              <w:rPr>
                <w:b/>
              </w:rPr>
            </w:pPr>
            <w:r w:rsidRPr="00647CD3">
              <w:rPr>
                <w:rFonts w:cs="Arial"/>
                <w:b/>
                <w:bCs/>
                <w:color w:val="000000"/>
                <w:szCs w:val="14"/>
              </w:rPr>
              <w:t>(11</w:t>
            </w:r>
            <w:r>
              <w:rPr>
                <w:rFonts w:cs="Arial"/>
                <w:b/>
                <w:bCs/>
                <w:color w:val="000000"/>
                <w:szCs w:val="14"/>
              </w:rPr>
              <w:t>,</w:t>
            </w:r>
            <w:r w:rsidRPr="00647CD3">
              <w:rPr>
                <w:rFonts w:cs="Arial"/>
                <w:b/>
                <w:bCs/>
                <w:color w:val="000000"/>
                <w:szCs w:val="14"/>
              </w:rPr>
              <w:t>109</w:t>
            </w:r>
            <w:r>
              <w:rPr>
                <w:rFonts w:cs="Arial"/>
                <w:b/>
                <w:bCs/>
                <w:color w:val="000000"/>
                <w:szCs w:val="14"/>
              </w:rPr>
              <w:t>,</w:t>
            </w:r>
            <w:r w:rsidRPr="00647CD3">
              <w:rPr>
                <w:rFonts w:cs="Arial"/>
                <w:b/>
                <w:bCs/>
                <w:color w:val="000000"/>
                <w:szCs w:val="14"/>
              </w:rPr>
              <w:t>489)</w:t>
            </w:r>
          </w:p>
        </w:tc>
        <w:tc>
          <w:tcPr>
            <w:tcW w:w="1630" w:type="dxa"/>
            <w:tcBorders>
              <w:bottom w:val="single" w:sz="2" w:space="0" w:color="1F4E79" w:themeColor="accent1" w:themeShade="80"/>
            </w:tcBorders>
            <w:shd w:val="clear" w:color="auto" w:fill="auto"/>
            <w:vAlign w:val="bottom"/>
          </w:tcPr>
          <w:p w14:paraId="7B4D58C9" w14:textId="77777777" w:rsidR="005357C6" w:rsidRPr="00B0013B" w:rsidRDefault="005357C6" w:rsidP="00A26497">
            <w:pPr>
              <w:pStyle w:val="08-Tabelageral"/>
              <w:rPr>
                <w:b/>
              </w:rPr>
            </w:pPr>
            <w:r w:rsidRPr="00647CD3">
              <w:rPr>
                <w:rFonts w:cs="Arial"/>
                <w:b/>
                <w:bCs/>
                <w:color w:val="000000"/>
                <w:szCs w:val="14"/>
              </w:rPr>
              <w:t>16</w:t>
            </w:r>
            <w:r>
              <w:rPr>
                <w:rFonts w:cs="Arial"/>
                <w:b/>
                <w:bCs/>
                <w:color w:val="000000"/>
                <w:szCs w:val="14"/>
              </w:rPr>
              <w:t>,</w:t>
            </w:r>
            <w:r w:rsidRPr="00647CD3">
              <w:rPr>
                <w:rFonts w:cs="Arial"/>
                <w:b/>
                <w:bCs/>
                <w:color w:val="000000"/>
                <w:szCs w:val="14"/>
              </w:rPr>
              <w:t>129</w:t>
            </w:r>
            <w:r>
              <w:rPr>
                <w:rFonts w:cs="Arial"/>
                <w:b/>
                <w:bCs/>
                <w:color w:val="000000"/>
                <w:szCs w:val="14"/>
              </w:rPr>
              <w:t>,</w:t>
            </w:r>
            <w:r w:rsidRPr="00647CD3">
              <w:rPr>
                <w:rFonts w:cs="Arial"/>
                <w:b/>
                <w:bCs/>
                <w:color w:val="000000"/>
                <w:szCs w:val="14"/>
              </w:rPr>
              <w:t>832</w:t>
            </w:r>
          </w:p>
        </w:tc>
      </w:tr>
    </w:tbl>
    <w:p w14:paraId="713FA08F" w14:textId="77777777" w:rsidR="005357C6" w:rsidRDefault="005357C6" w:rsidP="009A0C19">
      <w:pPr>
        <w:pStyle w:val="05-Textonormal"/>
        <w:spacing w:before="0" w:after="0" w:line="240" w:lineRule="auto"/>
      </w:pPr>
    </w:p>
    <w:p w14:paraId="30FF7F64" w14:textId="77777777" w:rsidR="005357C6" w:rsidRPr="00D3472F" w:rsidRDefault="005357C6" w:rsidP="00D3472F">
      <w:pPr>
        <w:pStyle w:val="01-Textonormal"/>
        <w:jc w:val="right"/>
        <w:rPr>
          <w:b/>
          <w:bCs/>
          <w:sz w:val="14"/>
          <w:szCs w:val="14"/>
          <w:lang w:val="en-US"/>
        </w:rPr>
      </w:pPr>
      <w:r w:rsidRPr="00D3472F">
        <w:rPr>
          <w:b/>
          <w:bCs/>
          <w:sz w:val="14"/>
          <w:szCs w:val="14"/>
          <w:lang w:val="en-US"/>
        </w:rPr>
        <w:t>R$ thousand</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3119"/>
        <w:gridCol w:w="1630"/>
        <w:gridCol w:w="1630"/>
        <w:gridCol w:w="1630"/>
        <w:gridCol w:w="1630"/>
      </w:tblGrid>
      <w:tr w:rsidR="005357C6" w:rsidRPr="006A0EC8" w14:paraId="43319633" w14:textId="77777777" w:rsidTr="00D3472F">
        <w:trPr>
          <w:trHeight w:val="238"/>
          <w:jc w:val="center"/>
        </w:trPr>
        <w:tc>
          <w:tcPr>
            <w:tcW w:w="3119" w:type="dxa"/>
            <w:tcBorders>
              <w:top w:val="single" w:sz="2" w:space="0" w:color="1F4E79" w:themeColor="accent1" w:themeShade="80"/>
            </w:tcBorders>
            <w:shd w:val="clear" w:color="auto" w:fill="auto"/>
          </w:tcPr>
          <w:p w14:paraId="54C6F977" w14:textId="77777777" w:rsidR="005357C6" w:rsidRPr="006D081B" w:rsidRDefault="005357C6" w:rsidP="004276FB">
            <w:pPr>
              <w:spacing w:after="0"/>
              <w:jc w:val="center"/>
              <w:rPr>
                <w:rFonts w:cs="Arial"/>
                <w:b/>
                <w:szCs w:val="18"/>
                <w:lang w:val="en-US"/>
              </w:rPr>
            </w:pPr>
          </w:p>
        </w:tc>
        <w:tc>
          <w:tcPr>
            <w:tcW w:w="6520" w:type="dxa"/>
            <w:gridSpan w:val="4"/>
            <w:tcBorders>
              <w:top w:val="single" w:sz="2" w:space="0" w:color="1F4E79" w:themeColor="accent1" w:themeShade="80"/>
              <w:bottom w:val="single" w:sz="2" w:space="0" w:color="1F4E79" w:themeColor="accent1" w:themeShade="80"/>
            </w:tcBorders>
            <w:shd w:val="clear" w:color="auto" w:fill="auto"/>
            <w:vAlign w:val="center"/>
          </w:tcPr>
          <w:p w14:paraId="705D37C6" w14:textId="77777777" w:rsidR="005357C6" w:rsidRPr="006A0EC8" w:rsidRDefault="005357C6" w:rsidP="003036D9">
            <w:pPr>
              <w:spacing w:after="0"/>
              <w:jc w:val="center"/>
              <w:rPr>
                <w:rFonts w:cs="Arial"/>
                <w:b/>
                <w:szCs w:val="18"/>
              </w:rPr>
            </w:pPr>
            <w:r>
              <w:rPr>
                <w:rFonts w:cs="Arial"/>
                <w:b/>
                <w:sz w:val="14"/>
                <w:szCs w:val="18"/>
              </w:rPr>
              <w:t>Dec</w:t>
            </w:r>
            <w:r w:rsidRPr="006A0EC8">
              <w:rPr>
                <w:rFonts w:cs="Arial"/>
                <w:b/>
                <w:sz w:val="14"/>
                <w:szCs w:val="18"/>
              </w:rPr>
              <w:t xml:space="preserve"> 3</w:t>
            </w:r>
            <w:r>
              <w:rPr>
                <w:rFonts w:cs="Arial"/>
                <w:b/>
                <w:sz w:val="14"/>
                <w:szCs w:val="18"/>
              </w:rPr>
              <w:t>1</w:t>
            </w:r>
            <w:r w:rsidRPr="006A0EC8">
              <w:rPr>
                <w:rFonts w:cs="Arial"/>
                <w:b/>
                <w:sz w:val="14"/>
                <w:szCs w:val="18"/>
              </w:rPr>
              <w:t>,</w:t>
            </w:r>
            <w:r>
              <w:rPr>
                <w:rFonts w:cs="Arial"/>
                <w:b/>
                <w:sz w:val="14"/>
                <w:szCs w:val="18"/>
              </w:rPr>
              <w:t xml:space="preserve"> </w:t>
            </w:r>
            <w:r w:rsidRPr="006A0EC8">
              <w:rPr>
                <w:rFonts w:cs="Arial"/>
                <w:b/>
                <w:sz w:val="14"/>
                <w:szCs w:val="18"/>
              </w:rPr>
              <w:t>20</w:t>
            </w:r>
            <w:r>
              <w:rPr>
                <w:rFonts w:cs="Arial"/>
                <w:b/>
                <w:sz w:val="14"/>
                <w:szCs w:val="18"/>
              </w:rPr>
              <w:t>21</w:t>
            </w:r>
          </w:p>
        </w:tc>
      </w:tr>
      <w:tr w:rsidR="005357C6" w:rsidRPr="006A0EC8" w14:paraId="20369A91" w14:textId="77777777" w:rsidTr="00D3472F">
        <w:trPr>
          <w:trHeight w:val="238"/>
          <w:jc w:val="center"/>
        </w:trPr>
        <w:tc>
          <w:tcPr>
            <w:tcW w:w="3119" w:type="dxa"/>
            <w:tcBorders>
              <w:bottom w:val="single" w:sz="2" w:space="0" w:color="1F4E79" w:themeColor="accent1" w:themeShade="80"/>
            </w:tcBorders>
            <w:shd w:val="clear" w:color="auto" w:fill="auto"/>
            <w:vAlign w:val="center"/>
          </w:tcPr>
          <w:p w14:paraId="605BF253" w14:textId="77777777" w:rsidR="005357C6" w:rsidRPr="006A0EC8" w:rsidRDefault="005357C6" w:rsidP="004276FB">
            <w:pPr>
              <w:pStyle w:val="08-Tabelageral"/>
              <w:rPr>
                <w:rFonts w:cs="Arial"/>
                <w:b/>
              </w:rPr>
            </w:pP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426C4526" w14:textId="77777777" w:rsidR="005357C6" w:rsidRPr="006A0EC8" w:rsidRDefault="005357C6" w:rsidP="003036D9">
            <w:pPr>
              <w:pStyle w:val="08-Tabelageral"/>
              <w:jc w:val="center"/>
              <w:rPr>
                <w:rFonts w:cs="Arial"/>
                <w:b/>
              </w:rPr>
            </w:pPr>
            <w:r w:rsidRPr="006A0EC8">
              <w:rPr>
                <w:rFonts w:cs="Arial"/>
                <w:b/>
              </w:rPr>
              <w:t>Insurance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4EA5AB54" w14:textId="77777777" w:rsidR="005357C6" w:rsidRPr="006A0EC8" w:rsidRDefault="005357C6" w:rsidP="003036D9">
            <w:pPr>
              <w:pStyle w:val="08-Tabelageral"/>
              <w:jc w:val="center"/>
              <w:rPr>
                <w:rFonts w:cs="Arial"/>
                <w:b/>
              </w:rPr>
            </w:pPr>
            <w:r w:rsidRPr="006A0EC8">
              <w:rPr>
                <w:b/>
                <w:szCs w:val="12"/>
              </w:rPr>
              <w:t>Brokerage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44AA9E44" w14:textId="77777777" w:rsidR="005357C6" w:rsidRPr="006A0EC8" w:rsidRDefault="005357C6" w:rsidP="003036D9">
            <w:pPr>
              <w:pStyle w:val="08-Tabelageral"/>
              <w:jc w:val="center"/>
              <w:rPr>
                <w:rFonts w:cs="Arial"/>
                <w:b/>
              </w:rPr>
            </w:pPr>
            <w:r w:rsidRPr="006A0EC8">
              <w:rPr>
                <w:rFonts w:cs="Arial"/>
                <w:b/>
              </w:rPr>
              <w:t>Intersegment transactions</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60866DFE" w14:textId="77777777" w:rsidR="005357C6" w:rsidRPr="006A0EC8" w:rsidRDefault="005357C6" w:rsidP="003036D9">
            <w:pPr>
              <w:pStyle w:val="08-Tabelageral"/>
              <w:jc w:val="center"/>
              <w:rPr>
                <w:rFonts w:cs="Arial"/>
                <w:b/>
              </w:rPr>
            </w:pPr>
            <w:r w:rsidRPr="006A0EC8">
              <w:rPr>
                <w:rFonts w:cs="Arial"/>
                <w:b/>
              </w:rPr>
              <w:t>Total</w:t>
            </w:r>
          </w:p>
        </w:tc>
      </w:tr>
      <w:tr w:rsidR="005357C6" w:rsidRPr="006A0EC8" w14:paraId="521D6D6D" w14:textId="77777777" w:rsidTr="00D3472F">
        <w:trPr>
          <w:trHeight w:hRule="exact" w:val="238"/>
          <w:jc w:val="center"/>
        </w:trPr>
        <w:tc>
          <w:tcPr>
            <w:tcW w:w="3119" w:type="dxa"/>
            <w:tcBorders>
              <w:top w:val="single" w:sz="2" w:space="0" w:color="1F4E79" w:themeColor="accent1" w:themeShade="80"/>
              <w:bottom w:val="nil"/>
            </w:tcBorders>
            <w:shd w:val="clear" w:color="auto" w:fill="auto"/>
          </w:tcPr>
          <w:p w14:paraId="69D478BA" w14:textId="77777777" w:rsidR="005357C6" w:rsidRPr="006A0EC8" w:rsidRDefault="005357C6" w:rsidP="00895C60">
            <w:pPr>
              <w:pStyle w:val="08-Tabelageral"/>
              <w:ind w:left="113"/>
              <w:jc w:val="left"/>
              <w:rPr>
                <w:rFonts w:cs="Arial"/>
                <w:bCs/>
              </w:rPr>
            </w:pPr>
            <w:r w:rsidRPr="006A0EC8">
              <w:t>Current assets</w:t>
            </w:r>
          </w:p>
        </w:tc>
        <w:tc>
          <w:tcPr>
            <w:tcW w:w="1630" w:type="dxa"/>
            <w:tcBorders>
              <w:top w:val="single" w:sz="2" w:space="0" w:color="1F4E79" w:themeColor="accent1" w:themeShade="80"/>
              <w:bottom w:val="nil"/>
            </w:tcBorders>
            <w:shd w:val="clear" w:color="auto" w:fill="auto"/>
            <w:vAlign w:val="center"/>
          </w:tcPr>
          <w:p w14:paraId="17285F6C" w14:textId="77777777" w:rsidR="005357C6" w:rsidRPr="00895C60" w:rsidRDefault="005357C6" w:rsidP="00895C60">
            <w:pPr>
              <w:spacing w:after="0" w:line="240" w:lineRule="auto"/>
              <w:jc w:val="right"/>
              <w:rPr>
                <w:rFonts w:eastAsia="Times New Roman" w:cs="Arial"/>
                <w:color w:val="000000"/>
                <w:sz w:val="14"/>
                <w:szCs w:val="14"/>
              </w:rPr>
            </w:pPr>
            <w:r w:rsidRPr="00895C60">
              <w:rPr>
                <w:rFonts w:cs="Arial"/>
                <w:sz w:val="14"/>
                <w:szCs w:val="14"/>
              </w:rPr>
              <w:t>2</w:t>
            </w:r>
            <w:r>
              <w:rPr>
                <w:rFonts w:cs="Arial"/>
                <w:sz w:val="14"/>
                <w:szCs w:val="14"/>
              </w:rPr>
              <w:t>,</w:t>
            </w:r>
            <w:r w:rsidRPr="00895C60">
              <w:rPr>
                <w:rFonts w:cs="Arial"/>
                <w:sz w:val="14"/>
                <w:szCs w:val="14"/>
              </w:rPr>
              <w:t>609</w:t>
            </w:r>
            <w:r>
              <w:rPr>
                <w:rFonts w:cs="Arial"/>
                <w:sz w:val="14"/>
                <w:szCs w:val="14"/>
              </w:rPr>
              <w:t>,</w:t>
            </w:r>
            <w:r w:rsidRPr="00895C60">
              <w:rPr>
                <w:rFonts w:cs="Arial"/>
                <w:sz w:val="14"/>
                <w:szCs w:val="14"/>
              </w:rPr>
              <w:t>182</w:t>
            </w:r>
          </w:p>
        </w:tc>
        <w:tc>
          <w:tcPr>
            <w:tcW w:w="1630" w:type="dxa"/>
            <w:tcBorders>
              <w:top w:val="single" w:sz="2" w:space="0" w:color="1F4E79" w:themeColor="accent1" w:themeShade="80"/>
              <w:bottom w:val="nil"/>
            </w:tcBorders>
            <w:shd w:val="clear" w:color="auto" w:fill="auto"/>
            <w:vAlign w:val="center"/>
          </w:tcPr>
          <w:p w14:paraId="02E182A3" w14:textId="77777777" w:rsidR="005357C6" w:rsidRPr="00895C60" w:rsidRDefault="005357C6" w:rsidP="00895C60">
            <w:pPr>
              <w:pStyle w:val="08-Tabelageral"/>
              <w:rPr>
                <w:rFonts w:cs="Arial"/>
                <w:szCs w:val="14"/>
              </w:rPr>
            </w:pPr>
            <w:r w:rsidRPr="00895C60">
              <w:rPr>
                <w:rFonts w:cs="Arial"/>
                <w:szCs w:val="14"/>
                <w:lang w:eastAsia="en-US"/>
              </w:rPr>
              <w:t>4</w:t>
            </w:r>
            <w:r>
              <w:rPr>
                <w:rFonts w:cs="Arial"/>
                <w:szCs w:val="14"/>
                <w:lang w:eastAsia="en-US"/>
              </w:rPr>
              <w:t>,</w:t>
            </w:r>
            <w:r w:rsidRPr="00895C60">
              <w:rPr>
                <w:rFonts w:cs="Arial"/>
                <w:szCs w:val="14"/>
                <w:lang w:eastAsia="en-US"/>
              </w:rPr>
              <w:t>096</w:t>
            </w:r>
            <w:r>
              <w:rPr>
                <w:rFonts w:cs="Arial"/>
                <w:szCs w:val="14"/>
                <w:lang w:eastAsia="en-US"/>
              </w:rPr>
              <w:t>,</w:t>
            </w:r>
            <w:r w:rsidRPr="00895C60">
              <w:rPr>
                <w:rFonts w:cs="Arial"/>
                <w:szCs w:val="14"/>
                <w:lang w:eastAsia="en-US"/>
              </w:rPr>
              <w:t>447</w:t>
            </w:r>
          </w:p>
        </w:tc>
        <w:tc>
          <w:tcPr>
            <w:tcW w:w="1630" w:type="dxa"/>
            <w:tcBorders>
              <w:top w:val="single" w:sz="2" w:space="0" w:color="1F4E79" w:themeColor="accent1" w:themeShade="80"/>
              <w:bottom w:val="nil"/>
            </w:tcBorders>
            <w:shd w:val="clear" w:color="auto" w:fill="auto"/>
            <w:vAlign w:val="center"/>
          </w:tcPr>
          <w:p w14:paraId="205D56DF" w14:textId="77777777" w:rsidR="005357C6" w:rsidRPr="00895C60" w:rsidRDefault="005357C6" w:rsidP="00895C60">
            <w:pPr>
              <w:pStyle w:val="08-Tabelageral"/>
              <w:rPr>
                <w:rFonts w:cs="Arial"/>
                <w:szCs w:val="14"/>
              </w:rPr>
            </w:pPr>
            <w:r w:rsidRPr="00895C60">
              <w:rPr>
                <w:rFonts w:cs="Arial"/>
                <w:szCs w:val="14"/>
                <w:lang w:eastAsia="en-US"/>
              </w:rPr>
              <w:t>(1</w:t>
            </w:r>
            <w:r>
              <w:rPr>
                <w:rFonts w:cs="Arial"/>
                <w:szCs w:val="14"/>
                <w:lang w:eastAsia="en-US"/>
              </w:rPr>
              <w:t>,</w:t>
            </w:r>
            <w:r w:rsidRPr="00895C60">
              <w:rPr>
                <w:rFonts w:cs="Arial"/>
                <w:szCs w:val="14"/>
                <w:lang w:eastAsia="en-US"/>
              </w:rPr>
              <w:t>579</w:t>
            </w:r>
            <w:r>
              <w:rPr>
                <w:rFonts w:cs="Arial"/>
                <w:szCs w:val="14"/>
                <w:lang w:eastAsia="en-US"/>
              </w:rPr>
              <w:t>,</w:t>
            </w:r>
            <w:r w:rsidRPr="00895C60">
              <w:rPr>
                <w:rFonts w:cs="Arial"/>
                <w:szCs w:val="14"/>
                <w:lang w:eastAsia="en-US"/>
              </w:rPr>
              <w:t>998)</w:t>
            </w:r>
          </w:p>
        </w:tc>
        <w:tc>
          <w:tcPr>
            <w:tcW w:w="1630" w:type="dxa"/>
            <w:tcBorders>
              <w:top w:val="single" w:sz="2" w:space="0" w:color="1F4E79" w:themeColor="accent1" w:themeShade="80"/>
              <w:bottom w:val="nil"/>
            </w:tcBorders>
            <w:shd w:val="clear" w:color="auto" w:fill="auto"/>
            <w:vAlign w:val="center"/>
          </w:tcPr>
          <w:p w14:paraId="37DA7092" w14:textId="77777777" w:rsidR="005357C6" w:rsidRPr="00895C60" w:rsidRDefault="005357C6" w:rsidP="00895C60">
            <w:pPr>
              <w:pStyle w:val="08-Tabelageral"/>
              <w:rPr>
                <w:rFonts w:cs="Arial"/>
                <w:szCs w:val="14"/>
              </w:rPr>
            </w:pPr>
            <w:r w:rsidRPr="00895C60">
              <w:rPr>
                <w:rFonts w:cs="Arial"/>
                <w:szCs w:val="14"/>
                <w:lang w:eastAsia="en-US"/>
              </w:rPr>
              <w:t>5</w:t>
            </w:r>
            <w:r>
              <w:rPr>
                <w:rFonts w:cs="Arial"/>
                <w:szCs w:val="14"/>
                <w:lang w:eastAsia="en-US"/>
              </w:rPr>
              <w:t>,</w:t>
            </w:r>
            <w:r w:rsidRPr="00895C60">
              <w:rPr>
                <w:rFonts w:cs="Arial"/>
                <w:szCs w:val="14"/>
                <w:lang w:eastAsia="en-US"/>
              </w:rPr>
              <w:t>125</w:t>
            </w:r>
            <w:r>
              <w:rPr>
                <w:rFonts w:cs="Arial"/>
                <w:szCs w:val="14"/>
                <w:lang w:eastAsia="en-US"/>
              </w:rPr>
              <w:t>,</w:t>
            </w:r>
            <w:r w:rsidRPr="00895C60">
              <w:rPr>
                <w:rFonts w:cs="Arial"/>
                <w:szCs w:val="14"/>
                <w:lang w:eastAsia="en-US"/>
              </w:rPr>
              <w:t>631</w:t>
            </w:r>
          </w:p>
        </w:tc>
      </w:tr>
      <w:tr w:rsidR="005357C6" w:rsidRPr="006A0EC8" w14:paraId="4332AD57" w14:textId="77777777" w:rsidTr="00D3472F">
        <w:trPr>
          <w:trHeight w:hRule="exact" w:val="238"/>
          <w:jc w:val="center"/>
        </w:trPr>
        <w:tc>
          <w:tcPr>
            <w:tcW w:w="3119" w:type="dxa"/>
            <w:tcBorders>
              <w:top w:val="nil"/>
            </w:tcBorders>
            <w:shd w:val="clear" w:color="auto" w:fill="auto"/>
          </w:tcPr>
          <w:p w14:paraId="4DFBC703" w14:textId="77777777" w:rsidR="005357C6" w:rsidRPr="006A0EC8" w:rsidRDefault="005357C6" w:rsidP="00895C60">
            <w:pPr>
              <w:pStyle w:val="08-Tabelageral"/>
              <w:ind w:left="113"/>
              <w:jc w:val="left"/>
              <w:rPr>
                <w:rFonts w:cs="Arial"/>
                <w:bCs/>
              </w:rPr>
            </w:pPr>
            <w:r w:rsidRPr="006A0EC8">
              <w:t>Non-current assets</w:t>
            </w:r>
          </w:p>
        </w:tc>
        <w:tc>
          <w:tcPr>
            <w:tcW w:w="1630" w:type="dxa"/>
            <w:tcBorders>
              <w:top w:val="nil"/>
            </w:tcBorders>
            <w:shd w:val="clear" w:color="auto" w:fill="auto"/>
            <w:vAlign w:val="center"/>
          </w:tcPr>
          <w:p w14:paraId="4F0EA4D1" w14:textId="77777777" w:rsidR="005357C6" w:rsidRPr="00895C60" w:rsidRDefault="005357C6" w:rsidP="00895C60">
            <w:pPr>
              <w:jc w:val="right"/>
              <w:rPr>
                <w:rFonts w:cs="Arial"/>
                <w:color w:val="000000"/>
                <w:sz w:val="14"/>
                <w:szCs w:val="14"/>
              </w:rPr>
            </w:pPr>
            <w:r w:rsidRPr="00895C60">
              <w:rPr>
                <w:rFonts w:cs="Arial"/>
                <w:sz w:val="14"/>
                <w:szCs w:val="14"/>
              </w:rPr>
              <w:t>14</w:t>
            </w:r>
            <w:r>
              <w:rPr>
                <w:rFonts w:cs="Arial"/>
                <w:sz w:val="14"/>
                <w:szCs w:val="14"/>
              </w:rPr>
              <w:t>,</w:t>
            </w:r>
            <w:r w:rsidRPr="00895C60">
              <w:rPr>
                <w:rFonts w:cs="Arial"/>
                <w:sz w:val="14"/>
                <w:szCs w:val="14"/>
              </w:rPr>
              <w:t>306</w:t>
            </w:r>
            <w:r>
              <w:rPr>
                <w:rFonts w:cs="Arial"/>
                <w:sz w:val="14"/>
                <w:szCs w:val="14"/>
              </w:rPr>
              <w:t>,</w:t>
            </w:r>
            <w:r w:rsidRPr="00895C60">
              <w:rPr>
                <w:rFonts w:cs="Arial"/>
                <w:sz w:val="14"/>
                <w:szCs w:val="14"/>
              </w:rPr>
              <w:t>772</w:t>
            </w:r>
          </w:p>
        </w:tc>
        <w:tc>
          <w:tcPr>
            <w:tcW w:w="1630" w:type="dxa"/>
            <w:tcBorders>
              <w:top w:val="nil"/>
            </w:tcBorders>
            <w:shd w:val="clear" w:color="auto" w:fill="auto"/>
            <w:vAlign w:val="center"/>
          </w:tcPr>
          <w:p w14:paraId="7FD5C0E3" w14:textId="77777777" w:rsidR="005357C6" w:rsidRPr="00895C60" w:rsidRDefault="005357C6" w:rsidP="00895C60">
            <w:pPr>
              <w:pStyle w:val="08-Tabelageral"/>
              <w:rPr>
                <w:rFonts w:cs="Arial"/>
                <w:szCs w:val="14"/>
              </w:rPr>
            </w:pPr>
            <w:r w:rsidRPr="00895C60">
              <w:rPr>
                <w:rFonts w:cs="Arial"/>
                <w:szCs w:val="14"/>
                <w:lang w:eastAsia="en-US"/>
              </w:rPr>
              <w:t>962</w:t>
            </w:r>
            <w:r>
              <w:rPr>
                <w:rFonts w:cs="Arial"/>
                <w:szCs w:val="14"/>
                <w:lang w:eastAsia="en-US"/>
              </w:rPr>
              <w:t>,</w:t>
            </w:r>
            <w:r w:rsidRPr="00895C60">
              <w:rPr>
                <w:rFonts w:cs="Arial"/>
                <w:szCs w:val="14"/>
                <w:lang w:eastAsia="en-US"/>
              </w:rPr>
              <w:t>467</w:t>
            </w:r>
          </w:p>
        </w:tc>
        <w:tc>
          <w:tcPr>
            <w:tcW w:w="1630" w:type="dxa"/>
            <w:tcBorders>
              <w:top w:val="nil"/>
            </w:tcBorders>
            <w:shd w:val="clear" w:color="auto" w:fill="auto"/>
            <w:vAlign w:val="center"/>
          </w:tcPr>
          <w:p w14:paraId="4655B1EF" w14:textId="77777777" w:rsidR="005357C6" w:rsidRPr="00895C60" w:rsidRDefault="005357C6" w:rsidP="00895C60">
            <w:pPr>
              <w:pStyle w:val="08-Tabelageral"/>
              <w:rPr>
                <w:rFonts w:cs="Arial"/>
                <w:szCs w:val="14"/>
              </w:rPr>
            </w:pPr>
            <w:r w:rsidRPr="00895C60">
              <w:rPr>
                <w:rFonts w:cs="Arial"/>
                <w:szCs w:val="14"/>
                <w:lang w:eastAsia="en-US"/>
              </w:rPr>
              <w:t>(7</w:t>
            </w:r>
            <w:r>
              <w:rPr>
                <w:rFonts w:cs="Arial"/>
                <w:szCs w:val="14"/>
                <w:lang w:eastAsia="en-US"/>
              </w:rPr>
              <w:t>,</w:t>
            </w:r>
            <w:r w:rsidRPr="00895C60">
              <w:rPr>
                <w:rFonts w:cs="Arial"/>
                <w:szCs w:val="14"/>
                <w:lang w:eastAsia="en-US"/>
              </w:rPr>
              <w:t>080</w:t>
            </w:r>
            <w:r>
              <w:rPr>
                <w:rFonts w:cs="Arial"/>
                <w:szCs w:val="14"/>
                <w:lang w:eastAsia="en-US"/>
              </w:rPr>
              <w:t>,</w:t>
            </w:r>
            <w:r w:rsidRPr="00895C60">
              <w:rPr>
                <w:rFonts w:cs="Arial"/>
                <w:szCs w:val="14"/>
                <w:lang w:eastAsia="en-US"/>
              </w:rPr>
              <w:t>649)</w:t>
            </w:r>
          </w:p>
        </w:tc>
        <w:tc>
          <w:tcPr>
            <w:tcW w:w="1630" w:type="dxa"/>
            <w:tcBorders>
              <w:top w:val="nil"/>
            </w:tcBorders>
            <w:shd w:val="clear" w:color="auto" w:fill="auto"/>
            <w:vAlign w:val="center"/>
          </w:tcPr>
          <w:p w14:paraId="60980633" w14:textId="77777777" w:rsidR="005357C6" w:rsidRPr="00895C60" w:rsidRDefault="005357C6" w:rsidP="00895C60">
            <w:pPr>
              <w:pStyle w:val="08-Tabelageral"/>
              <w:rPr>
                <w:rFonts w:cs="Arial"/>
                <w:szCs w:val="14"/>
              </w:rPr>
            </w:pPr>
            <w:r w:rsidRPr="00895C60">
              <w:rPr>
                <w:rFonts w:cs="Arial"/>
                <w:szCs w:val="14"/>
                <w:lang w:eastAsia="en-US"/>
              </w:rPr>
              <w:t>8</w:t>
            </w:r>
            <w:r>
              <w:rPr>
                <w:rFonts w:cs="Arial"/>
                <w:szCs w:val="14"/>
                <w:lang w:eastAsia="en-US"/>
              </w:rPr>
              <w:t>,</w:t>
            </w:r>
            <w:r w:rsidRPr="00895C60">
              <w:rPr>
                <w:rFonts w:cs="Arial"/>
                <w:szCs w:val="14"/>
                <w:lang w:eastAsia="en-US"/>
              </w:rPr>
              <w:t>188</w:t>
            </w:r>
            <w:r>
              <w:rPr>
                <w:rFonts w:cs="Arial"/>
                <w:szCs w:val="14"/>
                <w:lang w:eastAsia="en-US"/>
              </w:rPr>
              <w:t>,</w:t>
            </w:r>
            <w:r w:rsidRPr="00895C60">
              <w:rPr>
                <w:rFonts w:cs="Arial"/>
                <w:szCs w:val="14"/>
                <w:lang w:eastAsia="en-US"/>
              </w:rPr>
              <w:t>590</w:t>
            </w:r>
          </w:p>
        </w:tc>
      </w:tr>
      <w:tr w:rsidR="005357C6" w:rsidRPr="00B0013B" w14:paraId="1CB5FF70" w14:textId="77777777" w:rsidTr="00D3472F">
        <w:trPr>
          <w:trHeight w:hRule="exact" w:val="238"/>
          <w:jc w:val="center"/>
        </w:trPr>
        <w:tc>
          <w:tcPr>
            <w:tcW w:w="3119" w:type="dxa"/>
            <w:shd w:val="clear" w:color="auto" w:fill="auto"/>
          </w:tcPr>
          <w:p w14:paraId="0A30C225" w14:textId="77777777" w:rsidR="005357C6" w:rsidRPr="00B0013B" w:rsidRDefault="005357C6" w:rsidP="00895C60">
            <w:pPr>
              <w:pStyle w:val="08-Tabelageral"/>
              <w:jc w:val="left"/>
              <w:rPr>
                <w:rFonts w:cs="Arial"/>
                <w:b/>
              </w:rPr>
            </w:pPr>
            <w:r w:rsidRPr="00B0013B">
              <w:rPr>
                <w:rFonts w:cs="Arial"/>
                <w:b/>
              </w:rPr>
              <w:t>Total assets</w:t>
            </w:r>
          </w:p>
        </w:tc>
        <w:tc>
          <w:tcPr>
            <w:tcW w:w="1630" w:type="dxa"/>
            <w:shd w:val="clear" w:color="auto" w:fill="auto"/>
            <w:vAlign w:val="center"/>
          </w:tcPr>
          <w:p w14:paraId="0B94A943" w14:textId="77777777" w:rsidR="005357C6" w:rsidRPr="00895C60" w:rsidRDefault="005357C6" w:rsidP="00895C60">
            <w:pPr>
              <w:jc w:val="right"/>
              <w:rPr>
                <w:rFonts w:cs="Arial"/>
                <w:b/>
                <w:color w:val="000000"/>
                <w:sz w:val="14"/>
                <w:szCs w:val="14"/>
              </w:rPr>
            </w:pPr>
            <w:r w:rsidRPr="00895C60">
              <w:rPr>
                <w:rFonts w:cs="Arial"/>
                <w:b/>
                <w:bCs/>
                <w:sz w:val="14"/>
                <w:szCs w:val="14"/>
              </w:rPr>
              <w:t>16</w:t>
            </w:r>
            <w:r>
              <w:rPr>
                <w:rFonts w:cs="Arial"/>
                <w:b/>
                <w:bCs/>
                <w:sz w:val="14"/>
                <w:szCs w:val="14"/>
              </w:rPr>
              <w:t>,</w:t>
            </w:r>
            <w:r w:rsidRPr="00895C60">
              <w:rPr>
                <w:rFonts w:cs="Arial"/>
                <w:b/>
                <w:bCs/>
                <w:sz w:val="14"/>
                <w:szCs w:val="14"/>
              </w:rPr>
              <w:t>915</w:t>
            </w:r>
            <w:r>
              <w:rPr>
                <w:rFonts w:cs="Arial"/>
                <w:b/>
                <w:bCs/>
                <w:sz w:val="14"/>
                <w:szCs w:val="14"/>
              </w:rPr>
              <w:t>,</w:t>
            </w:r>
            <w:r w:rsidRPr="00895C60">
              <w:rPr>
                <w:rFonts w:cs="Arial"/>
                <w:b/>
                <w:bCs/>
                <w:sz w:val="14"/>
                <w:szCs w:val="14"/>
              </w:rPr>
              <w:t>954</w:t>
            </w:r>
          </w:p>
        </w:tc>
        <w:tc>
          <w:tcPr>
            <w:tcW w:w="1630" w:type="dxa"/>
            <w:shd w:val="clear" w:color="auto" w:fill="auto"/>
            <w:vAlign w:val="center"/>
          </w:tcPr>
          <w:p w14:paraId="612E1C12" w14:textId="77777777" w:rsidR="005357C6" w:rsidRPr="00895C60" w:rsidRDefault="005357C6" w:rsidP="00895C60">
            <w:pPr>
              <w:pStyle w:val="08-Tabelageral"/>
              <w:rPr>
                <w:rFonts w:cs="Arial"/>
                <w:b/>
                <w:szCs w:val="14"/>
              </w:rPr>
            </w:pPr>
            <w:r w:rsidRPr="00895C60">
              <w:rPr>
                <w:rFonts w:cs="Arial"/>
                <w:b/>
                <w:bCs/>
                <w:szCs w:val="14"/>
                <w:lang w:eastAsia="en-US"/>
              </w:rPr>
              <w:t>5</w:t>
            </w:r>
            <w:r>
              <w:rPr>
                <w:rFonts w:cs="Arial"/>
                <w:b/>
                <w:bCs/>
                <w:szCs w:val="14"/>
                <w:lang w:eastAsia="en-US"/>
              </w:rPr>
              <w:t>,</w:t>
            </w:r>
            <w:r w:rsidRPr="00895C60">
              <w:rPr>
                <w:rFonts w:cs="Arial"/>
                <w:b/>
                <w:bCs/>
                <w:szCs w:val="14"/>
                <w:lang w:eastAsia="en-US"/>
              </w:rPr>
              <w:t>058</w:t>
            </w:r>
            <w:r>
              <w:rPr>
                <w:rFonts w:cs="Arial"/>
                <w:b/>
                <w:bCs/>
                <w:szCs w:val="14"/>
                <w:lang w:eastAsia="en-US"/>
              </w:rPr>
              <w:t>,</w:t>
            </w:r>
            <w:r w:rsidRPr="00895C60">
              <w:rPr>
                <w:rFonts w:cs="Arial"/>
                <w:b/>
                <w:bCs/>
                <w:szCs w:val="14"/>
                <w:lang w:eastAsia="en-US"/>
              </w:rPr>
              <w:t>914</w:t>
            </w:r>
          </w:p>
        </w:tc>
        <w:tc>
          <w:tcPr>
            <w:tcW w:w="1630" w:type="dxa"/>
            <w:shd w:val="clear" w:color="auto" w:fill="auto"/>
            <w:vAlign w:val="center"/>
          </w:tcPr>
          <w:p w14:paraId="40F7C93D" w14:textId="77777777" w:rsidR="005357C6" w:rsidRPr="00895C60" w:rsidRDefault="005357C6" w:rsidP="00895C60">
            <w:pPr>
              <w:pStyle w:val="08-Tabelageral"/>
              <w:rPr>
                <w:rFonts w:cs="Arial"/>
                <w:b/>
                <w:szCs w:val="14"/>
              </w:rPr>
            </w:pPr>
            <w:r w:rsidRPr="00895C60">
              <w:rPr>
                <w:rFonts w:cs="Arial"/>
                <w:b/>
                <w:bCs/>
                <w:szCs w:val="14"/>
                <w:lang w:eastAsia="en-US"/>
              </w:rPr>
              <w:t>(8</w:t>
            </w:r>
            <w:r>
              <w:rPr>
                <w:rFonts w:cs="Arial"/>
                <w:b/>
                <w:bCs/>
                <w:szCs w:val="14"/>
                <w:lang w:eastAsia="en-US"/>
              </w:rPr>
              <w:t>,</w:t>
            </w:r>
            <w:r w:rsidRPr="00895C60">
              <w:rPr>
                <w:rFonts w:cs="Arial"/>
                <w:b/>
                <w:bCs/>
                <w:szCs w:val="14"/>
                <w:lang w:eastAsia="en-US"/>
              </w:rPr>
              <w:t>660</w:t>
            </w:r>
            <w:r>
              <w:rPr>
                <w:rFonts w:cs="Arial"/>
                <w:b/>
                <w:bCs/>
                <w:szCs w:val="14"/>
                <w:lang w:eastAsia="en-US"/>
              </w:rPr>
              <w:t>,</w:t>
            </w:r>
            <w:r w:rsidRPr="00895C60">
              <w:rPr>
                <w:rFonts w:cs="Arial"/>
                <w:b/>
                <w:bCs/>
                <w:szCs w:val="14"/>
                <w:lang w:eastAsia="en-US"/>
              </w:rPr>
              <w:t>647)</w:t>
            </w:r>
          </w:p>
        </w:tc>
        <w:tc>
          <w:tcPr>
            <w:tcW w:w="1630" w:type="dxa"/>
            <w:shd w:val="clear" w:color="auto" w:fill="auto"/>
            <w:vAlign w:val="center"/>
          </w:tcPr>
          <w:p w14:paraId="7CEFF5CF" w14:textId="77777777" w:rsidR="005357C6" w:rsidRPr="00895C60" w:rsidRDefault="005357C6" w:rsidP="00895C60">
            <w:pPr>
              <w:pStyle w:val="08-Tabelageral"/>
              <w:rPr>
                <w:rFonts w:cs="Arial"/>
                <w:b/>
                <w:szCs w:val="14"/>
              </w:rPr>
            </w:pPr>
            <w:r w:rsidRPr="00895C60">
              <w:rPr>
                <w:rFonts w:cs="Arial"/>
                <w:b/>
                <w:bCs/>
                <w:szCs w:val="14"/>
                <w:lang w:eastAsia="en-US"/>
              </w:rPr>
              <w:t>13</w:t>
            </w:r>
            <w:r>
              <w:rPr>
                <w:rFonts w:cs="Arial"/>
                <w:b/>
                <w:bCs/>
                <w:szCs w:val="14"/>
                <w:lang w:eastAsia="en-US"/>
              </w:rPr>
              <w:t>,</w:t>
            </w:r>
            <w:r w:rsidRPr="00895C60">
              <w:rPr>
                <w:rFonts w:cs="Arial"/>
                <w:b/>
                <w:bCs/>
                <w:szCs w:val="14"/>
                <w:lang w:eastAsia="en-US"/>
              </w:rPr>
              <w:t>314</w:t>
            </w:r>
            <w:r>
              <w:rPr>
                <w:rFonts w:cs="Arial"/>
                <w:b/>
                <w:bCs/>
                <w:szCs w:val="14"/>
                <w:lang w:eastAsia="en-US"/>
              </w:rPr>
              <w:t>,</w:t>
            </w:r>
            <w:r w:rsidRPr="00895C60">
              <w:rPr>
                <w:rFonts w:cs="Arial"/>
                <w:b/>
                <w:bCs/>
                <w:szCs w:val="14"/>
                <w:lang w:eastAsia="en-US"/>
              </w:rPr>
              <w:t>221</w:t>
            </w:r>
          </w:p>
        </w:tc>
      </w:tr>
      <w:tr w:rsidR="005357C6" w:rsidRPr="006A0EC8" w14:paraId="0ED979A6" w14:textId="77777777" w:rsidTr="00D3472F">
        <w:trPr>
          <w:trHeight w:hRule="exact" w:val="238"/>
          <w:jc w:val="center"/>
        </w:trPr>
        <w:tc>
          <w:tcPr>
            <w:tcW w:w="3119" w:type="dxa"/>
            <w:shd w:val="clear" w:color="auto" w:fill="auto"/>
          </w:tcPr>
          <w:p w14:paraId="0D151B45" w14:textId="77777777" w:rsidR="005357C6" w:rsidRPr="006A0EC8" w:rsidRDefault="005357C6" w:rsidP="00895C60">
            <w:pPr>
              <w:pStyle w:val="08-Tabelageral"/>
              <w:ind w:left="113"/>
              <w:jc w:val="left"/>
              <w:rPr>
                <w:rFonts w:cs="Arial"/>
                <w:bCs/>
              </w:rPr>
            </w:pPr>
            <w:r w:rsidRPr="006A0EC8">
              <w:rPr>
                <w:rFonts w:cs="Arial"/>
              </w:rPr>
              <w:t>Current liabilities</w:t>
            </w:r>
          </w:p>
        </w:tc>
        <w:tc>
          <w:tcPr>
            <w:tcW w:w="1630" w:type="dxa"/>
            <w:shd w:val="clear" w:color="auto" w:fill="auto"/>
            <w:vAlign w:val="center"/>
          </w:tcPr>
          <w:p w14:paraId="7DC3E6A7" w14:textId="77777777" w:rsidR="005357C6" w:rsidRPr="00895C60" w:rsidRDefault="005357C6" w:rsidP="00895C60">
            <w:pPr>
              <w:jc w:val="right"/>
              <w:rPr>
                <w:rFonts w:cs="Arial"/>
                <w:color w:val="000000"/>
                <w:sz w:val="14"/>
                <w:szCs w:val="14"/>
              </w:rPr>
            </w:pPr>
            <w:r w:rsidRPr="00895C60">
              <w:rPr>
                <w:rFonts w:cs="Arial"/>
                <w:sz w:val="14"/>
                <w:szCs w:val="14"/>
              </w:rPr>
              <w:t>2</w:t>
            </w:r>
            <w:r>
              <w:rPr>
                <w:rFonts w:cs="Arial"/>
                <w:sz w:val="14"/>
                <w:szCs w:val="14"/>
              </w:rPr>
              <w:t>,</w:t>
            </w:r>
            <w:r w:rsidRPr="00895C60">
              <w:rPr>
                <w:rFonts w:cs="Arial"/>
                <w:sz w:val="14"/>
                <w:szCs w:val="14"/>
              </w:rPr>
              <w:t>330</w:t>
            </w:r>
            <w:r>
              <w:rPr>
                <w:rFonts w:cs="Arial"/>
                <w:sz w:val="14"/>
                <w:szCs w:val="14"/>
              </w:rPr>
              <w:t>,</w:t>
            </w:r>
            <w:r w:rsidRPr="00895C60">
              <w:rPr>
                <w:rFonts w:cs="Arial"/>
                <w:sz w:val="14"/>
                <w:szCs w:val="14"/>
              </w:rPr>
              <w:t>716</w:t>
            </w:r>
          </w:p>
        </w:tc>
        <w:tc>
          <w:tcPr>
            <w:tcW w:w="1630" w:type="dxa"/>
            <w:shd w:val="clear" w:color="auto" w:fill="auto"/>
            <w:vAlign w:val="center"/>
          </w:tcPr>
          <w:p w14:paraId="5F748489" w14:textId="77777777" w:rsidR="005357C6" w:rsidRPr="00895C60" w:rsidRDefault="005357C6" w:rsidP="00895C60">
            <w:pPr>
              <w:pStyle w:val="08-Tabelageral"/>
              <w:rPr>
                <w:rFonts w:cs="Arial"/>
                <w:szCs w:val="14"/>
              </w:rPr>
            </w:pPr>
            <w:r w:rsidRPr="00895C60">
              <w:rPr>
                <w:rFonts w:cs="Arial"/>
                <w:szCs w:val="14"/>
                <w:lang w:eastAsia="en-US"/>
              </w:rPr>
              <w:t>3</w:t>
            </w:r>
            <w:r>
              <w:rPr>
                <w:rFonts w:cs="Arial"/>
                <w:szCs w:val="14"/>
                <w:lang w:eastAsia="en-US"/>
              </w:rPr>
              <w:t>,</w:t>
            </w:r>
            <w:r w:rsidRPr="00895C60">
              <w:rPr>
                <w:rFonts w:cs="Arial"/>
                <w:szCs w:val="14"/>
                <w:lang w:eastAsia="en-US"/>
              </w:rPr>
              <w:t>248</w:t>
            </w:r>
            <w:r>
              <w:rPr>
                <w:rFonts w:cs="Arial"/>
                <w:szCs w:val="14"/>
                <w:lang w:eastAsia="en-US"/>
              </w:rPr>
              <w:t>,</w:t>
            </w:r>
            <w:r w:rsidRPr="00895C60">
              <w:rPr>
                <w:rFonts w:cs="Arial"/>
                <w:szCs w:val="14"/>
                <w:lang w:eastAsia="en-US"/>
              </w:rPr>
              <w:t>559</w:t>
            </w:r>
          </w:p>
        </w:tc>
        <w:tc>
          <w:tcPr>
            <w:tcW w:w="1630" w:type="dxa"/>
            <w:shd w:val="clear" w:color="auto" w:fill="auto"/>
            <w:vAlign w:val="center"/>
          </w:tcPr>
          <w:p w14:paraId="140D5CF4" w14:textId="77777777" w:rsidR="005357C6" w:rsidRPr="00895C60" w:rsidRDefault="005357C6" w:rsidP="00895C60">
            <w:pPr>
              <w:pStyle w:val="08-Tabelageral"/>
              <w:rPr>
                <w:rFonts w:cs="Arial"/>
                <w:szCs w:val="14"/>
              </w:rPr>
            </w:pPr>
            <w:r w:rsidRPr="00895C60">
              <w:rPr>
                <w:rFonts w:cs="Arial"/>
                <w:szCs w:val="14"/>
                <w:lang w:eastAsia="en-US"/>
              </w:rPr>
              <w:t>(1</w:t>
            </w:r>
            <w:r>
              <w:rPr>
                <w:rFonts w:cs="Arial"/>
                <w:szCs w:val="14"/>
                <w:lang w:eastAsia="en-US"/>
              </w:rPr>
              <w:t>,</w:t>
            </w:r>
            <w:r w:rsidRPr="00895C60">
              <w:rPr>
                <w:rFonts w:cs="Arial"/>
                <w:szCs w:val="14"/>
                <w:lang w:eastAsia="en-US"/>
              </w:rPr>
              <w:t>579</w:t>
            </w:r>
            <w:r>
              <w:rPr>
                <w:rFonts w:cs="Arial"/>
                <w:szCs w:val="14"/>
                <w:lang w:eastAsia="en-US"/>
              </w:rPr>
              <w:t>,</w:t>
            </w:r>
            <w:r w:rsidRPr="00895C60">
              <w:rPr>
                <w:rFonts w:cs="Arial"/>
                <w:szCs w:val="14"/>
                <w:lang w:eastAsia="en-US"/>
              </w:rPr>
              <w:t>998)</w:t>
            </w:r>
          </w:p>
        </w:tc>
        <w:tc>
          <w:tcPr>
            <w:tcW w:w="1630" w:type="dxa"/>
            <w:shd w:val="clear" w:color="auto" w:fill="auto"/>
            <w:vAlign w:val="center"/>
          </w:tcPr>
          <w:p w14:paraId="5FB3C6AB" w14:textId="77777777" w:rsidR="005357C6" w:rsidRPr="00895C60" w:rsidRDefault="005357C6" w:rsidP="00895C60">
            <w:pPr>
              <w:pStyle w:val="08-Tabelageral"/>
              <w:rPr>
                <w:rFonts w:cs="Arial"/>
                <w:szCs w:val="14"/>
              </w:rPr>
            </w:pPr>
            <w:r w:rsidRPr="00895C60">
              <w:rPr>
                <w:rFonts w:cs="Arial"/>
                <w:szCs w:val="14"/>
                <w:lang w:eastAsia="en-US"/>
              </w:rPr>
              <w:t>3</w:t>
            </w:r>
            <w:r>
              <w:rPr>
                <w:rFonts w:cs="Arial"/>
                <w:szCs w:val="14"/>
                <w:lang w:eastAsia="en-US"/>
              </w:rPr>
              <w:t>,</w:t>
            </w:r>
            <w:r w:rsidRPr="00895C60">
              <w:rPr>
                <w:rFonts w:cs="Arial"/>
                <w:szCs w:val="14"/>
                <w:lang w:eastAsia="en-US"/>
              </w:rPr>
              <w:t>960</w:t>
            </w:r>
            <w:r>
              <w:rPr>
                <w:rFonts w:cs="Arial"/>
                <w:szCs w:val="14"/>
                <w:lang w:eastAsia="en-US"/>
              </w:rPr>
              <w:t>,</w:t>
            </w:r>
            <w:r w:rsidRPr="00895C60">
              <w:rPr>
                <w:rFonts w:cs="Arial"/>
                <w:szCs w:val="14"/>
                <w:lang w:eastAsia="en-US"/>
              </w:rPr>
              <w:t>413</w:t>
            </w:r>
          </w:p>
        </w:tc>
      </w:tr>
      <w:tr w:rsidR="005357C6" w:rsidRPr="006A0EC8" w14:paraId="457533B9" w14:textId="77777777" w:rsidTr="00D3472F">
        <w:trPr>
          <w:trHeight w:hRule="exact" w:val="238"/>
          <w:jc w:val="center"/>
        </w:trPr>
        <w:tc>
          <w:tcPr>
            <w:tcW w:w="3119" w:type="dxa"/>
            <w:shd w:val="clear" w:color="auto" w:fill="auto"/>
          </w:tcPr>
          <w:p w14:paraId="481C7B85" w14:textId="77777777" w:rsidR="005357C6" w:rsidRPr="006A0EC8" w:rsidRDefault="005357C6" w:rsidP="00895C60">
            <w:pPr>
              <w:pStyle w:val="08-Tabelageral"/>
              <w:ind w:left="113"/>
              <w:jc w:val="left"/>
              <w:rPr>
                <w:rFonts w:cs="Arial"/>
                <w:bCs/>
              </w:rPr>
            </w:pPr>
            <w:r w:rsidRPr="006A0EC8">
              <w:rPr>
                <w:rFonts w:cs="Arial"/>
              </w:rPr>
              <w:t>Non-current liabilities</w:t>
            </w:r>
          </w:p>
        </w:tc>
        <w:tc>
          <w:tcPr>
            <w:tcW w:w="1630" w:type="dxa"/>
            <w:shd w:val="clear" w:color="auto" w:fill="auto"/>
            <w:vAlign w:val="center"/>
          </w:tcPr>
          <w:p w14:paraId="07BB6939" w14:textId="77777777" w:rsidR="005357C6" w:rsidRPr="00895C60" w:rsidRDefault="005357C6" w:rsidP="00895C60">
            <w:pPr>
              <w:jc w:val="right"/>
              <w:rPr>
                <w:rFonts w:cs="Arial"/>
                <w:color w:val="000000"/>
                <w:sz w:val="14"/>
                <w:szCs w:val="14"/>
              </w:rPr>
            </w:pPr>
            <w:r w:rsidRPr="00895C60">
              <w:rPr>
                <w:rFonts w:cs="Arial"/>
                <w:sz w:val="14"/>
                <w:szCs w:val="14"/>
              </w:rPr>
              <w:t>229</w:t>
            </w:r>
            <w:r>
              <w:rPr>
                <w:rFonts w:cs="Arial"/>
                <w:sz w:val="14"/>
                <w:szCs w:val="14"/>
              </w:rPr>
              <w:t>,</w:t>
            </w:r>
            <w:r w:rsidRPr="00895C60">
              <w:rPr>
                <w:rFonts w:cs="Arial"/>
                <w:sz w:val="14"/>
                <w:szCs w:val="14"/>
              </w:rPr>
              <w:t>182</w:t>
            </w:r>
          </w:p>
        </w:tc>
        <w:tc>
          <w:tcPr>
            <w:tcW w:w="1630" w:type="dxa"/>
            <w:shd w:val="clear" w:color="auto" w:fill="auto"/>
            <w:vAlign w:val="center"/>
          </w:tcPr>
          <w:p w14:paraId="3BC06342" w14:textId="77777777" w:rsidR="005357C6" w:rsidRPr="00895C60" w:rsidRDefault="005357C6" w:rsidP="00895C60">
            <w:pPr>
              <w:pStyle w:val="08-Tabelageral"/>
              <w:rPr>
                <w:rFonts w:cs="Arial"/>
                <w:szCs w:val="14"/>
              </w:rPr>
            </w:pPr>
            <w:r w:rsidRPr="00895C60">
              <w:rPr>
                <w:rFonts w:cs="Arial"/>
                <w:szCs w:val="14"/>
                <w:lang w:eastAsia="en-US"/>
              </w:rPr>
              <w:t>1</w:t>
            </w:r>
            <w:r>
              <w:rPr>
                <w:rFonts w:cs="Arial"/>
                <w:szCs w:val="14"/>
                <w:lang w:eastAsia="en-US"/>
              </w:rPr>
              <w:t>,</w:t>
            </w:r>
            <w:r w:rsidRPr="00895C60">
              <w:rPr>
                <w:rFonts w:cs="Arial"/>
                <w:szCs w:val="14"/>
                <w:lang w:eastAsia="en-US"/>
              </w:rPr>
              <w:t>804</w:t>
            </w:r>
            <w:r>
              <w:rPr>
                <w:rFonts w:cs="Arial"/>
                <w:szCs w:val="14"/>
                <w:lang w:eastAsia="en-US"/>
              </w:rPr>
              <w:t>,</w:t>
            </w:r>
            <w:r w:rsidRPr="00895C60">
              <w:rPr>
                <w:rFonts w:cs="Arial"/>
                <w:szCs w:val="14"/>
                <w:lang w:eastAsia="en-US"/>
              </w:rPr>
              <w:t>346</w:t>
            </w:r>
          </w:p>
        </w:tc>
        <w:tc>
          <w:tcPr>
            <w:tcW w:w="1630" w:type="dxa"/>
            <w:shd w:val="clear" w:color="auto" w:fill="auto"/>
            <w:vAlign w:val="center"/>
          </w:tcPr>
          <w:p w14:paraId="5EACB39D" w14:textId="77777777" w:rsidR="005357C6" w:rsidRPr="00895C60" w:rsidRDefault="005357C6" w:rsidP="00895C60">
            <w:pPr>
              <w:pStyle w:val="08-Tabelageral"/>
              <w:rPr>
                <w:rFonts w:cs="Arial"/>
                <w:szCs w:val="14"/>
              </w:rPr>
            </w:pPr>
            <w:r w:rsidRPr="00895C60">
              <w:rPr>
                <w:rFonts w:cs="Arial"/>
                <w:szCs w:val="14"/>
                <w:lang w:eastAsia="en-US"/>
              </w:rPr>
              <w:t>--</w:t>
            </w:r>
          </w:p>
        </w:tc>
        <w:tc>
          <w:tcPr>
            <w:tcW w:w="1630" w:type="dxa"/>
            <w:shd w:val="clear" w:color="auto" w:fill="auto"/>
            <w:vAlign w:val="center"/>
          </w:tcPr>
          <w:p w14:paraId="227389AB" w14:textId="77777777" w:rsidR="005357C6" w:rsidRPr="00895C60" w:rsidRDefault="005357C6" w:rsidP="00895C60">
            <w:pPr>
              <w:pStyle w:val="08-Tabelageral"/>
              <w:rPr>
                <w:rFonts w:cs="Arial"/>
                <w:szCs w:val="14"/>
              </w:rPr>
            </w:pPr>
            <w:r w:rsidRPr="00895C60">
              <w:rPr>
                <w:rFonts w:cs="Arial"/>
                <w:szCs w:val="14"/>
                <w:lang w:eastAsia="en-US"/>
              </w:rPr>
              <w:t>2</w:t>
            </w:r>
            <w:r>
              <w:rPr>
                <w:rFonts w:cs="Arial"/>
                <w:szCs w:val="14"/>
                <w:lang w:eastAsia="en-US"/>
              </w:rPr>
              <w:t>,</w:t>
            </w:r>
            <w:r w:rsidRPr="00895C60">
              <w:rPr>
                <w:rFonts w:cs="Arial"/>
                <w:szCs w:val="14"/>
                <w:lang w:eastAsia="en-US"/>
              </w:rPr>
              <w:t>072</w:t>
            </w:r>
            <w:r>
              <w:rPr>
                <w:rFonts w:cs="Arial"/>
                <w:szCs w:val="14"/>
                <w:lang w:eastAsia="en-US"/>
              </w:rPr>
              <w:t>,</w:t>
            </w:r>
            <w:r w:rsidRPr="00895C60">
              <w:rPr>
                <w:rFonts w:cs="Arial"/>
                <w:szCs w:val="14"/>
                <w:lang w:eastAsia="en-US"/>
              </w:rPr>
              <w:t>392</w:t>
            </w:r>
          </w:p>
        </w:tc>
      </w:tr>
      <w:tr w:rsidR="005357C6" w:rsidRPr="006A0EC8" w14:paraId="57137719" w14:textId="77777777" w:rsidTr="00D3472F">
        <w:trPr>
          <w:trHeight w:hRule="exact" w:val="238"/>
          <w:jc w:val="center"/>
        </w:trPr>
        <w:tc>
          <w:tcPr>
            <w:tcW w:w="3119" w:type="dxa"/>
            <w:shd w:val="clear" w:color="auto" w:fill="auto"/>
          </w:tcPr>
          <w:p w14:paraId="3C4E0870" w14:textId="77777777" w:rsidR="005357C6" w:rsidRPr="006A0EC8" w:rsidRDefault="005357C6" w:rsidP="00895C60">
            <w:pPr>
              <w:pStyle w:val="08-Tabelageral"/>
              <w:ind w:left="113"/>
              <w:jc w:val="left"/>
              <w:rPr>
                <w:rFonts w:cs="Arial"/>
                <w:bCs/>
              </w:rPr>
            </w:pPr>
            <w:r w:rsidRPr="006A0EC8">
              <w:t>Equity</w:t>
            </w:r>
          </w:p>
        </w:tc>
        <w:tc>
          <w:tcPr>
            <w:tcW w:w="1630" w:type="dxa"/>
            <w:shd w:val="clear" w:color="auto" w:fill="auto"/>
            <w:vAlign w:val="center"/>
          </w:tcPr>
          <w:p w14:paraId="18A68E6D" w14:textId="77777777" w:rsidR="005357C6" w:rsidRPr="00895C60" w:rsidRDefault="005357C6" w:rsidP="00895C60">
            <w:pPr>
              <w:jc w:val="right"/>
              <w:rPr>
                <w:rFonts w:cs="Arial"/>
                <w:color w:val="000000"/>
                <w:sz w:val="14"/>
                <w:szCs w:val="14"/>
              </w:rPr>
            </w:pPr>
            <w:r w:rsidRPr="00895C60">
              <w:rPr>
                <w:rFonts w:cs="Arial"/>
                <w:sz w:val="14"/>
                <w:szCs w:val="14"/>
              </w:rPr>
              <w:t>14</w:t>
            </w:r>
            <w:r>
              <w:rPr>
                <w:rFonts w:cs="Arial"/>
                <w:sz w:val="14"/>
                <w:szCs w:val="14"/>
              </w:rPr>
              <w:t>,</w:t>
            </w:r>
            <w:r w:rsidRPr="00895C60">
              <w:rPr>
                <w:rFonts w:cs="Arial"/>
                <w:sz w:val="14"/>
                <w:szCs w:val="14"/>
              </w:rPr>
              <w:t>356</w:t>
            </w:r>
            <w:r>
              <w:rPr>
                <w:rFonts w:cs="Arial"/>
                <w:sz w:val="14"/>
                <w:szCs w:val="14"/>
              </w:rPr>
              <w:t>,</w:t>
            </w:r>
            <w:r w:rsidRPr="00895C60">
              <w:rPr>
                <w:rFonts w:cs="Arial"/>
                <w:sz w:val="14"/>
                <w:szCs w:val="14"/>
              </w:rPr>
              <w:t>056</w:t>
            </w:r>
          </w:p>
        </w:tc>
        <w:tc>
          <w:tcPr>
            <w:tcW w:w="1630" w:type="dxa"/>
            <w:shd w:val="clear" w:color="auto" w:fill="auto"/>
            <w:vAlign w:val="center"/>
          </w:tcPr>
          <w:p w14:paraId="48B2A7FD" w14:textId="77777777" w:rsidR="005357C6" w:rsidRPr="00895C60" w:rsidRDefault="005357C6" w:rsidP="00895C60">
            <w:pPr>
              <w:pStyle w:val="08-Tabelageral"/>
              <w:rPr>
                <w:rFonts w:cs="Arial"/>
                <w:szCs w:val="14"/>
              </w:rPr>
            </w:pPr>
            <w:r w:rsidRPr="00895C60">
              <w:rPr>
                <w:rFonts w:cs="Arial"/>
                <w:szCs w:val="14"/>
                <w:lang w:eastAsia="en-US"/>
              </w:rPr>
              <w:t>6</w:t>
            </w:r>
            <w:r>
              <w:rPr>
                <w:rFonts w:cs="Arial"/>
                <w:szCs w:val="14"/>
                <w:lang w:eastAsia="en-US"/>
              </w:rPr>
              <w:t>,</w:t>
            </w:r>
            <w:r w:rsidRPr="00895C60">
              <w:rPr>
                <w:rFonts w:cs="Arial"/>
                <w:szCs w:val="14"/>
                <w:lang w:eastAsia="en-US"/>
              </w:rPr>
              <w:t>009</w:t>
            </w:r>
          </w:p>
        </w:tc>
        <w:tc>
          <w:tcPr>
            <w:tcW w:w="1630" w:type="dxa"/>
            <w:shd w:val="clear" w:color="auto" w:fill="auto"/>
            <w:vAlign w:val="center"/>
          </w:tcPr>
          <w:p w14:paraId="08E37E30" w14:textId="77777777" w:rsidR="005357C6" w:rsidRPr="00895C60" w:rsidRDefault="005357C6" w:rsidP="00895C60">
            <w:pPr>
              <w:pStyle w:val="08-Tabelageral"/>
              <w:rPr>
                <w:rFonts w:cs="Arial"/>
                <w:szCs w:val="14"/>
              </w:rPr>
            </w:pPr>
            <w:r w:rsidRPr="00895C60">
              <w:rPr>
                <w:rFonts w:cs="Arial"/>
                <w:szCs w:val="14"/>
                <w:lang w:eastAsia="en-US"/>
              </w:rPr>
              <w:t>(7</w:t>
            </w:r>
            <w:r>
              <w:rPr>
                <w:rFonts w:cs="Arial"/>
                <w:szCs w:val="14"/>
                <w:lang w:eastAsia="en-US"/>
              </w:rPr>
              <w:t>,</w:t>
            </w:r>
            <w:r w:rsidRPr="00895C60">
              <w:rPr>
                <w:rFonts w:cs="Arial"/>
                <w:szCs w:val="14"/>
                <w:lang w:eastAsia="en-US"/>
              </w:rPr>
              <w:t>080</w:t>
            </w:r>
            <w:r>
              <w:rPr>
                <w:rFonts w:cs="Arial"/>
                <w:szCs w:val="14"/>
                <w:lang w:eastAsia="en-US"/>
              </w:rPr>
              <w:t>,</w:t>
            </w:r>
            <w:r w:rsidRPr="00895C60">
              <w:rPr>
                <w:rFonts w:cs="Arial"/>
                <w:szCs w:val="14"/>
                <w:lang w:eastAsia="en-US"/>
              </w:rPr>
              <w:t>649)</w:t>
            </w:r>
          </w:p>
        </w:tc>
        <w:tc>
          <w:tcPr>
            <w:tcW w:w="1630" w:type="dxa"/>
            <w:shd w:val="clear" w:color="auto" w:fill="auto"/>
            <w:vAlign w:val="center"/>
          </w:tcPr>
          <w:p w14:paraId="1A6CB2C9" w14:textId="77777777" w:rsidR="005357C6" w:rsidRPr="00895C60" w:rsidRDefault="005357C6" w:rsidP="00895C60">
            <w:pPr>
              <w:pStyle w:val="08-Tabelageral"/>
              <w:rPr>
                <w:rFonts w:cs="Arial"/>
                <w:szCs w:val="14"/>
              </w:rPr>
            </w:pPr>
            <w:r w:rsidRPr="00895C60">
              <w:rPr>
                <w:rFonts w:cs="Arial"/>
                <w:szCs w:val="14"/>
                <w:lang w:eastAsia="en-US"/>
              </w:rPr>
              <w:t>7</w:t>
            </w:r>
            <w:r>
              <w:rPr>
                <w:rFonts w:cs="Arial"/>
                <w:szCs w:val="14"/>
                <w:lang w:eastAsia="en-US"/>
              </w:rPr>
              <w:t>,</w:t>
            </w:r>
            <w:r w:rsidRPr="00895C60">
              <w:rPr>
                <w:rFonts w:cs="Arial"/>
                <w:szCs w:val="14"/>
                <w:lang w:eastAsia="en-US"/>
              </w:rPr>
              <w:t>281</w:t>
            </w:r>
            <w:r>
              <w:rPr>
                <w:rFonts w:cs="Arial"/>
                <w:szCs w:val="14"/>
                <w:lang w:eastAsia="en-US"/>
              </w:rPr>
              <w:t>,</w:t>
            </w:r>
            <w:r w:rsidRPr="00895C60">
              <w:rPr>
                <w:rFonts w:cs="Arial"/>
                <w:szCs w:val="14"/>
                <w:lang w:eastAsia="en-US"/>
              </w:rPr>
              <w:t>416</w:t>
            </w:r>
          </w:p>
        </w:tc>
      </w:tr>
      <w:tr w:rsidR="005357C6" w:rsidRPr="00B0013B" w14:paraId="46065587" w14:textId="77777777" w:rsidTr="00D3472F">
        <w:trPr>
          <w:trHeight w:hRule="exact" w:val="238"/>
          <w:jc w:val="center"/>
        </w:trPr>
        <w:tc>
          <w:tcPr>
            <w:tcW w:w="3119" w:type="dxa"/>
            <w:tcBorders>
              <w:bottom w:val="single" w:sz="2" w:space="0" w:color="1F4E79" w:themeColor="accent1" w:themeShade="80"/>
            </w:tcBorders>
            <w:shd w:val="clear" w:color="auto" w:fill="auto"/>
          </w:tcPr>
          <w:p w14:paraId="20CCEF1F" w14:textId="77777777" w:rsidR="005357C6" w:rsidRPr="00B0013B" w:rsidRDefault="005357C6" w:rsidP="00895C60">
            <w:pPr>
              <w:pStyle w:val="08-Tabelageral"/>
              <w:jc w:val="left"/>
              <w:rPr>
                <w:rFonts w:cs="Arial"/>
                <w:b/>
              </w:rPr>
            </w:pPr>
            <w:r w:rsidRPr="00B0013B">
              <w:rPr>
                <w:b/>
              </w:rPr>
              <w:t>Total liabilities and equity</w:t>
            </w:r>
          </w:p>
        </w:tc>
        <w:tc>
          <w:tcPr>
            <w:tcW w:w="1630" w:type="dxa"/>
            <w:tcBorders>
              <w:bottom w:val="single" w:sz="2" w:space="0" w:color="1F4E79" w:themeColor="accent1" w:themeShade="80"/>
            </w:tcBorders>
            <w:shd w:val="clear" w:color="auto" w:fill="auto"/>
            <w:vAlign w:val="center"/>
          </w:tcPr>
          <w:p w14:paraId="70FE4775" w14:textId="77777777" w:rsidR="005357C6" w:rsidRPr="00895C60" w:rsidRDefault="005357C6" w:rsidP="00895C60">
            <w:pPr>
              <w:jc w:val="right"/>
              <w:rPr>
                <w:rFonts w:cs="Arial"/>
                <w:b/>
                <w:color w:val="000000"/>
                <w:sz w:val="14"/>
                <w:szCs w:val="14"/>
              </w:rPr>
            </w:pPr>
            <w:r w:rsidRPr="00895C60">
              <w:rPr>
                <w:rFonts w:cs="Arial"/>
                <w:b/>
                <w:bCs/>
                <w:sz w:val="14"/>
                <w:szCs w:val="14"/>
              </w:rPr>
              <w:t>16</w:t>
            </w:r>
            <w:r>
              <w:rPr>
                <w:rFonts w:cs="Arial"/>
                <w:b/>
                <w:bCs/>
                <w:sz w:val="14"/>
                <w:szCs w:val="14"/>
              </w:rPr>
              <w:t>,</w:t>
            </w:r>
            <w:r w:rsidRPr="00895C60">
              <w:rPr>
                <w:rFonts w:cs="Arial"/>
                <w:b/>
                <w:bCs/>
                <w:sz w:val="14"/>
                <w:szCs w:val="14"/>
              </w:rPr>
              <w:t>915</w:t>
            </w:r>
            <w:r>
              <w:rPr>
                <w:rFonts w:cs="Arial"/>
                <w:b/>
                <w:bCs/>
                <w:sz w:val="14"/>
                <w:szCs w:val="14"/>
              </w:rPr>
              <w:t>,</w:t>
            </w:r>
            <w:r w:rsidRPr="00895C60">
              <w:rPr>
                <w:rFonts w:cs="Arial"/>
                <w:b/>
                <w:bCs/>
                <w:sz w:val="14"/>
                <w:szCs w:val="14"/>
              </w:rPr>
              <w:t>954</w:t>
            </w:r>
          </w:p>
        </w:tc>
        <w:tc>
          <w:tcPr>
            <w:tcW w:w="1630" w:type="dxa"/>
            <w:tcBorders>
              <w:bottom w:val="single" w:sz="2" w:space="0" w:color="1F4E79" w:themeColor="accent1" w:themeShade="80"/>
            </w:tcBorders>
            <w:shd w:val="clear" w:color="auto" w:fill="auto"/>
            <w:vAlign w:val="center"/>
          </w:tcPr>
          <w:p w14:paraId="6608537B" w14:textId="77777777" w:rsidR="005357C6" w:rsidRPr="00895C60" w:rsidRDefault="005357C6" w:rsidP="00895C60">
            <w:pPr>
              <w:pStyle w:val="08-Tabelageral"/>
              <w:rPr>
                <w:rFonts w:cs="Arial"/>
                <w:b/>
                <w:szCs w:val="14"/>
              </w:rPr>
            </w:pPr>
            <w:r w:rsidRPr="00895C60">
              <w:rPr>
                <w:rFonts w:cs="Arial"/>
                <w:b/>
                <w:bCs/>
                <w:szCs w:val="14"/>
                <w:lang w:eastAsia="en-US"/>
              </w:rPr>
              <w:t>5</w:t>
            </w:r>
            <w:r>
              <w:rPr>
                <w:rFonts w:cs="Arial"/>
                <w:b/>
                <w:bCs/>
                <w:szCs w:val="14"/>
                <w:lang w:eastAsia="en-US"/>
              </w:rPr>
              <w:t>,</w:t>
            </w:r>
            <w:r w:rsidRPr="00895C60">
              <w:rPr>
                <w:rFonts w:cs="Arial"/>
                <w:b/>
                <w:bCs/>
                <w:szCs w:val="14"/>
                <w:lang w:eastAsia="en-US"/>
              </w:rPr>
              <w:t>058</w:t>
            </w:r>
            <w:r>
              <w:rPr>
                <w:rFonts w:cs="Arial"/>
                <w:b/>
                <w:bCs/>
                <w:szCs w:val="14"/>
                <w:lang w:eastAsia="en-US"/>
              </w:rPr>
              <w:t>,</w:t>
            </w:r>
            <w:r w:rsidRPr="00895C60">
              <w:rPr>
                <w:rFonts w:cs="Arial"/>
                <w:b/>
                <w:bCs/>
                <w:szCs w:val="14"/>
                <w:lang w:eastAsia="en-US"/>
              </w:rPr>
              <w:t>914</w:t>
            </w:r>
          </w:p>
        </w:tc>
        <w:tc>
          <w:tcPr>
            <w:tcW w:w="1630" w:type="dxa"/>
            <w:tcBorders>
              <w:bottom w:val="single" w:sz="2" w:space="0" w:color="1F4E79" w:themeColor="accent1" w:themeShade="80"/>
            </w:tcBorders>
            <w:shd w:val="clear" w:color="auto" w:fill="auto"/>
            <w:vAlign w:val="center"/>
          </w:tcPr>
          <w:p w14:paraId="687778D0" w14:textId="77777777" w:rsidR="005357C6" w:rsidRPr="00895C60" w:rsidRDefault="005357C6" w:rsidP="00895C60">
            <w:pPr>
              <w:pStyle w:val="08-Tabelageral"/>
              <w:rPr>
                <w:rFonts w:cs="Arial"/>
                <w:b/>
                <w:szCs w:val="14"/>
              </w:rPr>
            </w:pPr>
            <w:r w:rsidRPr="00895C60">
              <w:rPr>
                <w:rFonts w:cs="Arial"/>
                <w:b/>
                <w:bCs/>
                <w:szCs w:val="14"/>
                <w:lang w:eastAsia="en-US"/>
              </w:rPr>
              <w:t>(8</w:t>
            </w:r>
            <w:r>
              <w:rPr>
                <w:rFonts w:cs="Arial"/>
                <w:b/>
                <w:bCs/>
                <w:szCs w:val="14"/>
                <w:lang w:eastAsia="en-US"/>
              </w:rPr>
              <w:t>,</w:t>
            </w:r>
            <w:r w:rsidRPr="00895C60">
              <w:rPr>
                <w:rFonts w:cs="Arial"/>
                <w:b/>
                <w:bCs/>
                <w:szCs w:val="14"/>
                <w:lang w:eastAsia="en-US"/>
              </w:rPr>
              <w:t>660</w:t>
            </w:r>
            <w:r>
              <w:rPr>
                <w:rFonts w:cs="Arial"/>
                <w:b/>
                <w:bCs/>
                <w:szCs w:val="14"/>
                <w:lang w:eastAsia="en-US"/>
              </w:rPr>
              <w:t>,</w:t>
            </w:r>
            <w:r w:rsidRPr="00895C60">
              <w:rPr>
                <w:rFonts w:cs="Arial"/>
                <w:b/>
                <w:bCs/>
                <w:szCs w:val="14"/>
                <w:lang w:eastAsia="en-US"/>
              </w:rPr>
              <w:t>647)</w:t>
            </w:r>
          </w:p>
        </w:tc>
        <w:tc>
          <w:tcPr>
            <w:tcW w:w="1630" w:type="dxa"/>
            <w:tcBorders>
              <w:bottom w:val="single" w:sz="2" w:space="0" w:color="1F4E79" w:themeColor="accent1" w:themeShade="80"/>
            </w:tcBorders>
            <w:shd w:val="clear" w:color="auto" w:fill="auto"/>
            <w:vAlign w:val="center"/>
          </w:tcPr>
          <w:p w14:paraId="4A62A951" w14:textId="77777777" w:rsidR="005357C6" w:rsidRPr="00895C60" w:rsidRDefault="005357C6" w:rsidP="00895C60">
            <w:pPr>
              <w:pStyle w:val="08-Tabelageral"/>
              <w:rPr>
                <w:rFonts w:cs="Arial"/>
                <w:b/>
                <w:szCs w:val="14"/>
              </w:rPr>
            </w:pPr>
            <w:r w:rsidRPr="00895C60">
              <w:rPr>
                <w:rFonts w:cs="Arial"/>
                <w:b/>
                <w:bCs/>
                <w:szCs w:val="14"/>
                <w:lang w:eastAsia="en-US"/>
              </w:rPr>
              <w:t>13</w:t>
            </w:r>
            <w:r>
              <w:rPr>
                <w:rFonts w:cs="Arial"/>
                <w:b/>
                <w:bCs/>
                <w:szCs w:val="14"/>
                <w:lang w:eastAsia="en-US"/>
              </w:rPr>
              <w:t>,</w:t>
            </w:r>
            <w:r w:rsidRPr="00895C60">
              <w:rPr>
                <w:rFonts w:cs="Arial"/>
                <w:b/>
                <w:bCs/>
                <w:szCs w:val="14"/>
                <w:lang w:eastAsia="en-US"/>
              </w:rPr>
              <w:t>314</w:t>
            </w:r>
            <w:r>
              <w:rPr>
                <w:rFonts w:cs="Arial"/>
                <w:b/>
                <w:bCs/>
                <w:szCs w:val="14"/>
                <w:lang w:eastAsia="en-US"/>
              </w:rPr>
              <w:t>,</w:t>
            </w:r>
            <w:r w:rsidRPr="00895C60">
              <w:rPr>
                <w:rFonts w:cs="Arial"/>
                <w:b/>
                <w:bCs/>
                <w:szCs w:val="14"/>
                <w:lang w:eastAsia="en-US"/>
              </w:rPr>
              <w:t>221</w:t>
            </w:r>
          </w:p>
        </w:tc>
      </w:tr>
      <w:bookmarkEnd w:id="31"/>
    </w:tbl>
    <w:p w14:paraId="7C0BF25B" w14:textId="77777777" w:rsidR="005357C6" w:rsidRDefault="005357C6" w:rsidP="005600C5">
      <w:pPr>
        <w:pStyle w:val="05-Textonormal"/>
        <w:spacing w:after="0"/>
        <w:rPr>
          <w:b/>
          <w:sz w:val="14"/>
          <w:lang w:val="en-US"/>
        </w:rPr>
      </w:pPr>
    </w:p>
    <w:p w14:paraId="0F3C6882" w14:textId="4E100259" w:rsidR="00FC4475" w:rsidRDefault="00FC4475" w:rsidP="00FC4475">
      <w:pPr>
        <w:pStyle w:val="Ttulo1"/>
      </w:pPr>
    </w:p>
    <w:p w14:paraId="65A574C2" w14:textId="77777777" w:rsidR="00FC4475" w:rsidRDefault="00FC4475" w:rsidP="00FC4475">
      <w:pPr>
        <w:pStyle w:val="Ttulo1"/>
      </w:pPr>
    </w:p>
    <w:p w14:paraId="349CDCF3" w14:textId="77777777" w:rsidR="00FC4475" w:rsidRDefault="00FC4475" w:rsidP="00FC4475">
      <w:pPr>
        <w:pStyle w:val="Ttulo1"/>
      </w:pPr>
    </w:p>
    <w:p w14:paraId="0EE891F6" w14:textId="77777777" w:rsidR="00FC4475" w:rsidRDefault="00FC4475" w:rsidP="00FC4475">
      <w:pPr>
        <w:pStyle w:val="Ttulo1"/>
      </w:pPr>
    </w:p>
    <w:p w14:paraId="6D580E99" w14:textId="77777777" w:rsidR="00FC4475" w:rsidRDefault="00FC4475" w:rsidP="00FC4475">
      <w:pPr>
        <w:pStyle w:val="Ttulo1"/>
      </w:pPr>
    </w:p>
    <w:p w14:paraId="18CF8F76" w14:textId="77777777" w:rsidR="00FC4475" w:rsidRDefault="00FC4475" w:rsidP="00FC4475">
      <w:pPr>
        <w:pStyle w:val="Ttulo1"/>
      </w:pPr>
    </w:p>
    <w:p w14:paraId="64C60E43" w14:textId="77777777" w:rsidR="00FC4475" w:rsidRDefault="00FC4475" w:rsidP="00FC4475">
      <w:pPr>
        <w:pStyle w:val="Ttulo1"/>
      </w:pPr>
    </w:p>
    <w:p w14:paraId="24DC6850" w14:textId="77777777" w:rsidR="00FC4475" w:rsidRDefault="00FC4475" w:rsidP="00FC4475">
      <w:pPr>
        <w:pStyle w:val="Ttulo1"/>
      </w:pPr>
    </w:p>
    <w:p w14:paraId="610EC0C8" w14:textId="77777777" w:rsidR="00FC4475" w:rsidRDefault="00FC4475" w:rsidP="00FC4475">
      <w:pPr>
        <w:pStyle w:val="Ttulo1"/>
      </w:pPr>
    </w:p>
    <w:p w14:paraId="322B2A64" w14:textId="77777777" w:rsidR="00FC4475" w:rsidRDefault="00FC4475" w:rsidP="00FC4475">
      <w:pPr>
        <w:pStyle w:val="Ttulo1"/>
      </w:pPr>
    </w:p>
    <w:p w14:paraId="29C96A1C" w14:textId="77777777" w:rsidR="00FC4475" w:rsidRDefault="00FC4475" w:rsidP="00FC4475">
      <w:pPr>
        <w:pStyle w:val="Ttulo1"/>
      </w:pPr>
    </w:p>
    <w:p w14:paraId="0FB4E30B" w14:textId="77777777" w:rsidR="00FC4475" w:rsidRDefault="00FC4475" w:rsidP="00FC4475">
      <w:pPr>
        <w:pStyle w:val="Ttulo1"/>
      </w:pPr>
    </w:p>
    <w:p w14:paraId="4D5F4CAE" w14:textId="77777777" w:rsidR="00FC4475" w:rsidRDefault="00FC4475" w:rsidP="00FC4475">
      <w:pPr>
        <w:pStyle w:val="Ttulo1"/>
      </w:pPr>
    </w:p>
    <w:p w14:paraId="113AE7C6" w14:textId="77777777" w:rsidR="00FC4475" w:rsidRDefault="00FC4475" w:rsidP="00FC4475">
      <w:pPr>
        <w:pStyle w:val="Ttulo1"/>
      </w:pPr>
    </w:p>
    <w:p w14:paraId="20BB8593" w14:textId="77777777" w:rsidR="00FC4475" w:rsidRDefault="00FC4475" w:rsidP="00FC4475">
      <w:pPr>
        <w:pStyle w:val="Ttulo1"/>
      </w:pPr>
    </w:p>
    <w:p w14:paraId="023B55B8" w14:textId="77777777" w:rsidR="00FC4475" w:rsidRDefault="00FC4475" w:rsidP="00FC4475">
      <w:pPr>
        <w:pStyle w:val="Ttulo1"/>
      </w:pPr>
    </w:p>
    <w:p w14:paraId="6BC30E7B" w14:textId="77777777" w:rsidR="00FC4475" w:rsidRDefault="00FC4475" w:rsidP="00FC4475">
      <w:pPr>
        <w:pStyle w:val="Ttulo1"/>
      </w:pPr>
    </w:p>
    <w:p w14:paraId="2B171C14" w14:textId="77777777" w:rsidR="00FC4475" w:rsidRDefault="00FC4475" w:rsidP="00FC4475">
      <w:pPr>
        <w:pStyle w:val="Ttulo1"/>
      </w:pPr>
    </w:p>
    <w:p w14:paraId="112D61C1" w14:textId="77777777" w:rsidR="00FC4475" w:rsidRDefault="00FC4475" w:rsidP="00FC4475">
      <w:pPr>
        <w:pStyle w:val="Ttulo1"/>
      </w:pPr>
    </w:p>
    <w:p w14:paraId="0311BEEB" w14:textId="77777777" w:rsidR="00FC4475" w:rsidRDefault="00FC4475" w:rsidP="00FC4475">
      <w:pPr>
        <w:pStyle w:val="Ttulo1"/>
      </w:pPr>
    </w:p>
    <w:p w14:paraId="5E4E91F1" w14:textId="77777777" w:rsidR="00FC4475" w:rsidRDefault="00FC4475" w:rsidP="00FC4475">
      <w:pPr>
        <w:pStyle w:val="Ttulo1"/>
      </w:pPr>
    </w:p>
    <w:p w14:paraId="7F37C05F" w14:textId="77777777" w:rsidR="00FC4475" w:rsidRDefault="00FC4475" w:rsidP="00FC4475">
      <w:pPr>
        <w:pStyle w:val="Ttulo1"/>
      </w:pPr>
    </w:p>
    <w:p w14:paraId="356960A1" w14:textId="74BE92BB" w:rsidR="005357C6" w:rsidRPr="001A2EC3" w:rsidRDefault="005357C6" w:rsidP="00FC4475">
      <w:pPr>
        <w:pStyle w:val="Ttulo1"/>
      </w:pPr>
      <w:bookmarkStart w:id="32" w:name="_Toc126781098"/>
      <w:r w:rsidRPr="001A2EC3">
        <w:lastRenderedPageBreak/>
        <w:t>7 - INVESTMENTS IN ASSOCIATES</w:t>
      </w:r>
      <w:bookmarkEnd w:id="32"/>
    </w:p>
    <w:p w14:paraId="26ACC25A" w14:textId="79545611" w:rsidR="005357C6" w:rsidRPr="00CF49A3" w:rsidRDefault="005357C6" w:rsidP="00CF49A3">
      <w:pPr>
        <w:pStyle w:val="01-TtulodeNota"/>
        <w:rPr>
          <w:color w:val="1F4E79" w:themeColor="accent1" w:themeShade="80"/>
          <w:lang w:val="en-US"/>
        </w:rPr>
      </w:pPr>
      <w:r w:rsidRPr="00CF49A3">
        <w:rPr>
          <w:color w:val="1F4E79" w:themeColor="accent1" w:themeShade="80"/>
          <w:lang w:val="en-US"/>
        </w:rPr>
        <w:t>a) Description of Investments in Equity Holdings, by business segment</w:t>
      </w:r>
    </w:p>
    <w:p w14:paraId="4CA8C392" w14:textId="77777777" w:rsidR="005357C6" w:rsidRPr="00E22381" w:rsidRDefault="005357C6" w:rsidP="00D372BE">
      <w:pPr>
        <w:rPr>
          <w:rFonts w:cs="Arial"/>
          <w:sz w:val="2"/>
          <w:szCs w:val="2"/>
          <w:lang w:val="en-US" w:eastAsia="pt-BR"/>
        </w:rPr>
      </w:pPr>
    </w:p>
    <w:tbl>
      <w:tblPr>
        <w:tblStyle w:val="TabeladeLista6Colorida-nfase510"/>
        <w:tblW w:w="9639" w:type="dxa"/>
        <w:jc w:val="center"/>
        <w:tblInd w:w="0" w:type="dxa"/>
        <w:tblLayout w:type="fixed"/>
        <w:tblLook w:val="04A0" w:firstRow="1" w:lastRow="0" w:firstColumn="1" w:lastColumn="0" w:noHBand="0" w:noVBand="1"/>
      </w:tblPr>
      <w:tblGrid>
        <w:gridCol w:w="897"/>
        <w:gridCol w:w="1268"/>
        <w:gridCol w:w="1592"/>
        <w:gridCol w:w="1851"/>
        <w:gridCol w:w="1249"/>
        <w:gridCol w:w="581"/>
        <w:gridCol w:w="675"/>
        <w:gridCol w:w="724"/>
        <w:gridCol w:w="802"/>
      </w:tblGrid>
      <w:tr w:rsidR="005357C6" w:rsidRPr="00960237" w14:paraId="2A23EF05" w14:textId="77777777" w:rsidTr="009B18D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23" w:type="dxa"/>
            <w:vMerge w:val="restart"/>
            <w:tcBorders>
              <w:top w:val="single" w:sz="2" w:space="0" w:color="1F4E79" w:themeColor="accent1" w:themeShade="80"/>
            </w:tcBorders>
            <w:shd w:val="clear" w:color="auto" w:fill="auto"/>
            <w:vAlign w:val="center"/>
          </w:tcPr>
          <w:p w14:paraId="01639FD2" w14:textId="77777777" w:rsidR="005357C6" w:rsidRPr="004369A3" w:rsidRDefault="005357C6" w:rsidP="007333CF">
            <w:pPr>
              <w:jc w:val="center"/>
              <w:rPr>
                <w:rFonts w:cs="Arial"/>
                <w:sz w:val="14"/>
                <w:szCs w:val="14"/>
              </w:rPr>
            </w:pPr>
            <w:r w:rsidRPr="004369A3">
              <w:rPr>
                <w:rFonts w:cs="Arial"/>
                <w:sz w:val="14"/>
                <w:szCs w:val="14"/>
                <w:lang w:val="en-US"/>
              </w:rPr>
              <w:t>Segment</w:t>
            </w:r>
          </w:p>
        </w:tc>
        <w:tc>
          <w:tcPr>
            <w:tcW w:w="1163" w:type="dxa"/>
            <w:vMerge w:val="restart"/>
            <w:tcBorders>
              <w:top w:val="single" w:sz="2" w:space="0" w:color="1F4E79" w:themeColor="accent1" w:themeShade="80"/>
            </w:tcBorders>
            <w:shd w:val="clear" w:color="auto" w:fill="auto"/>
            <w:vAlign w:val="center"/>
          </w:tcPr>
          <w:p w14:paraId="65F6DE5B" w14:textId="77777777" w:rsidR="005357C6" w:rsidRPr="004369A3" w:rsidRDefault="005357C6" w:rsidP="007333CF">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4369A3">
              <w:rPr>
                <w:rFonts w:cs="Arial"/>
                <w:sz w:val="14"/>
                <w:szCs w:val="14"/>
                <w:lang w:val="en-US"/>
              </w:rPr>
              <w:t>Line of business</w:t>
            </w:r>
          </w:p>
        </w:tc>
        <w:tc>
          <w:tcPr>
            <w:tcW w:w="1460" w:type="dxa"/>
            <w:vMerge w:val="restart"/>
            <w:tcBorders>
              <w:top w:val="single" w:sz="2" w:space="0" w:color="1F4E79" w:themeColor="accent1" w:themeShade="80"/>
            </w:tcBorders>
            <w:shd w:val="clear" w:color="auto" w:fill="auto"/>
            <w:vAlign w:val="center"/>
          </w:tcPr>
          <w:p w14:paraId="4ABD2333" w14:textId="77777777" w:rsidR="005357C6" w:rsidRPr="004369A3" w:rsidRDefault="005357C6" w:rsidP="007333CF">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4369A3">
              <w:rPr>
                <w:rFonts w:cs="Arial"/>
                <w:sz w:val="14"/>
                <w:szCs w:val="14"/>
              </w:rPr>
              <w:t>Company</w:t>
            </w:r>
          </w:p>
        </w:tc>
        <w:tc>
          <w:tcPr>
            <w:tcW w:w="1698" w:type="dxa"/>
            <w:vMerge w:val="restart"/>
            <w:tcBorders>
              <w:top w:val="single" w:sz="2" w:space="0" w:color="1F4E79" w:themeColor="accent1" w:themeShade="80"/>
            </w:tcBorders>
            <w:shd w:val="clear" w:color="auto" w:fill="auto"/>
            <w:vAlign w:val="center"/>
          </w:tcPr>
          <w:p w14:paraId="54FC2E2C" w14:textId="77777777" w:rsidR="005357C6" w:rsidRPr="004369A3" w:rsidRDefault="005357C6" w:rsidP="007333CF">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4369A3">
              <w:rPr>
                <w:rFonts w:cs="Arial"/>
                <w:sz w:val="14"/>
                <w:szCs w:val="14"/>
                <w:lang w:val="en-US"/>
              </w:rPr>
              <w:t>Description</w:t>
            </w:r>
          </w:p>
        </w:tc>
        <w:tc>
          <w:tcPr>
            <w:tcW w:w="1146" w:type="dxa"/>
            <w:vMerge w:val="restart"/>
            <w:tcBorders>
              <w:top w:val="single" w:sz="2" w:space="0" w:color="1F4E79" w:themeColor="accent1" w:themeShade="80"/>
            </w:tcBorders>
            <w:shd w:val="clear" w:color="auto" w:fill="auto"/>
            <w:vAlign w:val="center"/>
          </w:tcPr>
          <w:p w14:paraId="6984353C" w14:textId="77777777" w:rsidR="005357C6" w:rsidRPr="004369A3" w:rsidRDefault="005357C6" w:rsidP="007333CF">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4369A3">
              <w:rPr>
                <w:rFonts w:cs="Arial"/>
                <w:szCs w:val="14"/>
              </w:rPr>
              <w:t>Original Acconting Practice</w:t>
            </w:r>
          </w:p>
        </w:tc>
        <w:tc>
          <w:tcPr>
            <w:tcW w:w="533" w:type="dxa"/>
            <w:tcBorders>
              <w:top w:val="single" w:sz="2" w:space="0" w:color="1F4E79" w:themeColor="accent1" w:themeShade="80"/>
              <w:bottom w:val="single" w:sz="2" w:space="0" w:color="1F4E79" w:themeColor="accent1" w:themeShade="80"/>
            </w:tcBorders>
            <w:shd w:val="clear" w:color="auto" w:fill="auto"/>
          </w:tcPr>
          <w:p w14:paraId="0FFB242E" w14:textId="77777777" w:rsidR="005357C6" w:rsidRPr="004369A3" w:rsidRDefault="005357C6" w:rsidP="009B18D3">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p>
        </w:tc>
        <w:tc>
          <w:tcPr>
            <w:tcW w:w="2019" w:type="dxa"/>
            <w:gridSpan w:val="3"/>
            <w:tcBorders>
              <w:top w:val="single" w:sz="2" w:space="0" w:color="1F4E79" w:themeColor="accent1" w:themeShade="80"/>
              <w:bottom w:val="single" w:sz="2" w:space="0" w:color="1F4E79" w:themeColor="accent1" w:themeShade="80"/>
            </w:tcBorders>
            <w:shd w:val="clear" w:color="auto" w:fill="auto"/>
          </w:tcPr>
          <w:p w14:paraId="30A7A2F9" w14:textId="77777777" w:rsidR="005357C6" w:rsidRPr="00944050" w:rsidRDefault="005357C6" w:rsidP="009B18D3">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lang w:val="en-US"/>
              </w:rPr>
            </w:pPr>
            <w:r w:rsidRPr="004369A3">
              <w:rPr>
                <w:rFonts w:cs="Arial"/>
                <w:szCs w:val="14"/>
                <w:lang w:val="en-US"/>
              </w:rPr>
              <w:t>% of total share</w:t>
            </w:r>
            <w:r>
              <w:rPr>
                <w:rFonts w:cs="Arial"/>
                <w:szCs w:val="14"/>
                <w:lang w:val="en-US"/>
              </w:rPr>
              <w:t xml:space="preserve"> on</w:t>
            </w:r>
            <w:r w:rsidRPr="00944050">
              <w:rPr>
                <w:rFonts w:cs="Arial"/>
                <w:szCs w:val="14"/>
                <w:lang w:val="en-US"/>
              </w:rPr>
              <w:br/>
            </w:r>
            <w:r>
              <w:rPr>
                <w:rFonts w:cs="Arial"/>
                <w:szCs w:val="14"/>
                <w:lang w:val="en-US"/>
              </w:rPr>
              <w:t xml:space="preserve">Dec </w:t>
            </w:r>
            <w:r w:rsidRPr="00944050">
              <w:rPr>
                <w:rFonts w:cs="Arial"/>
                <w:szCs w:val="14"/>
                <w:lang w:val="en-US"/>
              </w:rPr>
              <w:t>3</w:t>
            </w:r>
            <w:r>
              <w:rPr>
                <w:rFonts w:cs="Arial"/>
                <w:szCs w:val="14"/>
                <w:lang w:val="en-US"/>
              </w:rPr>
              <w:t xml:space="preserve">1, </w:t>
            </w:r>
            <w:r w:rsidRPr="00944050">
              <w:rPr>
                <w:rFonts w:cs="Arial"/>
                <w:szCs w:val="14"/>
                <w:lang w:val="en-US"/>
              </w:rPr>
              <w:t xml:space="preserve">2022 and </w:t>
            </w:r>
            <w:r>
              <w:rPr>
                <w:rFonts w:cs="Arial"/>
                <w:szCs w:val="14"/>
                <w:lang w:val="en-US"/>
              </w:rPr>
              <w:t xml:space="preserve">Dec </w:t>
            </w:r>
            <w:r w:rsidRPr="00944050">
              <w:rPr>
                <w:rFonts w:cs="Arial"/>
                <w:szCs w:val="14"/>
                <w:lang w:val="en-US"/>
              </w:rPr>
              <w:t>31</w:t>
            </w:r>
            <w:r>
              <w:rPr>
                <w:rFonts w:cs="Arial"/>
                <w:szCs w:val="14"/>
                <w:lang w:val="en-US"/>
              </w:rPr>
              <w:t xml:space="preserve">, </w:t>
            </w:r>
            <w:r w:rsidRPr="00944050">
              <w:rPr>
                <w:rFonts w:cs="Arial"/>
                <w:szCs w:val="14"/>
                <w:lang w:val="en-US"/>
              </w:rPr>
              <w:t>2021</w:t>
            </w:r>
          </w:p>
        </w:tc>
      </w:tr>
      <w:tr w:rsidR="005357C6" w:rsidRPr="00E22381" w14:paraId="46EB02DF" w14:textId="77777777" w:rsidTr="009B18D3">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823" w:type="dxa"/>
            <w:vMerge/>
            <w:tcBorders>
              <w:bottom w:val="single" w:sz="2" w:space="0" w:color="1F4E79" w:themeColor="accent1" w:themeShade="80"/>
            </w:tcBorders>
            <w:shd w:val="clear" w:color="auto" w:fill="auto"/>
            <w:vAlign w:val="center"/>
          </w:tcPr>
          <w:p w14:paraId="3F954E03" w14:textId="77777777" w:rsidR="005357C6" w:rsidRPr="00944050" w:rsidRDefault="005357C6" w:rsidP="00B95357">
            <w:pPr>
              <w:rPr>
                <w:rFonts w:cs="Arial"/>
                <w:sz w:val="14"/>
                <w:szCs w:val="14"/>
                <w:highlight w:val="yellow"/>
                <w:lang w:val="en-US"/>
              </w:rPr>
            </w:pPr>
          </w:p>
        </w:tc>
        <w:tc>
          <w:tcPr>
            <w:tcW w:w="1163" w:type="dxa"/>
            <w:vMerge/>
            <w:tcBorders>
              <w:bottom w:val="single" w:sz="4" w:space="0" w:color="1F4E79" w:themeColor="accent1" w:themeShade="80"/>
            </w:tcBorders>
            <w:shd w:val="clear" w:color="auto" w:fill="auto"/>
          </w:tcPr>
          <w:p w14:paraId="5DDE8F99" w14:textId="77777777" w:rsidR="005357C6" w:rsidRPr="00944050" w:rsidRDefault="005357C6" w:rsidP="00B95357">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highlight w:val="yellow"/>
                <w:lang w:val="en-US"/>
              </w:rPr>
            </w:pPr>
          </w:p>
        </w:tc>
        <w:tc>
          <w:tcPr>
            <w:tcW w:w="1460" w:type="dxa"/>
            <w:vMerge/>
            <w:tcBorders>
              <w:bottom w:val="single" w:sz="4" w:space="0" w:color="1F4E79" w:themeColor="accent1" w:themeShade="80"/>
            </w:tcBorders>
            <w:shd w:val="clear" w:color="auto" w:fill="auto"/>
          </w:tcPr>
          <w:p w14:paraId="3E37B780" w14:textId="77777777" w:rsidR="005357C6" w:rsidRPr="00944050" w:rsidRDefault="005357C6" w:rsidP="00B95357">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highlight w:val="yellow"/>
                <w:lang w:val="en-US"/>
              </w:rPr>
            </w:pPr>
          </w:p>
        </w:tc>
        <w:tc>
          <w:tcPr>
            <w:tcW w:w="1698" w:type="dxa"/>
            <w:vMerge/>
            <w:tcBorders>
              <w:bottom w:val="single" w:sz="4" w:space="0" w:color="1F4E79" w:themeColor="accent1" w:themeShade="80"/>
            </w:tcBorders>
            <w:shd w:val="clear" w:color="auto" w:fill="auto"/>
            <w:vAlign w:val="center"/>
          </w:tcPr>
          <w:p w14:paraId="7A8777F2" w14:textId="77777777" w:rsidR="005357C6" w:rsidRPr="00944050" w:rsidRDefault="005357C6" w:rsidP="00B95357">
            <w:pPr>
              <w:pStyle w:val="08-Tabelageral"/>
              <w:jc w:val="left"/>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c>
          <w:tcPr>
            <w:tcW w:w="1146" w:type="dxa"/>
            <w:vMerge/>
            <w:tcBorders>
              <w:bottom w:val="single" w:sz="4" w:space="0" w:color="1F4E79" w:themeColor="accent1" w:themeShade="80"/>
            </w:tcBorders>
            <w:shd w:val="clear" w:color="auto" w:fill="auto"/>
            <w:vAlign w:val="center"/>
          </w:tcPr>
          <w:p w14:paraId="3A1185EF" w14:textId="77777777" w:rsidR="005357C6" w:rsidRPr="00944050" w:rsidRDefault="005357C6" w:rsidP="00B95357">
            <w:pPr>
              <w:jc w:val="center"/>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lang w:val="en-US"/>
              </w:rPr>
            </w:pPr>
          </w:p>
        </w:tc>
        <w:tc>
          <w:tcPr>
            <w:tcW w:w="533" w:type="dxa"/>
            <w:tcBorders>
              <w:top w:val="single" w:sz="2" w:space="0" w:color="1F4E79" w:themeColor="accent1" w:themeShade="80"/>
              <w:bottom w:val="single" w:sz="4" w:space="0" w:color="1F4E79" w:themeColor="accent1" w:themeShade="80"/>
            </w:tcBorders>
            <w:shd w:val="clear" w:color="auto" w:fill="auto"/>
          </w:tcPr>
          <w:p w14:paraId="4D4C07F3" w14:textId="77777777" w:rsidR="005357C6" w:rsidRPr="00475564" w:rsidRDefault="005357C6" w:rsidP="00B95357">
            <w:pPr>
              <w:jc w:val="center"/>
              <w:cnfStyle w:val="000000100000" w:firstRow="0" w:lastRow="0" w:firstColumn="0" w:lastColumn="0" w:oddVBand="0" w:evenVBand="0" w:oddHBand="1" w:evenHBand="0" w:firstRowFirstColumn="0" w:firstRowLastColumn="0" w:lastRowFirstColumn="0" w:lastRowLastColumn="0"/>
              <w:rPr>
                <w:rFonts w:cs="Arial"/>
                <w:b/>
                <w:bCs/>
                <w:sz w:val="14"/>
                <w:szCs w:val="14"/>
                <w:lang w:val="en-US"/>
              </w:rPr>
            </w:pPr>
          </w:p>
        </w:tc>
        <w:tc>
          <w:tcPr>
            <w:tcW w:w="619" w:type="dxa"/>
            <w:tcBorders>
              <w:top w:val="single" w:sz="2" w:space="0" w:color="1F4E79" w:themeColor="accent1" w:themeShade="80"/>
              <w:bottom w:val="single" w:sz="4" w:space="0" w:color="1F4E79" w:themeColor="accent1" w:themeShade="80"/>
            </w:tcBorders>
            <w:shd w:val="clear" w:color="auto" w:fill="auto"/>
            <w:vAlign w:val="center"/>
          </w:tcPr>
          <w:p w14:paraId="78D9E538" w14:textId="77777777" w:rsidR="005357C6" w:rsidRPr="004369A3" w:rsidRDefault="005357C6" w:rsidP="00B95357">
            <w:pPr>
              <w:jc w:val="center"/>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369A3">
              <w:rPr>
                <w:rFonts w:cs="Arial"/>
                <w:b/>
                <w:bCs/>
                <w:sz w:val="14"/>
                <w:szCs w:val="14"/>
              </w:rPr>
              <w:t>ON</w:t>
            </w:r>
          </w:p>
        </w:tc>
        <w:tc>
          <w:tcPr>
            <w:tcW w:w="664" w:type="dxa"/>
            <w:tcBorders>
              <w:top w:val="single" w:sz="2" w:space="0" w:color="1F4E79" w:themeColor="accent1" w:themeShade="80"/>
              <w:bottom w:val="single" w:sz="4" w:space="0" w:color="1F4E79" w:themeColor="accent1" w:themeShade="80"/>
            </w:tcBorders>
            <w:shd w:val="clear" w:color="auto" w:fill="auto"/>
            <w:vAlign w:val="center"/>
          </w:tcPr>
          <w:p w14:paraId="5A3B7D6B" w14:textId="77777777" w:rsidR="005357C6" w:rsidRPr="004369A3" w:rsidRDefault="005357C6" w:rsidP="00B95357">
            <w:pPr>
              <w:jc w:val="center"/>
              <w:cnfStyle w:val="000000100000" w:firstRow="0" w:lastRow="0" w:firstColumn="0" w:lastColumn="0" w:oddVBand="0" w:evenVBand="0" w:oddHBand="1" w:evenHBand="0" w:firstRowFirstColumn="0" w:firstRowLastColumn="0" w:lastRowFirstColumn="0" w:lastRowLastColumn="0"/>
              <w:rPr>
                <w:rFonts w:cs="Arial"/>
                <w:b/>
                <w:bCs/>
                <w:sz w:val="14"/>
                <w:szCs w:val="14"/>
              </w:rPr>
            </w:pPr>
            <w:r>
              <w:rPr>
                <w:rFonts w:cs="Arial"/>
                <w:b/>
                <w:sz w:val="14"/>
                <w:szCs w:val="14"/>
              </w:rPr>
              <w:t>PN</w:t>
            </w:r>
          </w:p>
        </w:tc>
        <w:tc>
          <w:tcPr>
            <w:tcW w:w="736" w:type="dxa"/>
            <w:tcBorders>
              <w:top w:val="single" w:sz="2" w:space="0" w:color="1F4E79" w:themeColor="accent1" w:themeShade="80"/>
              <w:bottom w:val="single" w:sz="4" w:space="0" w:color="1F4E79" w:themeColor="accent1" w:themeShade="80"/>
            </w:tcBorders>
            <w:shd w:val="clear" w:color="auto" w:fill="auto"/>
            <w:vAlign w:val="center"/>
          </w:tcPr>
          <w:p w14:paraId="37475740" w14:textId="77777777" w:rsidR="005357C6" w:rsidRPr="004369A3" w:rsidRDefault="005357C6" w:rsidP="00B95357">
            <w:pPr>
              <w:jc w:val="center"/>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369A3">
              <w:rPr>
                <w:rFonts w:cs="Arial"/>
                <w:b/>
                <w:bCs/>
                <w:sz w:val="14"/>
                <w:szCs w:val="14"/>
              </w:rPr>
              <w:t>Total</w:t>
            </w:r>
          </w:p>
        </w:tc>
      </w:tr>
      <w:tr w:rsidR="005357C6" w:rsidRPr="00E22381" w14:paraId="58815183" w14:textId="77777777" w:rsidTr="009B18D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23" w:type="dxa"/>
            <w:vMerge w:val="restart"/>
            <w:tcBorders>
              <w:top w:val="single" w:sz="2" w:space="0" w:color="1F4E79" w:themeColor="accent1" w:themeShade="80"/>
              <w:left w:val="nil"/>
              <w:bottom w:val="single" w:sz="2" w:space="0" w:color="1F4E79" w:themeColor="accent1" w:themeShade="80"/>
              <w:right w:val="single" w:sz="4" w:space="0" w:color="1F4E79" w:themeColor="accent1" w:themeShade="80"/>
            </w:tcBorders>
            <w:shd w:val="clear" w:color="auto" w:fill="auto"/>
            <w:vAlign w:val="center"/>
          </w:tcPr>
          <w:p w14:paraId="40DA0FEF" w14:textId="77777777" w:rsidR="005357C6" w:rsidRPr="004369A3" w:rsidRDefault="005357C6" w:rsidP="00B95357">
            <w:pPr>
              <w:pStyle w:val="08-Tabelageral"/>
              <w:jc w:val="center"/>
              <w:rPr>
                <w:rFonts w:cs="Arial"/>
                <w:bCs w:val="0"/>
                <w:szCs w:val="14"/>
              </w:rPr>
            </w:pPr>
            <w:r w:rsidRPr="004369A3">
              <w:rPr>
                <w:rFonts w:cs="Arial"/>
                <w:bCs w:val="0"/>
                <w:szCs w:val="14"/>
              </w:rPr>
              <w:t>Security</w:t>
            </w:r>
          </w:p>
        </w:tc>
        <w:tc>
          <w:tcPr>
            <w:tcW w:w="1163" w:type="dxa"/>
            <w:tcBorders>
              <w:top w:val="single" w:sz="4" w:space="0" w:color="1F4E79" w:themeColor="accent1" w:themeShade="80"/>
              <w:left w:val="single" w:sz="4"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08A22562" w14:textId="77777777" w:rsidR="005357C6" w:rsidRPr="004369A3" w:rsidRDefault="005357C6" w:rsidP="00B95357">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60" w:type="dxa"/>
            <w:tcBorders>
              <w:top w:val="single" w:sz="4" w:space="0" w:color="1F4E79" w:themeColor="accent1" w:themeShade="80"/>
              <w:left w:val="single" w:sz="4" w:space="0" w:color="1F4E79" w:themeColor="accent1" w:themeShade="80"/>
              <w:bottom w:val="single" w:sz="2" w:space="0" w:color="1F4E79" w:themeColor="accent1" w:themeShade="80"/>
            </w:tcBorders>
            <w:shd w:val="clear" w:color="auto" w:fill="auto"/>
            <w:vAlign w:val="center"/>
          </w:tcPr>
          <w:p w14:paraId="4F80E71C" w14:textId="77777777" w:rsidR="005357C6" w:rsidRPr="004369A3" w:rsidRDefault="005357C6" w:rsidP="00B95357">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BB Seguros Participações S.A. (</w:t>
            </w:r>
            <w:r w:rsidRPr="004369A3">
              <w:rPr>
                <w:rFonts w:cs="Arial"/>
                <w:bCs/>
                <w:szCs w:val="14"/>
              </w:rPr>
              <w:t>BB Seguros)</w:t>
            </w:r>
          </w:p>
        </w:tc>
        <w:tc>
          <w:tcPr>
            <w:tcW w:w="1698" w:type="dxa"/>
            <w:tcBorders>
              <w:top w:val="single" w:sz="4" w:space="0" w:color="1F4E79" w:themeColor="accent1" w:themeShade="80"/>
              <w:bottom w:val="single" w:sz="2" w:space="0" w:color="1F4E79" w:themeColor="accent1" w:themeShade="80"/>
            </w:tcBorders>
            <w:shd w:val="clear" w:color="auto" w:fill="auto"/>
            <w:vAlign w:val="center"/>
          </w:tcPr>
          <w:p w14:paraId="1F2EF417" w14:textId="77777777" w:rsidR="005357C6" w:rsidRPr="004369A3" w:rsidRDefault="005357C6" w:rsidP="001E7B1C">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lang w:val="en-US"/>
              </w:rPr>
            </w:pPr>
            <w:r w:rsidRPr="001E7B1C">
              <w:rPr>
                <w:rStyle w:val="tlid-translation"/>
                <w:rFonts w:cs="Arial"/>
                <w:szCs w:val="14"/>
                <w:lang w:val="en"/>
              </w:rPr>
              <w:t>Holding of insurance companies, capitalization companies, open supplementary pension entities and companies that operate health care plans.</w:t>
            </w:r>
          </w:p>
        </w:tc>
        <w:tc>
          <w:tcPr>
            <w:tcW w:w="1146" w:type="dxa"/>
            <w:tcBorders>
              <w:top w:val="single" w:sz="4" w:space="0" w:color="1F4E79" w:themeColor="accent1" w:themeShade="80"/>
              <w:bottom w:val="single" w:sz="2" w:space="0" w:color="1F4E79" w:themeColor="accent1" w:themeShade="80"/>
            </w:tcBorders>
            <w:shd w:val="clear" w:color="auto" w:fill="auto"/>
            <w:vAlign w:val="center"/>
          </w:tcPr>
          <w:p w14:paraId="6756E4CE"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BRGAAP</w:t>
            </w:r>
          </w:p>
        </w:tc>
        <w:tc>
          <w:tcPr>
            <w:tcW w:w="533" w:type="dxa"/>
            <w:tcBorders>
              <w:top w:val="single" w:sz="4" w:space="0" w:color="1F4E79" w:themeColor="accent1" w:themeShade="80"/>
              <w:bottom w:val="single" w:sz="2" w:space="0" w:color="1F4E79" w:themeColor="accent1" w:themeShade="80"/>
            </w:tcBorders>
            <w:shd w:val="clear" w:color="auto" w:fill="auto"/>
          </w:tcPr>
          <w:p w14:paraId="0B94937F"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19" w:type="dxa"/>
            <w:tcBorders>
              <w:top w:val="single" w:sz="4" w:space="0" w:color="1F4E79" w:themeColor="accent1" w:themeShade="80"/>
              <w:bottom w:val="single" w:sz="2" w:space="0" w:color="1F4E79" w:themeColor="accent1" w:themeShade="80"/>
            </w:tcBorders>
            <w:shd w:val="clear" w:color="auto" w:fill="auto"/>
            <w:vAlign w:val="center"/>
          </w:tcPr>
          <w:p w14:paraId="5DEB2EC0"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c>
          <w:tcPr>
            <w:tcW w:w="664" w:type="dxa"/>
            <w:tcBorders>
              <w:top w:val="single" w:sz="4" w:space="0" w:color="1F4E79" w:themeColor="accent1" w:themeShade="80"/>
              <w:bottom w:val="single" w:sz="2" w:space="0" w:color="1F4E79" w:themeColor="accent1" w:themeShade="80"/>
            </w:tcBorders>
            <w:shd w:val="clear" w:color="auto" w:fill="auto"/>
            <w:vAlign w:val="center"/>
          </w:tcPr>
          <w:p w14:paraId="226D5DC2"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736" w:type="dxa"/>
            <w:tcBorders>
              <w:top w:val="single" w:sz="4" w:space="0" w:color="1F4E79" w:themeColor="accent1" w:themeShade="80"/>
              <w:bottom w:val="single" w:sz="2" w:space="0" w:color="1F4E79" w:themeColor="accent1" w:themeShade="80"/>
            </w:tcBorders>
            <w:shd w:val="clear" w:color="auto" w:fill="auto"/>
            <w:vAlign w:val="center"/>
          </w:tcPr>
          <w:p w14:paraId="58B2A56E"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100.00</w:t>
            </w:r>
          </w:p>
        </w:tc>
      </w:tr>
      <w:tr w:rsidR="005357C6" w:rsidRPr="00E22381" w14:paraId="5A44A3CC" w14:textId="77777777" w:rsidTr="009B18D3">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823"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742105A6" w14:textId="77777777" w:rsidR="005357C6" w:rsidRPr="004369A3" w:rsidRDefault="005357C6" w:rsidP="00B95357">
            <w:pPr>
              <w:pStyle w:val="08-Tabelageral"/>
              <w:jc w:val="left"/>
              <w:rPr>
                <w:rFonts w:cs="Arial"/>
                <w:bCs w:val="0"/>
                <w:szCs w:val="14"/>
              </w:rPr>
            </w:pPr>
          </w:p>
        </w:tc>
        <w:tc>
          <w:tcPr>
            <w:tcW w:w="1163" w:type="dxa"/>
            <w:vMerge w:val="restart"/>
            <w:tcBorders>
              <w:top w:val="single" w:sz="2" w:space="0" w:color="1F4E79" w:themeColor="accent1" w:themeShade="80"/>
              <w:left w:val="single" w:sz="2" w:space="0" w:color="1F4E79" w:themeColor="accent1" w:themeShade="80"/>
              <w:bottom w:val="nil"/>
              <w:right w:val="single" w:sz="4" w:space="0" w:color="1F4E79" w:themeColor="accent1" w:themeShade="80"/>
            </w:tcBorders>
            <w:shd w:val="clear" w:color="auto" w:fill="auto"/>
            <w:vAlign w:val="center"/>
          </w:tcPr>
          <w:p w14:paraId="31E2A332"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4369A3">
              <w:rPr>
                <w:rFonts w:cs="Arial"/>
                <w:b/>
                <w:szCs w:val="14"/>
                <w:lang w:val="en-US"/>
              </w:rPr>
              <w:t>Insurance - Life, housing, rural and property</w:t>
            </w:r>
          </w:p>
        </w:tc>
        <w:tc>
          <w:tcPr>
            <w:tcW w:w="1460" w:type="dxa"/>
            <w:tcBorders>
              <w:top w:val="single" w:sz="2" w:space="0" w:color="1F4E79" w:themeColor="accent1" w:themeShade="80"/>
              <w:left w:val="single" w:sz="4" w:space="0" w:color="1F4E79" w:themeColor="accent1" w:themeShade="80"/>
              <w:bottom w:val="nil"/>
            </w:tcBorders>
            <w:shd w:val="clear" w:color="auto" w:fill="auto"/>
            <w:vAlign w:val="center"/>
          </w:tcPr>
          <w:p w14:paraId="5E9B9299" w14:textId="77777777" w:rsidR="005357C6" w:rsidRPr="004369A3" w:rsidRDefault="005357C6" w:rsidP="00B95357">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4369A3">
              <w:rPr>
                <w:rFonts w:cs="Arial"/>
                <w:szCs w:val="14"/>
              </w:rPr>
              <w:t xml:space="preserve">BB </w:t>
            </w:r>
            <w:r>
              <w:rPr>
                <w:rFonts w:cs="Arial"/>
                <w:szCs w:val="14"/>
              </w:rPr>
              <w:t>MAPFRE</w:t>
            </w:r>
            <w:r w:rsidRPr="004369A3">
              <w:rPr>
                <w:rFonts w:cs="Arial"/>
                <w:szCs w:val="14"/>
              </w:rPr>
              <w:t xml:space="preserve"> Participações S.A. (BB Mapfre)</w:t>
            </w:r>
          </w:p>
        </w:tc>
        <w:tc>
          <w:tcPr>
            <w:tcW w:w="1698" w:type="dxa"/>
            <w:tcBorders>
              <w:top w:val="single" w:sz="2" w:space="0" w:color="1F4E79" w:themeColor="accent1" w:themeShade="80"/>
              <w:bottom w:val="nil"/>
            </w:tcBorders>
            <w:shd w:val="clear" w:color="auto" w:fill="auto"/>
            <w:vAlign w:val="center"/>
          </w:tcPr>
          <w:p w14:paraId="1153E4D5" w14:textId="77777777" w:rsidR="005357C6" w:rsidRPr="004369A3" w:rsidRDefault="005357C6" w:rsidP="001E7B1C">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1E7B1C">
              <w:rPr>
                <w:rFonts w:cs="Arial"/>
                <w:iCs/>
                <w:szCs w:val="14"/>
                <w:lang w:val="en-US"/>
              </w:rPr>
              <w:t>Holding of other companies dedicated to the commercialization of personal, real estate and agricultural insurance.</w:t>
            </w:r>
          </w:p>
        </w:tc>
        <w:tc>
          <w:tcPr>
            <w:tcW w:w="1146" w:type="dxa"/>
            <w:tcBorders>
              <w:top w:val="single" w:sz="2" w:space="0" w:color="1F4E79" w:themeColor="accent1" w:themeShade="80"/>
              <w:bottom w:val="nil"/>
            </w:tcBorders>
            <w:shd w:val="clear" w:color="auto" w:fill="auto"/>
            <w:vAlign w:val="center"/>
          </w:tcPr>
          <w:p w14:paraId="5A7E6C69"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szCs w:val="14"/>
              </w:rPr>
              <w:t>BRGAAP</w:t>
            </w:r>
          </w:p>
        </w:tc>
        <w:tc>
          <w:tcPr>
            <w:tcW w:w="533" w:type="dxa"/>
            <w:tcBorders>
              <w:top w:val="single" w:sz="2" w:space="0" w:color="1F4E79" w:themeColor="accent1" w:themeShade="80"/>
              <w:bottom w:val="nil"/>
            </w:tcBorders>
            <w:shd w:val="clear" w:color="auto" w:fill="auto"/>
          </w:tcPr>
          <w:p w14:paraId="3F11D85A"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619" w:type="dxa"/>
            <w:tcBorders>
              <w:top w:val="single" w:sz="2" w:space="0" w:color="1F4E79" w:themeColor="accent1" w:themeShade="80"/>
              <w:bottom w:val="nil"/>
            </w:tcBorders>
            <w:shd w:val="clear" w:color="auto" w:fill="auto"/>
            <w:vAlign w:val="center"/>
          </w:tcPr>
          <w:p w14:paraId="2AA5D73A"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49.99</w:t>
            </w:r>
          </w:p>
        </w:tc>
        <w:tc>
          <w:tcPr>
            <w:tcW w:w="664" w:type="dxa"/>
            <w:tcBorders>
              <w:top w:val="single" w:sz="2" w:space="0" w:color="1F4E79" w:themeColor="accent1" w:themeShade="80"/>
              <w:bottom w:val="nil"/>
            </w:tcBorders>
            <w:shd w:val="clear" w:color="auto" w:fill="auto"/>
            <w:vAlign w:val="center"/>
          </w:tcPr>
          <w:p w14:paraId="373EA071"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Pr>
                <w:bCs/>
              </w:rPr>
              <w:t>100,00</w:t>
            </w:r>
          </w:p>
        </w:tc>
        <w:tc>
          <w:tcPr>
            <w:tcW w:w="736" w:type="dxa"/>
            <w:tcBorders>
              <w:top w:val="single" w:sz="2" w:space="0" w:color="1F4E79" w:themeColor="accent1" w:themeShade="80"/>
              <w:bottom w:val="nil"/>
            </w:tcBorders>
            <w:shd w:val="clear" w:color="auto" w:fill="auto"/>
            <w:vAlign w:val="center"/>
          </w:tcPr>
          <w:p w14:paraId="789DD6C1"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74.99</w:t>
            </w:r>
          </w:p>
        </w:tc>
      </w:tr>
      <w:tr w:rsidR="005357C6" w:rsidRPr="00E22381" w14:paraId="3363336B" w14:textId="77777777" w:rsidTr="009B18D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23"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164CA25A" w14:textId="77777777" w:rsidR="005357C6" w:rsidRPr="004369A3" w:rsidRDefault="005357C6" w:rsidP="00B95357">
            <w:pPr>
              <w:pStyle w:val="08-Tabelageral"/>
              <w:ind w:left="113"/>
              <w:jc w:val="left"/>
              <w:rPr>
                <w:rFonts w:cs="Arial"/>
                <w:b w:val="0"/>
                <w:bCs w:val="0"/>
                <w:szCs w:val="14"/>
                <w:highlight w:val="yellow"/>
              </w:rPr>
            </w:pPr>
          </w:p>
        </w:tc>
        <w:tc>
          <w:tcPr>
            <w:tcW w:w="1163" w:type="dxa"/>
            <w:vMerge/>
            <w:tcBorders>
              <w:top w:val="nil"/>
              <w:left w:val="single" w:sz="2" w:space="0" w:color="1F4E79" w:themeColor="accent1" w:themeShade="80"/>
              <w:bottom w:val="nil"/>
              <w:right w:val="single" w:sz="4" w:space="0" w:color="1F4E79" w:themeColor="accent1" w:themeShade="80"/>
            </w:tcBorders>
            <w:shd w:val="clear" w:color="auto" w:fill="auto"/>
            <w:vAlign w:val="center"/>
          </w:tcPr>
          <w:p w14:paraId="14FD16FD"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60" w:type="dxa"/>
            <w:tcBorders>
              <w:top w:val="nil"/>
              <w:left w:val="single" w:sz="4" w:space="0" w:color="1F4E79" w:themeColor="accent1" w:themeShade="80"/>
              <w:bottom w:val="nil"/>
            </w:tcBorders>
            <w:shd w:val="clear" w:color="auto" w:fill="auto"/>
            <w:vAlign w:val="center"/>
          </w:tcPr>
          <w:p w14:paraId="4C67958B" w14:textId="77777777" w:rsidR="005357C6" w:rsidRPr="004369A3" w:rsidRDefault="005357C6" w:rsidP="00B9535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Brasilseg Companhia de Seguros S.A. (Brasilseg)</w:t>
            </w:r>
          </w:p>
        </w:tc>
        <w:tc>
          <w:tcPr>
            <w:tcW w:w="1698" w:type="dxa"/>
            <w:tcBorders>
              <w:top w:val="nil"/>
              <w:bottom w:val="nil"/>
            </w:tcBorders>
            <w:shd w:val="clear" w:color="auto" w:fill="auto"/>
            <w:vAlign w:val="center"/>
          </w:tcPr>
          <w:p w14:paraId="3CE0C0BA" w14:textId="77777777" w:rsidR="005357C6" w:rsidRPr="004369A3" w:rsidRDefault="005357C6" w:rsidP="001E7B1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1E7B1C">
              <w:rPr>
                <w:rFonts w:cs="Arial"/>
                <w:iCs/>
                <w:szCs w:val="14"/>
                <w:lang w:val="en-US"/>
              </w:rPr>
              <w:t>Acting in the personal risk, rural insurance and housing insurance segment.</w:t>
            </w:r>
          </w:p>
        </w:tc>
        <w:tc>
          <w:tcPr>
            <w:tcW w:w="1146" w:type="dxa"/>
            <w:tcBorders>
              <w:top w:val="nil"/>
              <w:bottom w:val="nil"/>
            </w:tcBorders>
            <w:shd w:val="clear" w:color="auto" w:fill="auto"/>
            <w:vAlign w:val="center"/>
          </w:tcPr>
          <w:p w14:paraId="154E6123"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szCs w:val="14"/>
              </w:rPr>
              <w:t>SUSEPGAAP</w:t>
            </w:r>
          </w:p>
        </w:tc>
        <w:tc>
          <w:tcPr>
            <w:tcW w:w="533" w:type="dxa"/>
            <w:tcBorders>
              <w:top w:val="nil"/>
              <w:bottom w:val="nil"/>
            </w:tcBorders>
            <w:shd w:val="clear" w:color="auto" w:fill="auto"/>
          </w:tcPr>
          <w:p w14:paraId="7AF12CB7"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19" w:type="dxa"/>
            <w:tcBorders>
              <w:top w:val="nil"/>
              <w:bottom w:val="nil"/>
            </w:tcBorders>
            <w:shd w:val="clear" w:color="auto" w:fill="auto"/>
            <w:vAlign w:val="center"/>
          </w:tcPr>
          <w:p w14:paraId="114D60BE"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664" w:type="dxa"/>
            <w:tcBorders>
              <w:top w:val="nil"/>
              <w:bottom w:val="nil"/>
            </w:tcBorders>
            <w:shd w:val="clear" w:color="auto" w:fill="auto"/>
            <w:vAlign w:val="center"/>
          </w:tcPr>
          <w:p w14:paraId="60852107"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736" w:type="dxa"/>
            <w:tcBorders>
              <w:top w:val="nil"/>
              <w:bottom w:val="nil"/>
            </w:tcBorders>
            <w:shd w:val="clear" w:color="auto" w:fill="auto"/>
            <w:vAlign w:val="center"/>
          </w:tcPr>
          <w:p w14:paraId="6E50F8BC"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5357C6" w:rsidRPr="00E22381" w14:paraId="2D409BA1" w14:textId="77777777" w:rsidTr="009B18D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23"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7FB851BB" w14:textId="77777777" w:rsidR="005357C6" w:rsidRPr="004369A3" w:rsidRDefault="005357C6" w:rsidP="00B95357">
            <w:pPr>
              <w:pStyle w:val="08-Tabelageral"/>
              <w:ind w:left="113"/>
              <w:jc w:val="left"/>
              <w:rPr>
                <w:rFonts w:cs="Arial"/>
                <w:b w:val="0"/>
                <w:bCs w:val="0"/>
                <w:szCs w:val="14"/>
                <w:highlight w:val="yellow"/>
              </w:rPr>
            </w:pPr>
          </w:p>
        </w:tc>
        <w:tc>
          <w:tcPr>
            <w:tcW w:w="1163" w:type="dxa"/>
            <w:vMerge/>
            <w:tcBorders>
              <w:top w:val="nil"/>
              <w:left w:val="single" w:sz="2"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5D24662C"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60" w:type="dxa"/>
            <w:tcBorders>
              <w:top w:val="nil"/>
              <w:left w:val="single" w:sz="4" w:space="0" w:color="1F4E79" w:themeColor="accent1" w:themeShade="80"/>
              <w:bottom w:val="single" w:sz="2" w:space="0" w:color="1F4E79" w:themeColor="accent1" w:themeShade="80"/>
            </w:tcBorders>
            <w:shd w:val="clear" w:color="auto" w:fill="auto"/>
            <w:vAlign w:val="center"/>
          </w:tcPr>
          <w:p w14:paraId="58708DE9" w14:textId="77777777" w:rsidR="005357C6" w:rsidRPr="004369A3" w:rsidRDefault="005357C6" w:rsidP="00B95357">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4369A3">
              <w:rPr>
                <w:rFonts w:cs="Arial"/>
                <w:szCs w:val="14"/>
              </w:rPr>
              <w:t>Aliança do Brasil Seguros S.A. (Aliança do Brasil)</w:t>
            </w:r>
          </w:p>
        </w:tc>
        <w:tc>
          <w:tcPr>
            <w:tcW w:w="1698" w:type="dxa"/>
            <w:tcBorders>
              <w:top w:val="nil"/>
              <w:bottom w:val="single" w:sz="2" w:space="0" w:color="1F4E79" w:themeColor="accent1" w:themeShade="80"/>
            </w:tcBorders>
            <w:shd w:val="clear" w:color="auto" w:fill="auto"/>
            <w:vAlign w:val="center"/>
          </w:tcPr>
          <w:p w14:paraId="7100FB02" w14:textId="77777777" w:rsidR="005357C6" w:rsidRPr="004369A3" w:rsidRDefault="005357C6" w:rsidP="00B95357">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57175F">
              <w:rPr>
                <w:rFonts w:cs="Arial"/>
                <w:szCs w:val="14"/>
                <w:lang w:val="en-US"/>
              </w:rPr>
              <w:t>Operating in the damage insurance segment.</w:t>
            </w:r>
          </w:p>
        </w:tc>
        <w:tc>
          <w:tcPr>
            <w:tcW w:w="1146" w:type="dxa"/>
            <w:tcBorders>
              <w:top w:val="nil"/>
              <w:bottom w:val="single" w:sz="2" w:space="0" w:color="1F4E79" w:themeColor="accent1" w:themeShade="80"/>
            </w:tcBorders>
            <w:shd w:val="clear" w:color="auto" w:fill="auto"/>
            <w:vAlign w:val="center"/>
          </w:tcPr>
          <w:p w14:paraId="4DAA73FC"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szCs w:val="14"/>
              </w:rPr>
              <w:t>SUSEPGAAP</w:t>
            </w:r>
          </w:p>
        </w:tc>
        <w:tc>
          <w:tcPr>
            <w:tcW w:w="533" w:type="dxa"/>
            <w:tcBorders>
              <w:top w:val="nil"/>
              <w:bottom w:val="single" w:sz="2" w:space="0" w:color="1F4E79" w:themeColor="accent1" w:themeShade="80"/>
            </w:tcBorders>
            <w:shd w:val="clear" w:color="auto" w:fill="auto"/>
          </w:tcPr>
          <w:p w14:paraId="1F3078EB"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619" w:type="dxa"/>
            <w:tcBorders>
              <w:top w:val="nil"/>
              <w:bottom w:val="single" w:sz="2" w:space="0" w:color="1F4E79" w:themeColor="accent1" w:themeShade="80"/>
            </w:tcBorders>
            <w:shd w:val="clear" w:color="auto" w:fill="auto"/>
            <w:vAlign w:val="center"/>
          </w:tcPr>
          <w:p w14:paraId="219B9834"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49.99</w:t>
            </w:r>
          </w:p>
        </w:tc>
        <w:tc>
          <w:tcPr>
            <w:tcW w:w="664" w:type="dxa"/>
            <w:tcBorders>
              <w:top w:val="nil"/>
              <w:bottom w:val="single" w:sz="2" w:space="0" w:color="1F4E79" w:themeColor="accent1" w:themeShade="80"/>
            </w:tcBorders>
            <w:shd w:val="clear" w:color="auto" w:fill="auto"/>
            <w:vAlign w:val="center"/>
          </w:tcPr>
          <w:p w14:paraId="692ACBA5"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Pr>
                <w:bCs/>
              </w:rPr>
              <w:t>100,00</w:t>
            </w:r>
          </w:p>
        </w:tc>
        <w:tc>
          <w:tcPr>
            <w:tcW w:w="736" w:type="dxa"/>
            <w:tcBorders>
              <w:top w:val="nil"/>
              <w:bottom w:val="single" w:sz="2" w:space="0" w:color="1F4E79" w:themeColor="accent1" w:themeShade="80"/>
            </w:tcBorders>
            <w:shd w:val="clear" w:color="auto" w:fill="auto"/>
            <w:vAlign w:val="center"/>
          </w:tcPr>
          <w:p w14:paraId="29D36118"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74.99</w:t>
            </w:r>
          </w:p>
        </w:tc>
      </w:tr>
      <w:tr w:rsidR="005357C6" w:rsidRPr="00E22381" w14:paraId="3D016189" w14:textId="77777777" w:rsidTr="009B18D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23"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229F3506" w14:textId="77777777" w:rsidR="005357C6" w:rsidRPr="004369A3" w:rsidRDefault="005357C6" w:rsidP="009B18D3">
            <w:pPr>
              <w:pStyle w:val="08-Tabelageral"/>
              <w:ind w:left="113"/>
              <w:jc w:val="left"/>
              <w:rPr>
                <w:rFonts w:cs="Arial"/>
                <w:b w:val="0"/>
                <w:bCs w:val="0"/>
                <w:szCs w:val="14"/>
                <w:highlight w:val="yellow"/>
              </w:rPr>
            </w:pPr>
          </w:p>
        </w:tc>
        <w:tc>
          <w:tcPr>
            <w:tcW w:w="1163" w:type="dxa"/>
            <w:vMerge w:val="restart"/>
            <w:tcBorders>
              <w:top w:val="single" w:sz="2" w:space="0" w:color="1F4E79" w:themeColor="accent1" w:themeShade="80"/>
              <w:left w:val="single" w:sz="2" w:space="0" w:color="1F4E79" w:themeColor="accent1" w:themeShade="80"/>
              <w:right w:val="single" w:sz="4" w:space="0" w:color="1F4E79" w:themeColor="accent1" w:themeShade="80"/>
            </w:tcBorders>
            <w:shd w:val="clear" w:color="auto" w:fill="auto"/>
            <w:vAlign w:val="center"/>
          </w:tcPr>
          <w:p w14:paraId="50C1F03C" w14:textId="77777777" w:rsidR="005357C6" w:rsidRPr="004369A3" w:rsidRDefault="005357C6" w:rsidP="009B18D3">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4369A3">
              <w:rPr>
                <w:rFonts w:cs="Arial"/>
                <w:b/>
                <w:szCs w:val="14"/>
              </w:rPr>
              <w:t>Capitalization</w:t>
            </w:r>
          </w:p>
        </w:tc>
        <w:tc>
          <w:tcPr>
            <w:tcW w:w="1460" w:type="dxa"/>
            <w:vMerge w:val="restart"/>
            <w:tcBorders>
              <w:top w:val="single" w:sz="2" w:space="0" w:color="1F4E79" w:themeColor="accent1" w:themeShade="80"/>
              <w:left w:val="single" w:sz="4" w:space="0" w:color="1F4E79" w:themeColor="accent1" w:themeShade="80"/>
            </w:tcBorders>
            <w:shd w:val="clear" w:color="auto" w:fill="auto"/>
            <w:vAlign w:val="center"/>
          </w:tcPr>
          <w:p w14:paraId="3B2A0B75" w14:textId="77777777" w:rsidR="005357C6" w:rsidRPr="004369A3" w:rsidRDefault="005357C6" w:rsidP="009B18D3">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Brasilcap Capitalização S.A. (Brasilcap)</w:t>
            </w:r>
          </w:p>
        </w:tc>
        <w:tc>
          <w:tcPr>
            <w:tcW w:w="1698" w:type="dxa"/>
            <w:vMerge w:val="restart"/>
            <w:tcBorders>
              <w:top w:val="single" w:sz="2" w:space="0" w:color="1F4E79" w:themeColor="accent1" w:themeShade="80"/>
            </w:tcBorders>
            <w:shd w:val="clear" w:color="auto" w:fill="auto"/>
            <w:vAlign w:val="center"/>
          </w:tcPr>
          <w:p w14:paraId="5706634A" w14:textId="77777777" w:rsidR="005357C6" w:rsidRPr="0057175F" w:rsidRDefault="005357C6" w:rsidP="009B18D3">
            <w:pPr>
              <w:pStyle w:val="08-Tabelageral"/>
              <w:jc w:val="left"/>
              <w:cnfStyle w:val="000000010000" w:firstRow="0" w:lastRow="0" w:firstColumn="0" w:lastColumn="0" w:oddVBand="0" w:evenVBand="0" w:oddHBand="0" w:evenHBand="1" w:firstRowFirstColumn="0" w:firstRowLastColumn="0" w:lastRowFirstColumn="0" w:lastRowLastColumn="0"/>
              <w:rPr>
                <w:rFonts w:cs="Arial"/>
                <w:snapToGrid w:val="0"/>
                <w:szCs w:val="14"/>
                <w:lang w:val="en-US"/>
              </w:rPr>
            </w:pPr>
            <w:r w:rsidRPr="0057175F">
              <w:rPr>
                <w:rFonts w:cs="Arial"/>
                <w:snapToGrid w:val="0"/>
                <w:szCs w:val="14"/>
                <w:lang w:val="en-US"/>
              </w:rPr>
              <w:t>It sells capitalization plans, as well as other products and services admitted to capitalization companies.</w:t>
            </w:r>
          </w:p>
        </w:tc>
        <w:tc>
          <w:tcPr>
            <w:tcW w:w="1146" w:type="dxa"/>
            <w:vMerge w:val="restart"/>
            <w:tcBorders>
              <w:top w:val="single" w:sz="2" w:space="0" w:color="1F4E79" w:themeColor="accent1" w:themeShade="80"/>
            </w:tcBorders>
            <w:shd w:val="clear" w:color="auto" w:fill="auto"/>
            <w:vAlign w:val="center"/>
          </w:tcPr>
          <w:p w14:paraId="2B1BFB48" w14:textId="77777777" w:rsidR="005357C6" w:rsidRPr="004369A3" w:rsidRDefault="005357C6" w:rsidP="009B18D3">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SUSEPGAAP</w:t>
            </w:r>
          </w:p>
        </w:tc>
        <w:tc>
          <w:tcPr>
            <w:tcW w:w="533" w:type="dxa"/>
            <w:tcBorders>
              <w:top w:val="single" w:sz="2" w:space="0" w:color="1F4E79" w:themeColor="accent1" w:themeShade="80"/>
              <w:bottom w:val="nil"/>
            </w:tcBorders>
            <w:shd w:val="clear" w:color="auto" w:fill="auto"/>
          </w:tcPr>
          <w:p w14:paraId="6B83B41F" w14:textId="77777777" w:rsidR="005357C6" w:rsidRPr="009B18D3" w:rsidRDefault="005357C6" w:rsidP="009B18D3">
            <w:pPr>
              <w:pStyle w:val="08-Tabelageral"/>
              <w:jc w:val="center"/>
              <w:cnfStyle w:val="000000010000" w:firstRow="0" w:lastRow="0" w:firstColumn="0" w:lastColumn="0" w:oddVBand="0" w:evenVBand="0" w:oddHBand="0" w:evenHBand="1" w:firstRowFirstColumn="0" w:firstRowLastColumn="0" w:lastRowFirstColumn="0" w:lastRowLastColumn="0"/>
              <w:rPr>
                <w:b/>
                <w:bCs/>
                <w:color w:val="auto"/>
              </w:rPr>
            </w:pPr>
            <w:r w:rsidRPr="009B18D3">
              <w:rPr>
                <w:b/>
                <w:bCs/>
                <w:color w:val="auto"/>
              </w:rPr>
              <w:t>Year</w:t>
            </w:r>
          </w:p>
          <w:p w14:paraId="36A20797" w14:textId="77777777" w:rsidR="005357C6" w:rsidRPr="009B18D3" w:rsidRDefault="005357C6" w:rsidP="009B18D3">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 w:val="6"/>
                <w:szCs w:val="6"/>
              </w:rPr>
            </w:pPr>
          </w:p>
          <w:p w14:paraId="010A0F4A" w14:textId="77777777" w:rsidR="005357C6" w:rsidRPr="009B18D3" w:rsidRDefault="005357C6" w:rsidP="009B18D3">
            <w:pPr>
              <w:pStyle w:val="08-Tabelageral"/>
              <w:jc w:val="center"/>
              <w:cnfStyle w:val="000000010000" w:firstRow="0" w:lastRow="0" w:firstColumn="0" w:lastColumn="0" w:oddVBand="0" w:evenVBand="0" w:oddHBand="0" w:evenHBand="1" w:firstRowFirstColumn="0" w:firstRowLastColumn="0" w:lastRowFirstColumn="0" w:lastRowLastColumn="0"/>
              <w:rPr>
                <w:rFonts w:cs="Arial"/>
                <w:b/>
                <w:bCs/>
                <w:szCs w:val="14"/>
              </w:rPr>
            </w:pPr>
            <w:r w:rsidRPr="009B18D3">
              <w:rPr>
                <w:rFonts w:cs="Arial"/>
                <w:b/>
                <w:bCs/>
                <w:szCs w:val="14"/>
              </w:rPr>
              <w:t>2022</w:t>
            </w:r>
          </w:p>
        </w:tc>
        <w:tc>
          <w:tcPr>
            <w:tcW w:w="619" w:type="dxa"/>
            <w:tcBorders>
              <w:top w:val="single" w:sz="2" w:space="0" w:color="1F4E79" w:themeColor="accent1" w:themeShade="80"/>
              <w:bottom w:val="nil"/>
            </w:tcBorders>
            <w:shd w:val="clear" w:color="auto" w:fill="auto"/>
            <w:vAlign w:val="center"/>
          </w:tcPr>
          <w:p w14:paraId="79F93EC7" w14:textId="77777777" w:rsidR="005357C6" w:rsidRPr="001114F8" w:rsidRDefault="005357C6" w:rsidP="009B18D3">
            <w:pPr>
              <w:pStyle w:val="08-Tabelageral"/>
              <w:jc w:val="left"/>
              <w:cnfStyle w:val="000000010000" w:firstRow="0" w:lastRow="0" w:firstColumn="0" w:lastColumn="0" w:oddVBand="0" w:evenVBand="0" w:oddHBand="0" w:evenHBand="1" w:firstRowFirstColumn="0" w:firstRowLastColumn="0" w:lastRowFirstColumn="0" w:lastRowLastColumn="0"/>
              <w:rPr>
                <w:bCs/>
                <w:sz w:val="6"/>
                <w:szCs w:val="6"/>
              </w:rPr>
            </w:pPr>
          </w:p>
          <w:p w14:paraId="69EA61A3" w14:textId="77777777" w:rsidR="005357C6" w:rsidRPr="001114F8" w:rsidRDefault="005357C6" w:rsidP="009B18D3">
            <w:pPr>
              <w:pStyle w:val="08-Tabelageral"/>
              <w:jc w:val="center"/>
              <w:cnfStyle w:val="000000010000" w:firstRow="0" w:lastRow="0" w:firstColumn="0" w:lastColumn="0" w:oddVBand="0" w:evenVBand="0" w:oddHBand="0" w:evenHBand="1" w:firstRowFirstColumn="0" w:firstRowLastColumn="0" w:lastRowFirstColumn="0" w:lastRowLastColumn="0"/>
              <w:rPr>
                <w:bCs/>
                <w:sz w:val="6"/>
                <w:szCs w:val="6"/>
              </w:rPr>
            </w:pPr>
          </w:p>
          <w:p w14:paraId="5FB08DA5" w14:textId="77777777" w:rsidR="005357C6" w:rsidRPr="004369A3" w:rsidRDefault="005357C6" w:rsidP="009B18D3">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1114F8">
              <w:rPr>
                <w:bCs/>
              </w:rPr>
              <w:t>49,99</w:t>
            </w:r>
          </w:p>
        </w:tc>
        <w:tc>
          <w:tcPr>
            <w:tcW w:w="664" w:type="dxa"/>
            <w:tcBorders>
              <w:top w:val="single" w:sz="2" w:space="0" w:color="1F4E79" w:themeColor="accent1" w:themeShade="80"/>
              <w:bottom w:val="nil"/>
            </w:tcBorders>
            <w:shd w:val="clear" w:color="auto" w:fill="auto"/>
            <w:vAlign w:val="center"/>
          </w:tcPr>
          <w:p w14:paraId="1336CE35" w14:textId="77777777" w:rsidR="005357C6" w:rsidRDefault="005357C6" w:rsidP="009B18D3">
            <w:pPr>
              <w:pStyle w:val="08-Tabelageral"/>
              <w:jc w:val="center"/>
              <w:cnfStyle w:val="000000010000" w:firstRow="0" w:lastRow="0" w:firstColumn="0" w:lastColumn="0" w:oddVBand="0" w:evenVBand="0" w:oddHBand="0" w:evenHBand="1" w:firstRowFirstColumn="0" w:firstRowLastColumn="0" w:lastRowFirstColumn="0" w:lastRowLastColumn="0"/>
              <w:rPr>
                <w:bCs/>
              </w:rPr>
            </w:pPr>
          </w:p>
          <w:p w14:paraId="389183DF" w14:textId="77777777" w:rsidR="005357C6" w:rsidRDefault="005357C6" w:rsidP="009B18D3">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1114F8">
              <w:rPr>
                <w:bCs/>
              </w:rPr>
              <w:t>86,43</w:t>
            </w:r>
          </w:p>
        </w:tc>
        <w:tc>
          <w:tcPr>
            <w:tcW w:w="736" w:type="dxa"/>
            <w:tcBorders>
              <w:top w:val="single" w:sz="2" w:space="0" w:color="1F4E79" w:themeColor="accent1" w:themeShade="80"/>
              <w:bottom w:val="nil"/>
            </w:tcBorders>
            <w:shd w:val="clear" w:color="auto" w:fill="auto"/>
            <w:vAlign w:val="center"/>
          </w:tcPr>
          <w:p w14:paraId="417CD9D4" w14:textId="77777777" w:rsidR="005357C6" w:rsidRPr="001114F8" w:rsidRDefault="005357C6" w:rsidP="009B18D3">
            <w:pPr>
              <w:pStyle w:val="08-Tabelageral"/>
              <w:jc w:val="center"/>
              <w:cnfStyle w:val="000000010000" w:firstRow="0" w:lastRow="0" w:firstColumn="0" w:lastColumn="0" w:oddVBand="0" w:evenVBand="0" w:oddHBand="0" w:evenHBand="1" w:firstRowFirstColumn="0" w:firstRowLastColumn="0" w:lastRowFirstColumn="0" w:lastRowLastColumn="0"/>
              <w:rPr>
                <w:bCs/>
                <w:sz w:val="6"/>
                <w:szCs w:val="6"/>
              </w:rPr>
            </w:pPr>
          </w:p>
          <w:p w14:paraId="6DBD6F5B" w14:textId="77777777" w:rsidR="005357C6" w:rsidRPr="001114F8" w:rsidRDefault="005357C6" w:rsidP="009B18D3">
            <w:pPr>
              <w:pStyle w:val="08-Tabelageral"/>
              <w:jc w:val="center"/>
              <w:cnfStyle w:val="000000010000" w:firstRow="0" w:lastRow="0" w:firstColumn="0" w:lastColumn="0" w:oddVBand="0" w:evenVBand="0" w:oddHBand="0" w:evenHBand="1" w:firstRowFirstColumn="0" w:firstRowLastColumn="0" w:lastRowFirstColumn="0" w:lastRowLastColumn="0"/>
              <w:rPr>
                <w:bCs/>
                <w:sz w:val="6"/>
                <w:szCs w:val="6"/>
              </w:rPr>
            </w:pPr>
          </w:p>
          <w:p w14:paraId="1765F1FE" w14:textId="77777777" w:rsidR="005357C6" w:rsidRPr="004369A3" w:rsidRDefault="005357C6" w:rsidP="009B18D3">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1114F8">
              <w:rPr>
                <w:bCs/>
              </w:rPr>
              <w:t>66,77</w:t>
            </w:r>
          </w:p>
        </w:tc>
      </w:tr>
      <w:tr w:rsidR="005357C6" w:rsidRPr="00E22381" w14:paraId="6BD137E2" w14:textId="77777777" w:rsidTr="009B18D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23"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79078A73" w14:textId="77777777" w:rsidR="005357C6" w:rsidRPr="004369A3" w:rsidRDefault="005357C6" w:rsidP="009B18D3">
            <w:pPr>
              <w:pStyle w:val="08-Tabelageral"/>
              <w:ind w:left="113"/>
              <w:jc w:val="left"/>
              <w:rPr>
                <w:rFonts w:cs="Arial"/>
                <w:b w:val="0"/>
                <w:bCs w:val="0"/>
                <w:szCs w:val="14"/>
                <w:highlight w:val="yellow"/>
              </w:rPr>
            </w:pPr>
          </w:p>
        </w:tc>
        <w:tc>
          <w:tcPr>
            <w:tcW w:w="1163" w:type="dxa"/>
            <w:vMerge/>
            <w:tcBorders>
              <w:left w:val="single" w:sz="2"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31575B22" w14:textId="77777777" w:rsidR="005357C6" w:rsidRPr="004369A3" w:rsidRDefault="005357C6" w:rsidP="009B18D3">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60" w:type="dxa"/>
            <w:vMerge/>
            <w:tcBorders>
              <w:left w:val="single" w:sz="4" w:space="0" w:color="1F4E79" w:themeColor="accent1" w:themeShade="80"/>
              <w:bottom w:val="single" w:sz="2" w:space="0" w:color="1F4E79" w:themeColor="accent1" w:themeShade="80"/>
            </w:tcBorders>
            <w:shd w:val="clear" w:color="auto" w:fill="auto"/>
            <w:vAlign w:val="center"/>
          </w:tcPr>
          <w:p w14:paraId="7F4FFCD7" w14:textId="77777777" w:rsidR="005357C6" w:rsidRPr="004369A3" w:rsidRDefault="005357C6" w:rsidP="009B18D3">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698" w:type="dxa"/>
            <w:vMerge/>
            <w:tcBorders>
              <w:bottom w:val="single" w:sz="2" w:space="0" w:color="1F4E79" w:themeColor="accent1" w:themeShade="80"/>
            </w:tcBorders>
            <w:shd w:val="clear" w:color="auto" w:fill="auto"/>
            <w:vAlign w:val="center"/>
          </w:tcPr>
          <w:p w14:paraId="3AA3CDF9" w14:textId="77777777" w:rsidR="005357C6" w:rsidRPr="004369A3" w:rsidRDefault="005357C6" w:rsidP="009B18D3">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146" w:type="dxa"/>
            <w:vMerge/>
            <w:tcBorders>
              <w:bottom w:val="single" w:sz="2" w:space="0" w:color="1F4E79" w:themeColor="accent1" w:themeShade="80"/>
            </w:tcBorders>
            <w:shd w:val="clear" w:color="auto" w:fill="auto"/>
            <w:vAlign w:val="center"/>
          </w:tcPr>
          <w:p w14:paraId="3921ABB0" w14:textId="77777777" w:rsidR="005357C6" w:rsidRPr="004369A3" w:rsidRDefault="005357C6" w:rsidP="009B18D3">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533" w:type="dxa"/>
            <w:tcBorders>
              <w:top w:val="nil"/>
              <w:bottom w:val="single" w:sz="2" w:space="0" w:color="1F4E79" w:themeColor="accent1" w:themeShade="80"/>
            </w:tcBorders>
            <w:shd w:val="clear" w:color="auto" w:fill="auto"/>
          </w:tcPr>
          <w:p w14:paraId="5BC45DCC" w14:textId="77777777" w:rsidR="005357C6" w:rsidRPr="009B18D3" w:rsidRDefault="005357C6" w:rsidP="009B18D3">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9B18D3">
              <w:rPr>
                <w:rFonts w:cs="Arial"/>
                <w:b/>
                <w:bCs/>
                <w:szCs w:val="14"/>
              </w:rPr>
              <w:t>2021</w:t>
            </w:r>
          </w:p>
        </w:tc>
        <w:tc>
          <w:tcPr>
            <w:tcW w:w="619" w:type="dxa"/>
            <w:tcBorders>
              <w:top w:val="nil"/>
              <w:bottom w:val="single" w:sz="2" w:space="0" w:color="1F4E79" w:themeColor="accent1" w:themeShade="80"/>
            </w:tcBorders>
            <w:shd w:val="clear" w:color="auto" w:fill="auto"/>
          </w:tcPr>
          <w:p w14:paraId="174F334E" w14:textId="77777777" w:rsidR="005357C6" w:rsidRPr="004369A3" w:rsidRDefault="005357C6" w:rsidP="009B18D3">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E622E9">
              <w:rPr>
                <w:bCs/>
                <w:color w:val="auto"/>
              </w:rPr>
              <w:t>49,99</w:t>
            </w:r>
          </w:p>
        </w:tc>
        <w:tc>
          <w:tcPr>
            <w:tcW w:w="664" w:type="dxa"/>
            <w:tcBorders>
              <w:top w:val="nil"/>
              <w:bottom w:val="single" w:sz="2" w:space="0" w:color="1F4E79" w:themeColor="accent1" w:themeShade="80"/>
            </w:tcBorders>
            <w:shd w:val="clear" w:color="auto" w:fill="auto"/>
          </w:tcPr>
          <w:p w14:paraId="546FE2CB" w14:textId="77777777" w:rsidR="005357C6" w:rsidRPr="004369A3" w:rsidRDefault="005357C6" w:rsidP="009B18D3">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E622E9">
              <w:rPr>
                <w:bCs/>
                <w:color w:val="auto"/>
              </w:rPr>
              <w:t>86,19</w:t>
            </w:r>
          </w:p>
        </w:tc>
        <w:tc>
          <w:tcPr>
            <w:tcW w:w="736" w:type="dxa"/>
            <w:tcBorders>
              <w:top w:val="nil"/>
              <w:bottom w:val="single" w:sz="2" w:space="0" w:color="1F4E79" w:themeColor="accent1" w:themeShade="80"/>
            </w:tcBorders>
            <w:shd w:val="clear" w:color="auto" w:fill="auto"/>
          </w:tcPr>
          <w:p w14:paraId="635C6D12" w14:textId="77777777" w:rsidR="005357C6" w:rsidRPr="004369A3" w:rsidRDefault="005357C6" w:rsidP="009B18D3">
            <w:pPr>
              <w:pStyle w:val="08-Tabelageral"/>
              <w:jc w:val="left"/>
              <w:cnfStyle w:val="000000100000" w:firstRow="0" w:lastRow="0" w:firstColumn="0" w:lastColumn="0" w:oddVBand="0" w:evenVBand="0" w:oddHBand="1" w:evenHBand="0" w:firstRowFirstColumn="0" w:firstRowLastColumn="0" w:lastRowFirstColumn="0" w:lastRowLastColumn="0"/>
              <w:rPr>
                <w:rFonts w:cs="Arial"/>
                <w:bCs/>
                <w:szCs w:val="14"/>
              </w:rPr>
            </w:pPr>
            <w:r w:rsidRPr="00E622E9">
              <w:rPr>
                <w:bCs/>
                <w:color w:val="auto"/>
              </w:rPr>
              <w:t>66,66</w:t>
            </w:r>
          </w:p>
        </w:tc>
      </w:tr>
      <w:tr w:rsidR="005357C6" w:rsidRPr="00E22381" w14:paraId="0F667917" w14:textId="77777777" w:rsidTr="009B18D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23"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5459CBF7" w14:textId="77777777" w:rsidR="005357C6" w:rsidRPr="004369A3" w:rsidRDefault="005357C6" w:rsidP="00B95357">
            <w:pPr>
              <w:pStyle w:val="08-Tabelageral"/>
              <w:ind w:left="113"/>
              <w:jc w:val="left"/>
              <w:rPr>
                <w:rFonts w:cs="Arial"/>
                <w:b w:val="0"/>
                <w:bCs w:val="0"/>
                <w:szCs w:val="14"/>
                <w:highlight w:val="yellow"/>
              </w:rPr>
            </w:pPr>
          </w:p>
        </w:tc>
        <w:tc>
          <w:tcPr>
            <w:tcW w:w="1163" w:type="dxa"/>
            <w:tcBorders>
              <w:top w:val="single" w:sz="2" w:space="0" w:color="1F4E79" w:themeColor="accent1" w:themeShade="80"/>
              <w:left w:val="single" w:sz="2"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13F2AE1B"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4369A3">
              <w:rPr>
                <w:rFonts w:cs="Arial"/>
                <w:b/>
                <w:szCs w:val="14"/>
              </w:rPr>
              <w:t>Private Pension</w:t>
            </w:r>
          </w:p>
        </w:tc>
        <w:tc>
          <w:tcPr>
            <w:tcW w:w="1460" w:type="dxa"/>
            <w:tcBorders>
              <w:top w:val="single" w:sz="2" w:space="0" w:color="1F4E79" w:themeColor="accent1" w:themeShade="80"/>
              <w:left w:val="single" w:sz="4" w:space="0" w:color="1F4E79" w:themeColor="accent1" w:themeShade="80"/>
              <w:bottom w:val="single" w:sz="2" w:space="0" w:color="1F4E79" w:themeColor="accent1" w:themeShade="80"/>
            </w:tcBorders>
            <w:shd w:val="clear" w:color="auto" w:fill="auto"/>
            <w:vAlign w:val="center"/>
          </w:tcPr>
          <w:p w14:paraId="600E0072" w14:textId="77777777" w:rsidR="005357C6" w:rsidRPr="004369A3" w:rsidRDefault="005357C6" w:rsidP="00B9535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szCs w:val="14"/>
              </w:rPr>
              <w:t>Brasilprev Seguros e Previdência S.A. (Brasilprev)</w:t>
            </w:r>
          </w:p>
        </w:tc>
        <w:tc>
          <w:tcPr>
            <w:tcW w:w="1698" w:type="dxa"/>
            <w:tcBorders>
              <w:top w:val="single" w:sz="2" w:space="0" w:color="1F4E79" w:themeColor="accent1" w:themeShade="80"/>
              <w:bottom w:val="single" w:sz="2" w:space="0" w:color="1F4E79" w:themeColor="accent1" w:themeShade="80"/>
            </w:tcBorders>
            <w:shd w:val="clear" w:color="auto" w:fill="auto"/>
            <w:vAlign w:val="center"/>
          </w:tcPr>
          <w:p w14:paraId="14340FED" w14:textId="77777777" w:rsidR="005357C6" w:rsidRPr="004369A3" w:rsidRDefault="005357C6" w:rsidP="00B9535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7175F">
              <w:rPr>
                <w:rFonts w:cs="Arial"/>
                <w:snapToGrid w:val="0"/>
                <w:szCs w:val="14"/>
                <w:lang w:val="en-US" w:eastAsia="en-US"/>
              </w:rPr>
              <w:t>It sells life insurance with survival coverage and retirement plans and supplementary benefits.</w:t>
            </w:r>
          </w:p>
        </w:tc>
        <w:tc>
          <w:tcPr>
            <w:tcW w:w="1146" w:type="dxa"/>
            <w:tcBorders>
              <w:top w:val="single" w:sz="2" w:space="0" w:color="1F4E79" w:themeColor="accent1" w:themeShade="80"/>
              <w:bottom w:val="single" w:sz="2" w:space="0" w:color="1F4E79" w:themeColor="accent1" w:themeShade="80"/>
            </w:tcBorders>
            <w:shd w:val="clear" w:color="auto" w:fill="auto"/>
            <w:vAlign w:val="center"/>
          </w:tcPr>
          <w:p w14:paraId="2C53A9E7"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SUSEPGAAP</w:t>
            </w:r>
          </w:p>
        </w:tc>
        <w:tc>
          <w:tcPr>
            <w:tcW w:w="533" w:type="dxa"/>
            <w:tcBorders>
              <w:top w:val="single" w:sz="2" w:space="0" w:color="1F4E79" w:themeColor="accent1" w:themeShade="80"/>
              <w:bottom w:val="single" w:sz="2" w:space="0" w:color="1F4E79" w:themeColor="accent1" w:themeShade="80"/>
            </w:tcBorders>
            <w:shd w:val="clear" w:color="auto" w:fill="auto"/>
          </w:tcPr>
          <w:p w14:paraId="20A9BC3E"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19" w:type="dxa"/>
            <w:tcBorders>
              <w:top w:val="single" w:sz="2" w:space="0" w:color="1F4E79" w:themeColor="accent1" w:themeShade="80"/>
              <w:bottom w:val="single" w:sz="2" w:space="0" w:color="1F4E79" w:themeColor="accent1" w:themeShade="80"/>
            </w:tcBorders>
            <w:shd w:val="clear" w:color="auto" w:fill="auto"/>
            <w:vAlign w:val="center"/>
          </w:tcPr>
          <w:p w14:paraId="2AA74847"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49.99</w:t>
            </w:r>
          </w:p>
        </w:tc>
        <w:tc>
          <w:tcPr>
            <w:tcW w:w="664" w:type="dxa"/>
            <w:tcBorders>
              <w:top w:val="single" w:sz="2" w:space="0" w:color="1F4E79" w:themeColor="accent1" w:themeShade="80"/>
              <w:bottom w:val="single" w:sz="2" w:space="0" w:color="1F4E79" w:themeColor="accent1" w:themeShade="80"/>
            </w:tcBorders>
            <w:shd w:val="clear" w:color="auto" w:fill="auto"/>
            <w:vAlign w:val="center"/>
          </w:tcPr>
          <w:p w14:paraId="6E8C96A5"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100,00</w:t>
            </w:r>
          </w:p>
        </w:tc>
        <w:tc>
          <w:tcPr>
            <w:tcW w:w="736" w:type="dxa"/>
            <w:tcBorders>
              <w:top w:val="single" w:sz="2" w:space="0" w:color="1F4E79" w:themeColor="accent1" w:themeShade="80"/>
              <w:bottom w:val="single" w:sz="2" w:space="0" w:color="1F4E79" w:themeColor="accent1" w:themeShade="80"/>
            </w:tcBorders>
            <w:shd w:val="clear" w:color="auto" w:fill="auto"/>
            <w:vAlign w:val="center"/>
          </w:tcPr>
          <w:p w14:paraId="227C2364"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74.99</w:t>
            </w:r>
          </w:p>
        </w:tc>
      </w:tr>
      <w:tr w:rsidR="005357C6" w:rsidRPr="00E22381" w14:paraId="48EAD156" w14:textId="77777777" w:rsidTr="009B18D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23"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69401EF3" w14:textId="77777777" w:rsidR="005357C6" w:rsidRPr="004369A3" w:rsidRDefault="005357C6" w:rsidP="00B95357">
            <w:pPr>
              <w:pStyle w:val="08-Tabelageral"/>
              <w:ind w:left="113"/>
              <w:jc w:val="left"/>
              <w:rPr>
                <w:rFonts w:cs="Arial"/>
                <w:b w:val="0"/>
                <w:bCs w:val="0"/>
                <w:szCs w:val="14"/>
                <w:highlight w:val="yellow"/>
              </w:rPr>
            </w:pPr>
          </w:p>
        </w:tc>
        <w:tc>
          <w:tcPr>
            <w:tcW w:w="1163" w:type="dxa"/>
            <w:tcBorders>
              <w:top w:val="single" w:sz="2" w:space="0" w:color="1F4E79" w:themeColor="accent1" w:themeShade="80"/>
              <w:left w:val="single" w:sz="2"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5BF047F0"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4369A3">
              <w:rPr>
                <w:rFonts w:cs="Arial"/>
                <w:b/>
                <w:szCs w:val="14"/>
              </w:rPr>
              <w:t>Health</w:t>
            </w:r>
          </w:p>
        </w:tc>
        <w:tc>
          <w:tcPr>
            <w:tcW w:w="1460" w:type="dxa"/>
            <w:tcBorders>
              <w:top w:val="single" w:sz="2" w:space="0" w:color="1F4E79" w:themeColor="accent1" w:themeShade="80"/>
              <w:left w:val="single" w:sz="4" w:space="0" w:color="1F4E79" w:themeColor="accent1" w:themeShade="80"/>
              <w:bottom w:val="single" w:sz="2" w:space="0" w:color="1F4E79" w:themeColor="accent1" w:themeShade="80"/>
            </w:tcBorders>
            <w:shd w:val="clear" w:color="auto" w:fill="auto"/>
            <w:vAlign w:val="center"/>
          </w:tcPr>
          <w:p w14:paraId="2C049F1A" w14:textId="77777777" w:rsidR="005357C6" w:rsidRPr="004369A3" w:rsidRDefault="005357C6" w:rsidP="00B95357">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4369A3">
              <w:rPr>
                <w:rFonts w:cs="Arial"/>
                <w:szCs w:val="14"/>
              </w:rPr>
              <w:t>Brasildental Operadora de Planos Odontológicos S.A. (Brasildental)</w:t>
            </w:r>
          </w:p>
        </w:tc>
        <w:tc>
          <w:tcPr>
            <w:tcW w:w="1698" w:type="dxa"/>
            <w:tcBorders>
              <w:top w:val="single" w:sz="2" w:space="0" w:color="1F4E79" w:themeColor="accent1" w:themeShade="80"/>
              <w:bottom w:val="single" w:sz="2" w:space="0" w:color="1F4E79" w:themeColor="accent1" w:themeShade="80"/>
            </w:tcBorders>
            <w:shd w:val="clear" w:color="auto" w:fill="auto"/>
            <w:vAlign w:val="center"/>
          </w:tcPr>
          <w:p w14:paraId="485864EA" w14:textId="77777777" w:rsidR="005357C6" w:rsidRPr="004369A3" w:rsidRDefault="005357C6" w:rsidP="00B95357">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57175F">
              <w:rPr>
                <w:rFonts w:cs="Arial"/>
                <w:szCs w:val="14"/>
                <w:lang w:val="en-US"/>
              </w:rPr>
              <w:t>It sells dental plans.</w:t>
            </w:r>
          </w:p>
        </w:tc>
        <w:tc>
          <w:tcPr>
            <w:tcW w:w="1146" w:type="dxa"/>
            <w:tcBorders>
              <w:top w:val="single" w:sz="2" w:space="0" w:color="1F4E79" w:themeColor="accent1" w:themeShade="80"/>
              <w:bottom w:val="single" w:sz="2" w:space="0" w:color="1F4E79" w:themeColor="accent1" w:themeShade="80"/>
            </w:tcBorders>
            <w:shd w:val="clear" w:color="auto" w:fill="auto"/>
            <w:vAlign w:val="center"/>
          </w:tcPr>
          <w:p w14:paraId="02242EE4"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ANSGAAP</w:t>
            </w:r>
          </w:p>
        </w:tc>
        <w:tc>
          <w:tcPr>
            <w:tcW w:w="533" w:type="dxa"/>
            <w:tcBorders>
              <w:top w:val="single" w:sz="2" w:space="0" w:color="1F4E79" w:themeColor="accent1" w:themeShade="80"/>
              <w:bottom w:val="single" w:sz="2" w:space="0" w:color="1F4E79" w:themeColor="accent1" w:themeShade="80"/>
            </w:tcBorders>
            <w:shd w:val="clear" w:color="auto" w:fill="auto"/>
          </w:tcPr>
          <w:p w14:paraId="4127980D"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619" w:type="dxa"/>
            <w:tcBorders>
              <w:top w:val="single" w:sz="2" w:space="0" w:color="1F4E79" w:themeColor="accent1" w:themeShade="80"/>
              <w:bottom w:val="single" w:sz="2" w:space="0" w:color="1F4E79" w:themeColor="accent1" w:themeShade="80"/>
            </w:tcBorders>
            <w:shd w:val="clear" w:color="auto" w:fill="auto"/>
            <w:vAlign w:val="center"/>
          </w:tcPr>
          <w:p w14:paraId="2700FF8C"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49.99</w:t>
            </w:r>
          </w:p>
        </w:tc>
        <w:tc>
          <w:tcPr>
            <w:tcW w:w="664" w:type="dxa"/>
            <w:tcBorders>
              <w:top w:val="single" w:sz="2" w:space="0" w:color="1F4E79" w:themeColor="accent1" w:themeShade="80"/>
              <w:bottom w:val="single" w:sz="2" w:space="0" w:color="1F4E79" w:themeColor="accent1" w:themeShade="80"/>
            </w:tcBorders>
            <w:shd w:val="clear" w:color="auto" w:fill="auto"/>
            <w:vAlign w:val="center"/>
          </w:tcPr>
          <w:p w14:paraId="6C5859A6"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Pr>
                <w:bCs/>
              </w:rPr>
              <w:t>100,00</w:t>
            </w:r>
          </w:p>
        </w:tc>
        <w:tc>
          <w:tcPr>
            <w:tcW w:w="736" w:type="dxa"/>
            <w:tcBorders>
              <w:top w:val="single" w:sz="2" w:space="0" w:color="1F4E79" w:themeColor="accent1" w:themeShade="80"/>
              <w:bottom w:val="single" w:sz="2" w:space="0" w:color="1F4E79" w:themeColor="accent1" w:themeShade="80"/>
            </w:tcBorders>
            <w:shd w:val="clear" w:color="auto" w:fill="auto"/>
            <w:vAlign w:val="center"/>
          </w:tcPr>
          <w:p w14:paraId="14743390"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74.99</w:t>
            </w:r>
          </w:p>
        </w:tc>
      </w:tr>
      <w:tr w:rsidR="005357C6" w:rsidRPr="00E22381" w14:paraId="550D58D2" w14:textId="77777777" w:rsidTr="009B18D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23" w:type="dxa"/>
            <w:vMerge w:val="restart"/>
            <w:tcBorders>
              <w:top w:val="single" w:sz="2" w:space="0" w:color="1F4E79" w:themeColor="accent1" w:themeShade="80"/>
              <w:left w:val="nil"/>
              <w:bottom w:val="single" w:sz="2" w:space="0" w:color="8EAADB" w:themeColor="accent5" w:themeTint="99"/>
              <w:right w:val="single" w:sz="2" w:space="0" w:color="1F4E79" w:themeColor="accent1" w:themeShade="80"/>
            </w:tcBorders>
            <w:shd w:val="clear" w:color="auto" w:fill="auto"/>
            <w:vAlign w:val="center"/>
          </w:tcPr>
          <w:p w14:paraId="736DA8A8" w14:textId="77777777" w:rsidR="005357C6" w:rsidRPr="004369A3" w:rsidRDefault="005357C6" w:rsidP="00B95357">
            <w:pPr>
              <w:pStyle w:val="08-Tabelageral"/>
              <w:jc w:val="center"/>
              <w:rPr>
                <w:rFonts w:cs="Arial"/>
                <w:b w:val="0"/>
                <w:bCs w:val="0"/>
                <w:szCs w:val="14"/>
              </w:rPr>
            </w:pPr>
            <w:r w:rsidRPr="004369A3">
              <w:rPr>
                <w:rFonts w:cs="Arial"/>
                <w:bCs w:val="0"/>
                <w:szCs w:val="14"/>
              </w:rPr>
              <w:t>Brokerage</w:t>
            </w:r>
          </w:p>
        </w:tc>
        <w:tc>
          <w:tcPr>
            <w:tcW w:w="1163" w:type="dxa"/>
            <w:tcBorders>
              <w:top w:val="single" w:sz="2" w:space="0" w:color="1F4E79" w:themeColor="accent1" w:themeShade="80"/>
              <w:left w:val="single" w:sz="2" w:space="0" w:color="1F4E79" w:themeColor="accent1" w:themeShade="80"/>
              <w:bottom w:val="nil"/>
              <w:right w:val="single" w:sz="4" w:space="0" w:color="1F4E79" w:themeColor="accent1" w:themeShade="80"/>
            </w:tcBorders>
            <w:shd w:val="clear" w:color="auto" w:fill="auto"/>
            <w:vAlign w:val="center"/>
          </w:tcPr>
          <w:p w14:paraId="50EC1BC2"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60" w:type="dxa"/>
            <w:tcBorders>
              <w:top w:val="single" w:sz="2" w:space="0" w:color="1F4E79" w:themeColor="accent1" w:themeShade="80"/>
              <w:left w:val="single" w:sz="4" w:space="0" w:color="1F4E79" w:themeColor="accent1" w:themeShade="80"/>
              <w:bottom w:val="nil"/>
            </w:tcBorders>
            <w:shd w:val="clear" w:color="auto" w:fill="auto"/>
            <w:vAlign w:val="center"/>
          </w:tcPr>
          <w:p w14:paraId="0CF1BC85" w14:textId="77777777" w:rsidR="005357C6" w:rsidRPr="004369A3" w:rsidRDefault="005357C6" w:rsidP="00B9535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4369A3">
              <w:rPr>
                <w:rFonts w:cs="Arial"/>
                <w:bCs/>
                <w:szCs w:val="14"/>
              </w:rPr>
              <w:t>BB Corretora de Seguros e Adm. de Bens S.A. (</w:t>
            </w:r>
            <w:r w:rsidRPr="004369A3">
              <w:rPr>
                <w:rFonts w:cs="Arial"/>
                <w:szCs w:val="14"/>
              </w:rPr>
              <w:t>BB Corretora)</w:t>
            </w:r>
          </w:p>
        </w:tc>
        <w:tc>
          <w:tcPr>
            <w:tcW w:w="1698" w:type="dxa"/>
            <w:tcBorders>
              <w:top w:val="single" w:sz="2" w:space="0" w:color="1F4E79" w:themeColor="accent1" w:themeShade="80"/>
              <w:bottom w:val="nil"/>
            </w:tcBorders>
            <w:shd w:val="clear" w:color="auto" w:fill="auto"/>
            <w:vAlign w:val="center"/>
          </w:tcPr>
          <w:p w14:paraId="30D9E208" w14:textId="77777777" w:rsidR="005357C6" w:rsidRPr="004369A3" w:rsidRDefault="005357C6" w:rsidP="00B95357">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57175F">
              <w:rPr>
                <w:rFonts w:cs="Arial"/>
                <w:szCs w:val="14"/>
                <w:lang w:val="en-US"/>
              </w:rPr>
              <w:t>Insurance brokerage for property and casualty, life and health, capitalization bonds, open supplementary pension plans and asset management.</w:t>
            </w:r>
          </w:p>
        </w:tc>
        <w:tc>
          <w:tcPr>
            <w:tcW w:w="1146" w:type="dxa"/>
            <w:tcBorders>
              <w:top w:val="single" w:sz="2" w:space="0" w:color="1F4E79" w:themeColor="accent1" w:themeShade="80"/>
              <w:bottom w:val="nil"/>
            </w:tcBorders>
            <w:shd w:val="clear" w:color="auto" w:fill="auto"/>
            <w:vAlign w:val="center"/>
          </w:tcPr>
          <w:p w14:paraId="31C10AB9"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BRGAAP</w:t>
            </w:r>
          </w:p>
        </w:tc>
        <w:tc>
          <w:tcPr>
            <w:tcW w:w="533" w:type="dxa"/>
            <w:tcBorders>
              <w:top w:val="single" w:sz="2" w:space="0" w:color="1F4E79" w:themeColor="accent1" w:themeShade="80"/>
              <w:bottom w:val="nil"/>
            </w:tcBorders>
            <w:shd w:val="clear" w:color="auto" w:fill="auto"/>
          </w:tcPr>
          <w:p w14:paraId="55C52F6D"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619" w:type="dxa"/>
            <w:tcBorders>
              <w:top w:val="single" w:sz="2" w:space="0" w:color="1F4E79" w:themeColor="accent1" w:themeShade="80"/>
              <w:bottom w:val="nil"/>
            </w:tcBorders>
            <w:shd w:val="clear" w:color="auto" w:fill="auto"/>
            <w:vAlign w:val="center"/>
          </w:tcPr>
          <w:p w14:paraId="08B948BC"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100.00</w:t>
            </w:r>
          </w:p>
        </w:tc>
        <w:tc>
          <w:tcPr>
            <w:tcW w:w="664" w:type="dxa"/>
            <w:tcBorders>
              <w:top w:val="single" w:sz="2" w:space="0" w:color="1F4E79" w:themeColor="accent1" w:themeShade="80"/>
              <w:bottom w:val="nil"/>
            </w:tcBorders>
            <w:shd w:val="clear" w:color="auto" w:fill="auto"/>
            <w:vAlign w:val="center"/>
          </w:tcPr>
          <w:p w14:paraId="4728097F"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Pr>
                <w:bCs/>
              </w:rPr>
              <w:t>--</w:t>
            </w:r>
          </w:p>
        </w:tc>
        <w:tc>
          <w:tcPr>
            <w:tcW w:w="736" w:type="dxa"/>
            <w:tcBorders>
              <w:top w:val="single" w:sz="2" w:space="0" w:color="1F4E79" w:themeColor="accent1" w:themeShade="80"/>
              <w:bottom w:val="nil"/>
            </w:tcBorders>
            <w:shd w:val="clear" w:color="auto" w:fill="auto"/>
            <w:vAlign w:val="center"/>
          </w:tcPr>
          <w:p w14:paraId="660125A0" w14:textId="77777777" w:rsidR="005357C6" w:rsidRPr="004369A3" w:rsidRDefault="005357C6" w:rsidP="00B95357">
            <w:pPr>
              <w:pStyle w:val="08-Tabelageral"/>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4369A3">
              <w:rPr>
                <w:rFonts w:cs="Arial"/>
                <w:bCs/>
                <w:szCs w:val="14"/>
              </w:rPr>
              <w:t>100.00</w:t>
            </w:r>
          </w:p>
        </w:tc>
      </w:tr>
      <w:tr w:rsidR="005357C6" w:rsidRPr="00E22381" w14:paraId="0579859F" w14:textId="77777777" w:rsidTr="009B18D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23"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tcPr>
          <w:p w14:paraId="7C154721" w14:textId="77777777" w:rsidR="005357C6" w:rsidRPr="004369A3" w:rsidRDefault="005357C6" w:rsidP="00B95357">
            <w:pPr>
              <w:pStyle w:val="08-Tabelageral"/>
              <w:ind w:left="113"/>
              <w:jc w:val="left"/>
              <w:rPr>
                <w:rFonts w:cs="Arial"/>
                <w:b w:val="0"/>
                <w:bCs w:val="0"/>
                <w:szCs w:val="14"/>
                <w:highlight w:val="yellow"/>
              </w:rPr>
            </w:pPr>
          </w:p>
        </w:tc>
        <w:tc>
          <w:tcPr>
            <w:tcW w:w="1163" w:type="dxa"/>
            <w:tcBorders>
              <w:top w:val="nil"/>
              <w:left w:val="single" w:sz="2" w:space="0" w:color="1F4E79" w:themeColor="accent1" w:themeShade="80"/>
              <w:bottom w:val="single" w:sz="2" w:space="0" w:color="1F4E79" w:themeColor="accent1" w:themeShade="80"/>
              <w:right w:val="single" w:sz="4" w:space="0" w:color="1F4E79" w:themeColor="accent1" w:themeShade="80"/>
            </w:tcBorders>
            <w:shd w:val="clear" w:color="auto" w:fill="auto"/>
            <w:vAlign w:val="center"/>
          </w:tcPr>
          <w:p w14:paraId="5756AAD5"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60" w:type="dxa"/>
            <w:tcBorders>
              <w:top w:val="nil"/>
              <w:left w:val="single" w:sz="4" w:space="0" w:color="1F4E79" w:themeColor="accent1" w:themeShade="80"/>
              <w:bottom w:val="single" w:sz="2" w:space="0" w:color="1F4E79" w:themeColor="accent1" w:themeShade="80"/>
            </w:tcBorders>
            <w:shd w:val="clear" w:color="auto" w:fill="auto"/>
            <w:vAlign w:val="center"/>
          </w:tcPr>
          <w:p w14:paraId="32E4924F" w14:textId="77777777" w:rsidR="005357C6" w:rsidRPr="004369A3" w:rsidRDefault="005357C6" w:rsidP="00B95357">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4369A3">
              <w:rPr>
                <w:rFonts w:cs="Arial"/>
                <w:bCs/>
                <w:szCs w:val="14"/>
              </w:rPr>
              <w:t>Ciclic Corretora de Seguros S.A. (</w:t>
            </w:r>
            <w:r w:rsidRPr="004369A3">
              <w:rPr>
                <w:rFonts w:cs="Arial"/>
                <w:szCs w:val="14"/>
              </w:rPr>
              <w:t>Ciclic)</w:t>
            </w:r>
          </w:p>
        </w:tc>
        <w:tc>
          <w:tcPr>
            <w:tcW w:w="1698" w:type="dxa"/>
            <w:tcBorders>
              <w:top w:val="nil"/>
              <w:bottom w:val="single" w:sz="2" w:space="0" w:color="1F4E79" w:themeColor="accent1" w:themeShade="80"/>
            </w:tcBorders>
            <w:shd w:val="clear" w:color="auto" w:fill="auto"/>
            <w:vAlign w:val="center"/>
          </w:tcPr>
          <w:p w14:paraId="05CDADE1" w14:textId="77777777" w:rsidR="005357C6" w:rsidRPr="004369A3" w:rsidRDefault="005357C6" w:rsidP="00B95357">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57175F">
              <w:rPr>
                <w:rStyle w:val="tlid-translation"/>
                <w:rFonts w:cs="Arial"/>
                <w:szCs w:val="14"/>
                <w:lang w:val="en"/>
              </w:rPr>
              <w:t>Brokerage of private pension products, travel insurance and residential assistance in the digital channel.</w:t>
            </w:r>
          </w:p>
        </w:tc>
        <w:tc>
          <w:tcPr>
            <w:tcW w:w="1146" w:type="dxa"/>
            <w:tcBorders>
              <w:top w:val="nil"/>
              <w:bottom w:val="single" w:sz="2" w:space="0" w:color="1F4E79" w:themeColor="accent1" w:themeShade="80"/>
            </w:tcBorders>
            <w:shd w:val="clear" w:color="auto" w:fill="auto"/>
            <w:vAlign w:val="center"/>
          </w:tcPr>
          <w:p w14:paraId="3E9447A9"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BRGAAP</w:t>
            </w:r>
          </w:p>
        </w:tc>
        <w:tc>
          <w:tcPr>
            <w:tcW w:w="533" w:type="dxa"/>
            <w:tcBorders>
              <w:top w:val="nil"/>
              <w:bottom w:val="single" w:sz="2" w:space="0" w:color="1F4E79" w:themeColor="accent1" w:themeShade="80"/>
            </w:tcBorders>
            <w:shd w:val="clear" w:color="auto" w:fill="auto"/>
          </w:tcPr>
          <w:p w14:paraId="598DFDB4"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619" w:type="dxa"/>
            <w:tcBorders>
              <w:top w:val="nil"/>
              <w:bottom w:val="single" w:sz="2" w:space="0" w:color="1F4E79" w:themeColor="accent1" w:themeShade="80"/>
            </w:tcBorders>
            <w:shd w:val="clear" w:color="auto" w:fill="auto"/>
            <w:vAlign w:val="center"/>
          </w:tcPr>
          <w:p w14:paraId="374ABE07"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49.99</w:t>
            </w:r>
          </w:p>
        </w:tc>
        <w:tc>
          <w:tcPr>
            <w:tcW w:w="664" w:type="dxa"/>
            <w:tcBorders>
              <w:top w:val="nil"/>
              <w:bottom w:val="single" w:sz="2" w:space="0" w:color="1F4E79" w:themeColor="accent1" w:themeShade="80"/>
            </w:tcBorders>
            <w:shd w:val="clear" w:color="auto" w:fill="auto"/>
            <w:vAlign w:val="center"/>
          </w:tcPr>
          <w:p w14:paraId="4968F200"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Pr>
                <w:bCs/>
              </w:rPr>
              <w:t>100,00</w:t>
            </w:r>
          </w:p>
        </w:tc>
        <w:tc>
          <w:tcPr>
            <w:tcW w:w="736" w:type="dxa"/>
            <w:tcBorders>
              <w:top w:val="nil"/>
              <w:bottom w:val="single" w:sz="2" w:space="0" w:color="1F4E79" w:themeColor="accent1" w:themeShade="80"/>
            </w:tcBorders>
            <w:shd w:val="clear" w:color="auto" w:fill="auto"/>
            <w:vAlign w:val="center"/>
          </w:tcPr>
          <w:p w14:paraId="5A18D393" w14:textId="77777777" w:rsidR="005357C6" w:rsidRPr="004369A3" w:rsidRDefault="005357C6" w:rsidP="00B95357">
            <w:pPr>
              <w:pStyle w:val="08-Tabelageral"/>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4369A3">
              <w:rPr>
                <w:rFonts w:cs="Arial"/>
                <w:bCs/>
                <w:szCs w:val="14"/>
              </w:rPr>
              <w:t>74.99</w:t>
            </w:r>
          </w:p>
        </w:tc>
      </w:tr>
    </w:tbl>
    <w:p w14:paraId="2207E8B9" w14:textId="77777777" w:rsidR="005357C6" w:rsidRPr="00E22381" w:rsidRDefault="005357C6" w:rsidP="00D372BE">
      <w:pPr>
        <w:pStyle w:val="07-Legenda"/>
        <w:ind w:left="0" w:firstLine="0"/>
        <w:rPr>
          <w:rFonts w:cs="Arial"/>
          <w:spacing w:val="0"/>
          <w:sz w:val="18"/>
          <w:szCs w:val="20"/>
          <w:lang w:eastAsia="zh-CN"/>
        </w:rPr>
      </w:pPr>
    </w:p>
    <w:p w14:paraId="2477D162" w14:textId="77777777" w:rsidR="005357C6" w:rsidRPr="004369A3" w:rsidRDefault="005357C6" w:rsidP="00D372BE">
      <w:pPr>
        <w:pStyle w:val="05-Textonormal"/>
        <w:spacing w:line="240" w:lineRule="auto"/>
        <w:rPr>
          <w:rFonts w:cs="Arial"/>
          <w:spacing w:val="0"/>
          <w:lang w:val="en-US" w:eastAsia="zh-CN"/>
        </w:rPr>
      </w:pPr>
      <w:r w:rsidRPr="004369A3">
        <w:rPr>
          <w:rFonts w:cs="Arial"/>
          <w:spacing w:val="0"/>
          <w:lang w:val="en-US" w:eastAsia="zh-CN"/>
        </w:rPr>
        <w:t>The investees are valued using the equity method and there is no indication of operating discontinuity</w:t>
      </w:r>
      <w:r w:rsidRPr="008C2739">
        <w:rPr>
          <w:lang w:val="en"/>
        </w:rPr>
        <w:t xml:space="preserve"> </w:t>
      </w:r>
      <w:r>
        <w:rPr>
          <w:rStyle w:val="q4iawc"/>
          <w:lang w:val="en"/>
        </w:rPr>
        <w:t>nor do they have shares regularly traded on stock exchanges.</w:t>
      </w:r>
    </w:p>
    <w:p w14:paraId="23A85DB7" w14:textId="77777777" w:rsidR="005357C6" w:rsidRPr="00CF49A3" w:rsidRDefault="005357C6" w:rsidP="00CF49A3">
      <w:pPr>
        <w:pStyle w:val="01-TtulodeNota"/>
        <w:keepNext/>
        <w:keepLines/>
        <w:pageBreakBefore/>
        <w:rPr>
          <w:color w:val="1F4E79" w:themeColor="accent1" w:themeShade="80"/>
          <w:lang w:val="en-US"/>
        </w:rPr>
      </w:pPr>
      <w:r w:rsidRPr="00CF49A3">
        <w:rPr>
          <w:color w:val="1F4E79" w:themeColor="accent1" w:themeShade="80"/>
          <w:lang w:val="en-US"/>
        </w:rPr>
        <w:lastRenderedPageBreak/>
        <w:t>b) Equity interests valued using the equity method</w:t>
      </w:r>
    </w:p>
    <w:p w14:paraId="0D200967" w14:textId="77777777" w:rsidR="005357C6" w:rsidRPr="00E22381" w:rsidRDefault="005357C6" w:rsidP="00D372BE">
      <w:pPr>
        <w:pStyle w:val="06-Rmil"/>
        <w:ind w:left="720" w:right="-2"/>
        <w:rPr>
          <w:rFonts w:cs="Arial"/>
        </w:rPr>
      </w:pPr>
      <w:r w:rsidRPr="00E22381">
        <w:rPr>
          <w:rFonts w:cs="Arial"/>
        </w:rPr>
        <w:t>R$ thousand</w:t>
      </w:r>
    </w:p>
    <w:tbl>
      <w:tblPr>
        <w:tblStyle w:val="TabeladeLista6Colorida-nfase510"/>
        <w:tblW w:w="9639" w:type="dxa"/>
        <w:jc w:val="center"/>
        <w:tblInd w:w="0"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4042"/>
        <w:gridCol w:w="2020"/>
        <w:gridCol w:w="1753"/>
        <w:gridCol w:w="1824"/>
      </w:tblGrid>
      <w:tr w:rsidR="005357C6" w:rsidRPr="00E22381" w14:paraId="17CED830" w14:textId="77777777" w:rsidTr="007333CF">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nil"/>
            </w:tcBorders>
            <w:shd w:val="clear" w:color="auto" w:fill="auto"/>
            <w:vAlign w:val="center"/>
          </w:tcPr>
          <w:p w14:paraId="211578AE" w14:textId="77777777" w:rsidR="005357C6" w:rsidRPr="00696049" w:rsidRDefault="005357C6" w:rsidP="007333CF">
            <w:pPr>
              <w:rPr>
                <w:rFonts w:cs="Arial"/>
                <w:color w:val="FF0000"/>
                <w:sz w:val="14"/>
                <w:szCs w:val="14"/>
              </w:rPr>
            </w:pPr>
          </w:p>
        </w:tc>
        <w:tc>
          <w:tcPr>
            <w:tcW w:w="5597" w:type="dxa"/>
            <w:gridSpan w:val="3"/>
            <w:tcBorders>
              <w:top w:val="single" w:sz="2" w:space="0" w:color="1F4E79" w:themeColor="accent1" w:themeShade="80"/>
              <w:bottom w:val="single" w:sz="2" w:space="0" w:color="1F4E79" w:themeColor="accent1" w:themeShade="80"/>
            </w:tcBorders>
            <w:shd w:val="clear" w:color="auto" w:fill="auto"/>
            <w:vAlign w:val="center"/>
          </w:tcPr>
          <w:p w14:paraId="4FC370E5" w14:textId="77777777" w:rsidR="005357C6" w:rsidRPr="00696049" w:rsidRDefault="005357C6" w:rsidP="007333CF">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696049">
              <w:rPr>
                <w:rFonts w:cs="Arial"/>
                <w:sz w:val="14"/>
                <w:szCs w:val="14"/>
              </w:rPr>
              <w:t>Parent</w:t>
            </w:r>
          </w:p>
        </w:tc>
      </w:tr>
      <w:tr w:rsidR="005357C6" w:rsidRPr="00E22381" w14:paraId="6741F6BA" w14:textId="77777777" w:rsidTr="007333C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bottom w:val="single" w:sz="2" w:space="0" w:color="1F4E79" w:themeColor="accent1" w:themeShade="80"/>
            </w:tcBorders>
            <w:shd w:val="clear" w:color="auto" w:fill="auto"/>
            <w:vAlign w:val="center"/>
          </w:tcPr>
          <w:p w14:paraId="7548587D" w14:textId="77777777" w:rsidR="005357C6" w:rsidRPr="00696049" w:rsidRDefault="005357C6" w:rsidP="007333CF">
            <w:pPr>
              <w:rPr>
                <w:rFonts w:cs="Arial"/>
                <w:color w:val="FF0000"/>
                <w:sz w:val="14"/>
                <w:szCs w:val="14"/>
              </w:rPr>
            </w:pPr>
          </w:p>
        </w:tc>
        <w:tc>
          <w:tcPr>
            <w:tcW w:w="2020" w:type="dxa"/>
            <w:tcBorders>
              <w:top w:val="single" w:sz="2" w:space="0" w:color="1F4E79" w:themeColor="accent1" w:themeShade="80"/>
              <w:bottom w:val="single" w:sz="2" w:space="0" w:color="1F4E79" w:themeColor="accent1" w:themeShade="80"/>
            </w:tcBorders>
            <w:shd w:val="clear" w:color="auto" w:fill="auto"/>
            <w:vAlign w:val="center"/>
          </w:tcPr>
          <w:p w14:paraId="7377B64F" w14:textId="77777777" w:rsidR="005357C6" w:rsidRPr="00696049" w:rsidRDefault="005357C6" w:rsidP="007333CF">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696049">
              <w:rPr>
                <w:rFonts w:cs="Arial"/>
                <w:b/>
                <w:color w:val="auto"/>
                <w:sz w:val="14"/>
                <w:szCs w:val="14"/>
              </w:rPr>
              <w:t>BB Seguros</w:t>
            </w:r>
          </w:p>
        </w:tc>
        <w:tc>
          <w:tcPr>
            <w:tcW w:w="1753" w:type="dxa"/>
            <w:tcBorders>
              <w:top w:val="single" w:sz="2" w:space="0" w:color="1F4E79" w:themeColor="accent1" w:themeShade="80"/>
              <w:bottom w:val="single" w:sz="2" w:space="0" w:color="1F4E79" w:themeColor="accent1" w:themeShade="80"/>
            </w:tcBorders>
            <w:shd w:val="clear" w:color="auto" w:fill="auto"/>
            <w:vAlign w:val="center"/>
          </w:tcPr>
          <w:p w14:paraId="5299DB20" w14:textId="77777777" w:rsidR="005357C6" w:rsidRPr="00696049" w:rsidRDefault="005357C6" w:rsidP="007333CF">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696049">
              <w:rPr>
                <w:rFonts w:cs="Arial"/>
                <w:b/>
                <w:color w:val="auto"/>
                <w:sz w:val="14"/>
                <w:szCs w:val="14"/>
              </w:rPr>
              <w:t>BB Corretora</w:t>
            </w:r>
          </w:p>
        </w:tc>
        <w:tc>
          <w:tcPr>
            <w:tcW w:w="1824" w:type="dxa"/>
            <w:tcBorders>
              <w:top w:val="single" w:sz="2" w:space="0" w:color="1F4E79" w:themeColor="accent1" w:themeShade="80"/>
              <w:bottom w:val="single" w:sz="2" w:space="0" w:color="1F4E79" w:themeColor="accent1" w:themeShade="80"/>
            </w:tcBorders>
            <w:shd w:val="clear" w:color="auto" w:fill="auto"/>
            <w:vAlign w:val="center"/>
          </w:tcPr>
          <w:p w14:paraId="73784026" w14:textId="77777777" w:rsidR="005357C6" w:rsidRPr="00696049" w:rsidRDefault="005357C6" w:rsidP="007333CF">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696049">
              <w:rPr>
                <w:rFonts w:cs="Arial"/>
                <w:b/>
                <w:color w:val="auto"/>
                <w:sz w:val="14"/>
                <w:szCs w:val="14"/>
              </w:rPr>
              <w:t>Total</w:t>
            </w:r>
          </w:p>
        </w:tc>
      </w:tr>
      <w:tr w:rsidR="005357C6" w:rsidRPr="00E22381" w14:paraId="1B831633" w14:textId="77777777" w:rsidTr="007333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nil"/>
            </w:tcBorders>
            <w:shd w:val="clear" w:color="auto" w:fill="auto"/>
            <w:vAlign w:val="center"/>
          </w:tcPr>
          <w:p w14:paraId="68A32066" w14:textId="77777777" w:rsidR="005357C6" w:rsidRPr="00696049" w:rsidRDefault="005357C6" w:rsidP="008F4379">
            <w:pPr>
              <w:rPr>
                <w:rFonts w:cs="Arial"/>
                <w:sz w:val="14"/>
                <w:szCs w:val="14"/>
              </w:rPr>
            </w:pPr>
            <w:r w:rsidRPr="00696049">
              <w:rPr>
                <w:rFonts w:cs="Arial"/>
                <w:sz w:val="14"/>
                <w:szCs w:val="14"/>
              </w:rPr>
              <w:t xml:space="preserve">Balance on </w:t>
            </w:r>
            <w:r>
              <w:rPr>
                <w:rFonts w:cs="Arial"/>
                <w:sz w:val="14"/>
                <w:szCs w:val="14"/>
              </w:rPr>
              <w:t xml:space="preserve">Dec </w:t>
            </w:r>
            <w:r w:rsidRPr="00696049">
              <w:rPr>
                <w:rFonts w:cs="Arial"/>
                <w:sz w:val="14"/>
                <w:szCs w:val="14"/>
              </w:rPr>
              <w:t>3</w:t>
            </w:r>
            <w:r>
              <w:rPr>
                <w:rFonts w:cs="Arial"/>
                <w:sz w:val="14"/>
                <w:szCs w:val="14"/>
              </w:rPr>
              <w:t xml:space="preserve">1, </w:t>
            </w:r>
            <w:r w:rsidRPr="00696049">
              <w:rPr>
                <w:rFonts w:cs="Arial"/>
                <w:sz w:val="14"/>
                <w:szCs w:val="14"/>
              </w:rPr>
              <w:t>202</w:t>
            </w:r>
            <w:r>
              <w:rPr>
                <w:rFonts w:cs="Arial"/>
                <w:sz w:val="14"/>
                <w:szCs w:val="14"/>
              </w:rPr>
              <w:t>2</w:t>
            </w:r>
          </w:p>
        </w:tc>
        <w:tc>
          <w:tcPr>
            <w:tcW w:w="5597" w:type="dxa"/>
            <w:gridSpan w:val="3"/>
            <w:tcBorders>
              <w:top w:val="single" w:sz="2" w:space="0" w:color="1F4E79" w:themeColor="accent1" w:themeShade="80"/>
              <w:bottom w:val="nil"/>
            </w:tcBorders>
            <w:shd w:val="clear" w:color="auto" w:fill="auto"/>
            <w:vAlign w:val="center"/>
          </w:tcPr>
          <w:p w14:paraId="551ED94C" w14:textId="77777777" w:rsidR="005357C6" w:rsidRPr="00696049" w:rsidRDefault="005357C6" w:rsidP="00550732">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color w:val="auto"/>
                <w:szCs w:val="14"/>
              </w:rPr>
            </w:pPr>
          </w:p>
        </w:tc>
      </w:tr>
      <w:tr w:rsidR="005357C6" w:rsidRPr="00E22381" w14:paraId="78638ECA" w14:textId="77777777" w:rsidTr="007333C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tcBorders>
            <w:shd w:val="clear" w:color="auto" w:fill="auto"/>
            <w:vAlign w:val="center"/>
          </w:tcPr>
          <w:p w14:paraId="0EF750FC" w14:textId="77777777" w:rsidR="005357C6" w:rsidRPr="00696049" w:rsidRDefault="005357C6" w:rsidP="008F4379">
            <w:pPr>
              <w:rPr>
                <w:rFonts w:cs="Arial"/>
                <w:b w:val="0"/>
                <w:bCs w:val="0"/>
                <w:color w:val="FF0000"/>
                <w:sz w:val="14"/>
                <w:szCs w:val="14"/>
              </w:rPr>
            </w:pPr>
            <w:r w:rsidRPr="00696049">
              <w:rPr>
                <w:rFonts w:cs="Arial"/>
                <w:b w:val="0"/>
                <w:sz w:val="14"/>
                <w:szCs w:val="14"/>
              </w:rPr>
              <w:t>Capital</w:t>
            </w:r>
          </w:p>
        </w:tc>
        <w:tc>
          <w:tcPr>
            <w:tcW w:w="2020" w:type="dxa"/>
            <w:tcBorders>
              <w:top w:val="nil"/>
            </w:tcBorders>
            <w:shd w:val="clear" w:color="auto" w:fill="auto"/>
            <w:vAlign w:val="center"/>
          </w:tcPr>
          <w:p w14:paraId="40EA9EB3" w14:textId="77777777" w:rsidR="005357C6" w:rsidRPr="00696049" w:rsidRDefault="005357C6" w:rsidP="008F437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000000"/>
                <w:szCs w:val="14"/>
              </w:rPr>
              <w:t>4,210,872</w:t>
            </w:r>
          </w:p>
        </w:tc>
        <w:tc>
          <w:tcPr>
            <w:tcW w:w="1753" w:type="dxa"/>
            <w:tcBorders>
              <w:top w:val="nil"/>
            </w:tcBorders>
            <w:shd w:val="clear" w:color="auto" w:fill="auto"/>
            <w:vAlign w:val="center"/>
          </w:tcPr>
          <w:p w14:paraId="03D719FD" w14:textId="77777777" w:rsidR="005357C6" w:rsidRPr="00696049" w:rsidRDefault="005357C6" w:rsidP="008F437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color w:val="000000"/>
                <w:szCs w:val="14"/>
              </w:rPr>
              <w:t>1,000</w:t>
            </w:r>
          </w:p>
        </w:tc>
        <w:tc>
          <w:tcPr>
            <w:tcW w:w="1824" w:type="dxa"/>
            <w:tcBorders>
              <w:top w:val="nil"/>
            </w:tcBorders>
            <w:shd w:val="clear" w:color="auto" w:fill="auto"/>
            <w:vAlign w:val="center"/>
          </w:tcPr>
          <w:p w14:paraId="6E0CB408" w14:textId="77777777" w:rsidR="005357C6" w:rsidRPr="00696049" w:rsidRDefault="005357C6" w:rsidP="008F437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b/>
                <w:bCs/>
                <w:color w:val="auto"/>
                <w:szCs w:val="14"/>
              </w:rPr>
              <w:t>--</w:t>
            </w:r>
          </w:p>
        </w:tc>
      </w:tr>
      <w:tr w:rsidR="005357C6" w:rsidRPr="00E22381" w14:paraId="6484B796" w14:textId="77777777" w:rsidTr="007333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1E69CD34" w14:textId="77777777" w:rsidR="005357C6" w:rsidRPr="00696049" w:rsidRDefault="005357C6" w:rsidP="008F4379">
            <w:pPr>
              <w:rPr>
                <w:rFonts w:cs="Arial"/>
                <w:b w:val="0"/>
                <w:bCs w:val="0"/>
                <w:color w:val="FF0000"/>
                <w:sz w:val="14"/>
                <w:szCs w:val="14"/>
              </w:rPr>
            </w:pPr>
            <w:r w:rsidRPr="00696049">
              <w:rPr>
                <w:rFonts w:cs="Arial"/>
                <w:b w:val="0"/>
                <w:sz w:val="14"/>
                <w:szCs w:val="14"/>
              </w:rPr>
              <w:t xml:space="preserve">Stockholders' equity </w:t>
            </w:r>
          </w:p>
        </w:tc>
        <w:tc>
          <w:tcPr>
            <w:tcW w:w="2020" w:type="dxa"/>
            <w:shd w:val="clear" w:color="auto" w:fill="auto"/>
            <w:vAlign w:val="center"/>
          </w:tcPr>
          <w:p w14:paraId="5BF1F411" w14:textId="77777777" w:rsidR="005357C6" w:rsidRPr="00696049"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Pr>
                <w:rFonts w:cs="Arial"/>
                <w:color w:val="000000"/>
                <w:szCs w:val="14"/>
              </w:rPr>
              <w:t>7,410,432</w:t>
            </w:r>
          </w:p>
        </w:tc>
        <w:tc>
          <w:tcPr>
            <w:tcW w:w="1753" w:type="dxa"/>
            <w:shd w:val="clear" w:color="auto" w:fill="auto"/>
            <w:vAlign w:val="center"/>
          </w:tcPr>
          <w:p w14:paraId="6C2D2882" w14:textId="77777777" w:rsidR="005357C6" w:rsidRPr="00696049"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Pr>
                <w:rFonts w:cs="Arial"/>
                <w:color w:val="000000"/>
                <w:szCs w:val="14"/>
              </w:rPr>
              <w:t>6.338</w:t>
            </w:r>
          </w:p>
        </w:tc>
        <w:tc>
          <w:tcPr>
            <w:tcW w:w="1824" w:type="dxa"/>
            <w:shd w:val="clear" w:color="auto" w:fill="auto"/>
            <w:vAlign w:val="center"/>
          </w:tcPr>
          <w:p w14:paraId="1B77F87E" w14:textId="77777777" w:rsidR="005357C6" w:rsidRPr="00696049"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auto"/>
                <w:szCs w:val="14"/>
              </w:rPr>
            </w:pPr>
            <w:r>
              <w:rPr>
                <w:b/>
                <w:bCs/>
                <w:color w:val="auto"/>
                <w:szCs w:val="14"/>
              </w:rPr>
              <w:t>--</w:t>
            </w:r>
          </w:p>
        </w:tc>
      </w:tr>
      <w:tr w:rsidR="005357C6" w:rsidRPr="00E22381" w14:paraId="0701D9D6" w14:textId="77777777" w:rsidTr="007333C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5283F013" w14:textId="77777777" w:rsidR="005357C6" w:rsidRPr="00696049" w:rsidRDefault="005357C6" w:rsidP="00D40012">
            <w:pPr>
              <w:pStyle w:val="08-Tabelageral"/>
              <w:jc w:val="left"/>
              <w:rPr>
                <w:rFonts w:cs="Arial"/>
                <w:bCs w:val="0"/>
                <w:szCs w:val="14"/>
              </w:rPr>
            </w:pPr>
            <w:r w:rsidRPr="00696049">
              <w:rPr>
                <w:rFonts w:cs="Arial"/>
                <w:szCs w:val="14"/>
              </w:rPr>
              <w:t xml:space="preserve">Balance on </w:t>
            </w:r>
            <w:r>
              <w:rPr>
                <w:rFonts w:cs="Arial"/>
                <w:szCs w:val="14"/>
              </w:rPr>
              <w:t xml:space="preserve">Dec </w:t>
            </w:r>
            <w:r w:rsidRPr="00696049">
              <w:rPr>
                <w:rFonts w:cs="Arial"/>
                <w:szCs w:val="14"/>
              </w:rPr>
              <w:t>31</w:t>
            </w:r>
            <w:r>
              <w:rPr>
                <w:rFonts w:cs="Arial"/>
                <w:szCs w:val="14"/>
              </w:rPr>
              <w:t>, 2021</w:t>
            </w:r>
          </w:p>
        </w:tc>
        <w:tc>
          <w:tcPr>
            <w:tcW w:w="5597" w:type="dxa"/>
            <w:gridSpan w:val="3"/>
            <w:shd w:val="clear" w:color="auto" w:fill="auto"/>
            <w:vAlign w:val="center"/>
          </w:tcPr>
          <w:p w14:paraId="2A9DE909" w14:textId="77777777" w:rsidR="005357C6" w:rsidRPr="00696049" w:rsidRDefault="005357C6" w:rsidP="00C07111">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bCs/>
                <w:color w:val="auto"/>
                <w:szCs w:val="14"/>
              </w:rPr>
            </w:pPr>
          </w:p>
        </w:tc>
      </w:tr>
      <w:tr w:rsidR="005357C6" w:rsidRPr="00E22381" w14:paraId="34FD99C7" w14:textId="77777777" w:rsidTr="007333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6D0E98DE" w14:textId="77777777" w:rsidR="005357C6" w:rsidRPr="00696049" w:rsidRDefault="005357C6" w:rsidP="00C07111">
            <w:pPr>
              <w:pStyle w:val="08-Tabelageral"/>
              <w:jc w:val="left"/>
              <w:rPr>
                <w:rFonts w:cs="Arial"/>
                <w:b w:val="0"/>
                <w:bCs w:val="0"/>
                <w:szCs w:val="14"/>
              </w:rPr>
            </w:pPr>
            <w:r w:rsidRPr="00696049">
              <w:rPr>
                <w:rFonts w:cs="Arial"/>
                <w:b w:val="0"/>
                <w:szCs w:val="14"/>
              </w:rPr>
              <w:t>Capital</w:t>
            </w:r>
          </w:p>
        </w:tc>
        <w:tc>
          <w:tcPr>
            <w:tcW w:w="2020" w:type="dxa"/>
            <w:shd w:val="clear" w:color="auto" w:fill="auto"/>
            <w:vAlign w:val="center"/>
          </w:tcPr>
          <w:p w14:paraId="640B6A57" w14:textId="77777777" w:rsidR="005357C6" w:rsidRPr="00696049" w:rsidRDefault="005357C6" w:rsidP="00C0711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Pr>
                <w:rFonts w:cs="Arial"/>
                <w:color w:val="000000"/>
                <w:szCs w:val="14"/>
              </w:rPr>
              <w:t>4,210,872</w:t>
            </w:r>
          </w:p>
        </w:tc>
        <w:tc>
          <w:tcPr>
            <w:tcW w:w="1753" w:type="dxa"/>
            <w:shd w:val="clear" w:color="auto" w:fill="auto"/>
            <w:vAlign w:val="center"/>
          </w:tcPr>
          <w:p w14:paraId="24FB88D0" w14:textId="77777777" w:rsidR="005357C6" w:rsidRPr="00696049" w:rsidRDefault="005357C6" w:rsidP="00C07111">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auto"/>
                <w:szCs w:val="14"/>
              </w:rPr>
            </w:pPr>
            <w:r>
              <w:rPr>
                <w:rFonts w:cs="Arial"/>
                <w:color w:val="000000"/>
                <w:szCs w:val="14"/>
              </w:rPr>
              <w:t>1,000</w:t>
            </w:r>
          </w:p>
        </w:tc>
        <w:tc>
          <w:tcPr>
            <w:tcW w:w="1824" w:type="dxa"/>
            <w:shd w:val="clear" w:color="auto" w:fill="auto"/>
            <w:vAlign w:val="center"/>
          </w:tcPr>
          <w:p w14:paraId="60BC5B0B" w14:textId="77777777" w:rsidR="005357C6" w:rsidRPr="00696049" w:rsidRDefault="005357C6" w:rsidP="00C07111">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auto"/>
                <w:szCs w:val="14"/>
              </w:rPr>
            </w:pPr>
            <w:r w:rsidRPr="00F52A6C">
              <w:rPr>
                <w:b/>
                <w:bCs/>
                <w:color w:val="auto"/>
                <w:szCs w:val="14"/>
              </w:rPr>
              <w:t>--</w:t>
            </w:r>
          </w:p>
        </w:tc>
      </w:tr>
      <w:tr w:rsidR="005357C6" w:rsidRPr="00E22381" w14:paraId="58D84989" w14:textId="77777777" w:rsidTr="007333C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00012689" w14:textId="77777777" w:rsidR="005357C6" w:rsidRPr="00696049" w:rsidRDefault="005357C6" w:rsidP="00C07111">
            <w:pPr>
              <w:pStyle w:val="08-Tabelageral"/>
              <w:jc w:val="left"/>
              <w:rPr>
                <w:rFonts w:cs="Arial"/>
                <w:b w:val="0"/>
                <w:bCs w:val="0"/>
                <w:szCs w:val="14"/>
              </w:rPr>
            </w:pPr>
            <w:r w:rsidRPr="00696049">
              <w:rPr>
                <w:rFonts w:cs="Arial"/>
                <w:b w:val="0"/>
                <w:szCs w:val="14"/>
              </w:rPr>
              <w:t xml:space="preserve">Stockholders' equity </w:t>
            </w:r>
          </w:p>
        </w:tc>
        <w:tc>
          <w:tcPr>
            <w:tcW w:w="2020" w:type="dxa"/>
            <w:shd w:val="clear" w:color="auto" w:fill="auto"/>
            <w:vAlign w:val="center"/>
          </w:tcPr>
          <w:p w14:paraId="473014EF" w14:textId="77777777" w:rsidR="005357C6" w:rsidRPr="00696049" w:rsidRDefault="005357C6" w:rsidP="00C07111">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 xml:space="preserve">7,074,640 </w:t>
            </w:r>
          </w:p>
        </w:tc>
        <w:tc>
          <w:tcPr>
            <w:tcW w:w="1753" w:type="dxa"/>
            <w:shd w:val="clear" w:color="auto" w:fill="auto"/>
            <w:vAlign w:val="center"/>
          </w:tcPr>
          <w:p w14:paraId="1A9FF363" w14:textId="77777777" w:rsidR="005357C6" w:rsidRPr="00696049" w:rsidRDefault="005357C6" w:rsidP="00C07111">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auto"/>
                <w:szCs w:val="14"/>
              </w:rPr>
            </w:pPr>
            <w:r>
              <w:rPr>
                <w:rFonts w:cs="Arial"/>
                <w:szCs w:val="14"/>
              </w:rPr>
              <w:t xml:space="preserve">6,009 </w:t>
            </w:r>
          </w:p>
        </w:tc>
        <w:tc>
          <w:tcPr>
            <w:tcW w:w="1824" w:type="dxa"/>
            <w:shd w:val="clear" w:color="auto" w:fill="auto"/>
            <w:vAlign w:val="center"/>
          </w:tcPr>
          <w:p w14:paraId="0548E726" w14:textId="77777777" w:rsidR="005357C6" w:rsidRPr="00696049" w:rsidRDefault="005357C6" w:rsidP="00C07111">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F52A6C">
              <w:rPr>
                <w:b/>
                <w:bCs/>
                <w:color w:val="auto"/>
                <w:szCs w:val="14"/>
              </w:rPr>
              <w:t>--</w:t>
            </w:r>
          </w:p>
        </w:tc>
      </w:tr>
      <w:tr w:rsidR="005357C6" w:rsidRPr="00E22381" w14:paraId="73A2DAD4" w14:textId="77777777" w:rsidTr="007333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bottom w:val="single" w:sz="2" w:space="0" w:color="1F4E79" w:themeColor="accent1" w:themeShade="80"/>
            </w:tcBorders>
            <w:shd w:val="clear" w:color="auto" w:fill="auto"/>
            <w:vAlign w:val="center"/>
          </w:tcPr>
          <w:p w14:paraId="7C89F777" w14:textId="77777777" w:rsidR="005357C6" w:rsidRPr="00696049" w:rsidRDefault="005357C6" w:rsidP="007333CF">
            <w:pPr>
              <w:pStyle w:val="08-Tabelageral"/>
              <w:jc w:val="left"/>
              <w:rPr>
                <w:rFonts w:cs="Arial"/>
                <w:bCs w:val="0"/>
                <w:szCs w:val="14"/>
              </w:rPr>
            </w:pPr>
          </w:p>
        </w:tc>
        <w:tc>
          <w:tcPr>
            <w:tcW w:w="5597" w:type="dxa"/>
            <w:gridSpan w:val="3"/>
            <w:tcBorders>
              <w:bottom w:val="single" w:sz="2" w:space="0" w:color="1F4E79" w:themeColor="accent1" w:themeShade="80"/>
            </w:tcBorders>
            <w:shd w:val="clear" w:color="auto" w:fill="auto"/>
            <w:vAlign w:val="center"/>
          </w:tcPr>
          <w:p w14:paraId="53E7833F" w14:textId="77777777" w:rsidR="005357C6" w:rsidRPr="00696049" w:rsidRDefault="005357C6" w:rsidP="007333CF">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color w:val="FF0000"/>
                <w:szCs w:val="14"/>
              </w:rPr>
            </w:pPr>
          </w:p>
        </w:tc>
      </w:tr>
      <w:tr w:rsidR="005357C6" w:rsidRPr="00FE3061" w14:paraId="6D9BE151" w14:textId="77777777" w:rsidTr="007333C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single" w:sz="2" w:space="0" w:color="1F4E79" w:themeColor="accent1" w:themeShade="80"/>
            </w:tcBorders>
            <w:shd w:val="clear" w:color="auto" w:fill="auto"/>
            <w:vAlign w:val="center"/>
          </w:tcPr>
          <w:p w14:paraId="49B1FA24" w14:textId="77777777" w:rsidR="005357C6" w:rsidRPr="00696049" w:rsidRDefault="005357C6" w:rsidP="007333CF">
            <w:pPr>
              <w:pStyle w:val="08-Tabelageral"/>
              <w:jc w:val="left"/>
              <w:rPr>
                <w:rFonts w:cs="Arial"/>
                <w:bCs w:val="0"/>
                <w:szCs w:val="14"/>
              </w:rPr>
            </w:pPr>
          </w:p>
        </w:tc>
        <w:tc>
          <w:tcPr>
            <w:tcW w:w="5597" w:type="dxa"/>
            <w:gridSpan w:val="3"/>
            <w:tcBorders>
              <w:top w:val="single" w:sz="2" w:space="0" w:color="1F4E79" w:themeColor="accent1" w:themeShade="80"/>
              <w:bottom w:val="single" w:sz="2" w:space="0" w:color="1F4E79" w:themeColor="accent1" w:themeShade="80"/>
            </w:tcBorders>
            <w:shd w:val="clear" w:color="auto" w:fill="auto"/>
            <w:vAlign w:val="center"/>
          </w:tcPr>
          <w:p w14:paraId="4BD60C1F" w14:textId="77777777" w:rsidR="005357C6" w:rsidRPr="00696049" w:rsidRDefault="005357C6" w:rsidP="008F4379">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696049">
              <w:rPr>
                <w:rFonts w:cs="Arial"/>
                <w:b/>
                <w:szCs w:val="14"/>
                <w:lang w:val="en-US"/>
              </w:rPr>
              <w:t xml:space="preserve">Moviments </w:t>
            </w:r>
            <w:r>
              <w:rPr>
                <w:rFonts w:cs="Arial"/>
                <w:b/>
                <w:szCs w:val="14"/>
                <w:lang w:val="en-US"/>
              </w:rPr>
              <w:t>in 01.01 to 12.31.2022</w:t>
            </w:r>
          </w:p>
        </w:tc>
      </w:tr>
      <w:tr w:rsidR="005357C6" w:rsidRPr="00E22381" w14:paraId="4DACE583" w14:textId="77777777" w:rsidTr="007333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tcBorders>
            <w:shd w:val="clear" w:color="auto" w:fill="auto"/>
            <w:vAlign w:val="center"/>
          </w:tcPr>
          <w:p w14:paraId="101FDB63" w14:textId="77777777" w:rsidR="005357C6" w:rsidRPr="00696049" w:rsidRDefault="005357C6" w:rsidP="008F4379">
            <w:pPr>
              <w:pStyle w:val="08-Tabelageral"/>
              <w:jc w:val="left"/>
              <w:rPr>
                <w:rFonts w:cs="Arial"/>
                <w:color w:val="FF0000"/>
                <w:szCs w:val="14"/>
              </w:rPr>
            </w:pPr>
            <w:r w:rsidRPr="00696049">
              <w:rPr>
                <w:rFonts w:cs="Arial"/>
                <w:szCs w:val="14"/>
              </w:rPr>
              <w:t xml:space="preserve">Book Balance on </w:t>
            </w:r>
            <w:r>
              <w:rPr>
                <w:rFonts w:cs="Arial"/>
                <w:szCs w:val="14"/>
              </w:rPr>
              <w:t xml:space="preserve">Dec </w:t>
            </w:r>
            <w:r w:rsidRPr="00696049">
              <w:rPr>
                <w:rFonts w:cs="Arial"/>
                <w:szCs w:val="14"/>
              </w:rPr>
              <w:t>31</w:t>
            </w:r>
            <w:r>
              <w:rPr>
                <w:rFonts w:cs="Arial"/>
                <w:szCs w:val="14"/>
              </w:rPr>
              <w:t xml:space="preserve">, </w:t>
            </w:r>
            <w:r w:rsidRPr="00696049">
              <w:rPr>
                <w:rFonts w:cs="Arial"/>
                <w:szCs w:val="14"/>
              </w:rPr>
              <w:t>202</w:t>
            </w:r>
            <w:r>
              <w:rPr>
                <w:rFonts w:cs="Arial"/>
                <w:szCs w:val="14"/>
              </w:rPr>
              <w:t>1</w:t>
            </w:r>
          </w:p>
        </w:tc>
        <w:tc>
          <w:tcPr>
            <w:tcW w:w="2020" w:type="dxa"/>
            <w:tcBorders>
              <w:top w:val="single" w:sz="2" w:space="0" w:color="1F4E79" w:themeColor="accent1" w:themeShade="80"/>
            </w:tcBorders>
            <w:shd w:val="clear" w:color="auto" w:fill="auto"/>
            <w:vAlign w:val="center"/>
          </w:tcPr>
          <w:p w14:paraId="31301B4A" w14:textId="77777777" w:rsidR="005357C6" w:rsidRPr="00550732"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7,074,640</w:t>
            </w:r>
          </w:p>
        </w:tc>
        <w:tc>
          <w:tcPr>
            <w:tcW w:w="1753" w:type="dxa"/>
            <w:tcBorders>
              <w:top w:val="single" w:sz="2" w:space="0" w:color="1F4E79" w:themeColor="accent1" w:themeShade="80"/>
            </w:tcBorders>
            <w:shd w:val="clear" w:color="auto" w:fill="auto"/>
            <w:vAlign w:val="center"/>
          </w:tcPr>
          <w:p w14:paraId="1D93B3D0" w14:textId="77777777" w:rsidR="005357C6" w:rsidRPr="00550732"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6,009</w:t>
            </w:r>
          </w:p>
        </w:tc>
        <w:tc>
          <w:tcPr>
            <w:tcW w:w="1824" w:type="dxa"/>
            <w:tcBorders>
              <w:top w:val="single" w:sz="2" w:space="0" w:color="1F4E79" w:themeColor="accent1" w:themeShade="80"/>
            </w:tcBorders>
            <w:shd w:val="clear" w:color="auto" w:fill="auto"/>
            <w:vAlign w:val="center"/>
          </w:tcPr>
          <w:p w14:paraId="4665E271" w14:textId="77777777" w:rsidR="005357C6" w:rsidRPr="00DE4C4A"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7,080,649</w:t>
            </w:r>
          </w:p>
        </w:tc>
      </w:tr>
      <w:tr w:rsidR="005357C6" w:rsidRPr="00E22381" w14:paraId="3DFC97CF" w14:textId="77777777" w:rsidTr="007333C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7CEDB1F8" w14:textId="77777777" w:rsidR="005357C6" w:rsidRPr="00696049" w:rsidRDefault="005357C6" w:rsidP="008F4379">
            <w:pPr>
              <w:pStyle w:val="08-Tabelageral"/>
              <w:jc w:val="left"/>
              <w:rPr>
                <w:rFonts w:cs="Arial"/>
                <w:szCs w:val="14"/>
              </w:rPr>
            </w:pPr>
            <w:r w:rsidRPr="00D511DC">
              <w:rPr>
                <w:rFonts w:cs="Arial"/>
                <w:b w:val="0"/>
                <w:szCs w:val="14"/>
              </w:rPr>
              <w:t>Dividends</w:t>
            </w:r>
          </w:p>
        </w:tc>
        <w:tc>
          <w:tcPr>
            <w:tcW w:w="2020" w:type="dxa"/>
            <w:shd w:val="clear" w:color="auto" w:fill="auto"/>
            <w:vAlign w:val="center"/>
          </w:tcPr>
          <w:p w14:paraId="45D18010" w14:textId="77777777" w:rsidR="005357C6" w:rsidRDefault="005357C6" w:rsidP="008F437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(2,988,606)</w:t>
            </w:r>
          </w:p>
        </w:tc>
        <w:tc>
          <w:tcPr>
            <w:tcW w:w="1753" w:type="dxa"/>
            <w:shd w:val="clear" w:color="auto" w:fill="auto"/>
            <w:vAlign w:val="center"/>
          </w:tcPr>
          <w:p w14:paraId="112AC127" w14:textId="77777777" w:rsidR="005357C6" w:rsidRPr="00AE06BB" w:rsidRDefault="005357C6" w:rsidP="008F4379">
            <w:pPr>
              <w:pStyle w:val="08-Tabelageral"/>
              <w:ind w:left="113"/>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(2,729,478)</w:t>
            </w:r>
          </w:p>
        </w:tc>
        <w:tc>
          <w:tcPr>
            <w:tcW w:w="1824" w:type="dxa"/>
            <w:shd w:val="clear" w:color="auto" w:fill="auto"/>
            <w:vAlign w:val="center"/>
          </w:tcPr>
          <w:p w14:paraId="3040B8C1" w14:textId="77777777" w:rsidR="005357C6" w:rsidRDefault="005357C6" w:rsidP="008F437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(5,718,084)</w:t>
            </w:r>
          </w:p>
        </w:tc>
      </w:tr>
      <w:tr w:rsidR="005357C6" w:rsidRPr="00E22381" w14:paraId="634FF1A4" w14:textId="77777777" w:rsidTr="007333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1E58B5EB" w14:textId="77777777" w:rsidR="005357C6" w:rsidRPr="00696049" w:rsidRDefault="005357C6" w:rsidP="008F4379">
            <w:pPr>
              <w:pStyle w:val="08-Tabelageral"/>
              <w:jc w:val="left"/>
              <w:rPr>
                <w:rFonts w:cs="Arial"/>
                <w:b w:val="0"/>
                <w:color w:val="FF0000"/>
                <w:szCs w:val="14"/>
              </w:rPr>
            </w:pPr>
            <w:r w:rsidRPr="00696049">
              <w:rPr>
                <w:rFonts w:cs="Arial"/>
                <w:b w:val="0"/>
                <w:bCs w:val="0"/>
                <w:szCs w:val="14"/>
              </w:rPr>
              <w:t>Equity valuation adjustments</w:t>
            </w:r>
          </w:p>
        </w:tc>
        <w:tc>
          <w:tcPr>
            <w:tcW w:w="2020" w:type="dxa"/>
            <w:shd w:val="clear" w:color="auto" w:fill="auto"/>
            <w:vAlign w:val="center"/>
          </w:tcPr>
          <w:p w14:paraId="4C47CA6B" w14:textId="77777777" w:rsidR="005357C6" w:rsidRPr="00550732"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A67C1E">
              <w:rPr>
                <w:rFonts w:cs="Arial"/>
                <w:szCs w:val="14"/>
              </w:rPr>
              <w:t>11</w:t>
            </w:r>
            <w:r>
              <w:rPr>
                <w:rFonts w:cs="Arial"/>
                <w:szCs w:val="14"/>
              </w:rPr>
              <w:t>,</w:t>
            </w:r>
            <w:r w:rsidRPr="00A67C1E">
              <w:rPr>
                <w:rFonts w:cs="Arial"/>
                <w:szCs w:val="14"/>
              </w:rPr>
              <w:t>088</w:t>
            </w:r>
          </w:p>
        </w:tc>
        <w:tc>
          <w:tcPr>
            <w:tcW w:w="1753" w:type="dxa"/>
            <w:shd w:val="clear" w:color="auto" w:fill="auto"/>
            <w:vAlign w:val="center"/>
          </w:tcPr>
          <w:p w14:paraId="792D40BC" w14:textId="77777777" w:rsidR="005357C6" w:rsidRPr="00550732"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szCs w:val="14"/>
              </w:rPr>
              <w:t>329</w:t>
            </w:r>
          </w:p>
        </w:tc>
        <w:tc>
          <w:tcPr>
            <w:tcW w:w="1824" w:type="dxa"/>
            <w:shd w:val="clear" w:color="auto" w:fill="auto"/>
            <w:vAlign w:val="center"/>
          </w:tcPr>
          <w:p w14:paraId="581972A4" w14:textId="77777777" w:rsidR="005357C6" w:rsidRPr="00DE4C4A"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szCs w:val="14"/>
              </w:rPr>
              <w:t>11,417</w:t>
            </w:r>
          </w:p>
        </w:tc>
      </w:tr>
      <w:tr w:rsidR="005357C6" w:rsidRPr="00E22381" w14:paraId="02027052" w14:textId="77777777" w:rsidTr="007333C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0CF60848" w14:textId="77777777" w:rsidR="005357C6" w:rsidRPr="00696049" w:rsidRDefault="005357C6" w:rsidP="008F4379">
            <w:pPr>
              <w:rPr>
                <w:rFonts w:cs="Arial"/>
                <w:b w:val="0"/>
                <w:color w:val="FF0000"/>
                <w:sz w:val="14"/>
                <w:szCs w:val="14"/>
              </w:rPr>
            </w:pPr>
            <w:r w:rsidRPr="00696049">
              <w:rPr>
                <w:rFonts w:cs="Arial"/>
                <w:b w:val="0"/>
                <w:sz w:val="14"/>
                <w:szCs w:val="14"/>
              </w:rPr>
              <w:t>Share of profit</w:t>
            </w:r>
          </w:p>
        </w:tc>
        <w:tc>
          <w:tcPr>
            <w:tcW w:w="2020" w:type="dxa"/>
            <w:shd w:val="clear" w:color="auto" w:fill="auto"/>
            <w:vAlign w:val="center"/>
          </w:tcPr>
          <w:p w14:paraId="55A8749E" w14:textId="77777777" w:rsidR="005357C6" w:rsidRPr="00550732" w:rsidRDefault="005357C6" w:rsidP="008F437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szCs w:val="14"/>
              </w:rPr>
              <w:t>3,313,310</w:t>
            </w:r>
          </w:p>
        </w:tc>
        <w:tc>
          <w:tcPr>
            <w:tcW w:w="1753" w:type="dxa"/>
            <w:shd w:val="clear" w:color="auto" w:fill="auto"/>
            <w:vAlign w:val="center"/>
          </w:tcPr>
          <w:p w14:paraId="3A8EAFA9" w14:textId="77777777" w:rsidR="005357C6" w:rsidRPr="00550732" w:rsidRDefault="005357C6" w:rsidP="008F437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szCs w:val="14"/>
              </w:rPr>
              <w:t>2,729,478</w:t>
            </w:r>
          </w:p>
        </w:tc>
        <w:tc>
          <w:tcPr>
            <w:tcW w:w="1824" w:type="dxa"/>
            <w:shd w:val="clear" w:color="auto" w:fill="auto"/>
            <w:vAlign w:val="center"/>
          </w:tcPr>
          <w:p w14:paraId="0EF5AD35" w14:textId="77777777" w:rsidR="005357C6" w:rsidRPr="00DE4C4A" w:rsidRDefault="005357C6" w:rsidP="008F4379">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Pr>
                <w:rFonts w:cs="Arial"/>
                <w:b/>
                <w:bCs/>
                <w:color w:val="000000"/>
                <w:szCs w:val="14"/>
              </w:rPr>
              <w:t>6,042,788</w:t>
            </w:r>
          </w:p>
        </w:tc>
      </w:tr>
      <w:tr w:rsidR="005357C6" w:rsidRPr="00E22381" w14:paraId="1D09E34F" w14:textId="77777777" w:rsidTr="007333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329BB7C2" w14:textId="77777777" w:rsidR="005357C6" w:rsidRPr="00696049" w:rsidRDefault="005357C6" w:rsidP="008F4379">
            <w:pPr>
              <w:pStyle w:val="08-Tabelageral"/>
              <w:jc w:val="left"/>
              <w:rPr>
                <w:rFonts w:cs="Arial"/>
                <w:bCs w:val="0"/>
                <w:color w:val="FF0000"/>
                <w:szCs w:val="14"/>
              </w:rPr>
            </w:pPr>
            <w:r w:rsidRPr="00696049">
              <w:rPr>
                <w:rFonts w:cs="Arial"/>
                <w:szCs w:val="14"/>
              </w:rPr>
              <w:t xml:space="preserve">Book Balance on </w:t>
            </w:r>
            <w:r>
              <w:rPr>
                <w:rFonts w:cs="Arial"/>
                <w:szCs w:val="14"/>
              </w:rPr>
              <w:t xml:space="preserve">Dec </w:t>
            </w:r>
            <w:r w:rsidRPr="00696049">
              <w:rPr>
                <w:rFonts w:cs="Arial"/>
                <w:szCs w:val="14"/>
              </w:rPr>
              <w:t>3</w:t>
            </w:r>
            <w:r>
              <w:rPr>
                <w:rFonts w:cs="Arial"/>
                <w:szCs w:val="14"/>
              </w:rPr>
              <w:t xml:space="preserve">1, </w:t>
            </w:r>
            <w:r w:rsidRPr="00696049">
              <w:rPr>
                <w:rFonts w:cs="Arial"/>
                <w:szCs w:val="14"/>
              </w:rPr>
              <w:t>202</w:t>
            </w:r>
            <w:r>
              <w:rPr>
                <w:rFonts w:cs="Arial"/>
                <w:szCs w:val="14"/>
              </w:rPr>
              <w:t>2</w:t>
            </w:r>
          </w:p>
        </w:tc>
        <w:tc>
          <w:tcPr>
            <w:tcW w:w="2020" w:type="dxa"/>
            <w:shd w:val="clear" w:color="auto" w:fill="auto"/>
            <w:vAlign w:val="center"/>
          </w:tcPr>
          <w:p w14:paraId="1AE54946" w14:textId="77777777" w:rsidR="005357C6" w:rsidRPr="00550732"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7,410,432</w:t>
            </w:r>
          </w:p>
        </w:tc>
        <w:tc>
          <w:tcPr>
            <w:tcW w:w="1753" w:type="dxa"/>
            <w:shd w:val="clear" w:color="auto" w:fill="auto"/>
            <w:vAlign w:val="center"/>
          </w:tcPr>
          <w:p w14:paraId="6938CAF5" w14:textId="77777777" w:rsidR="005357C6" w:rsidRPr="00550732"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6,338</w:t>
            </w:r>
          </w:p>
        </w:tc>
        <w:tc>
          <w:tcPr>
            <w:tcW w:w="1824" w:type="dxa"/>
            <w:shd w:val="clear" w:color="auto" w:fill="auto"/>
            <w:vAlign w:val="center"/>
          </w:tcPr>
          <w:p w14:paraId="42CF129D" w14:textId="77777777" w:rsidR="005357C6" w:rsidRPr="00DE4C4A"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color w:val="000000"/>
                <w:szCs w:val="14"/>
              </w:rPr>
              <w:t>7,416,770</w:t>
            </w:r>
          </w:p>
        </w:tc>
      </w:tr>
      <w:tr w:rsidR="005357C6" w:rsidRPr="00E22381" w14:paraId="70622D7E" w14:textId="77777777" w:rsidTr="007333C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bottom w:val="single" w:sz="2" w:space="0" w:color="1F4E79" w:themeColor="accent1" w:themeShade="80"/>
            </w:tcBorders>
            <w:shd w:val="clear" w:color="auto" w:fill="auto"/>
            <w:vAlign w:val="center"/>
          </w:tcPr>
          <w:p w14:paraId="1F62121C" w14:textId="77777777" w:rsidR="005357C6" w:rsidRPr="00696049" w:rsidRDefault="005357C6" w:rsidP="007333CF">
            <w:pPr>
              <w:pStyle w:val="08-Tabelageral"/>
              <w:jc w:val="left"/>
              <w:rPr>
                <w:rFonts w:cs="Arial"/>
                <w:color w:val="FF0000"/>
                <w:szCs w:val="14"/>
              </w:rPr>
            </w:pPr>
          </w:p>
        </w:tc>
        <w:tc>
          <w:tcPr>
            <w:tcW w:w="5597" w:type="dxa"/>
            <w:gridSpan w:val="3"/>
            <w:tcBorders>
              <w:bottom w:val="single" w:sz="2" w:space="0" w:color="1F4E79" w:themeColor="accent1" w:themeShade="80"/>
            </w:tcBorders>
            <w:shd w:val="clear" w:color="auto" w:fill="auto"/>
            <w:vAlign w:val="center"/>
          </w:tcPr>
          <w:p w14:paraId="105D8FCC" w14:textId="77777777" w:rsidR="005357C6" w:rsidRPr="00696049" w:rsidRDefault="005357C6" w:rsidP="007333CF">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r>
      <w:tr w:rsidR="005357C6" w:rsidRPr="00E22381" w14:paraId="07D6E844" w14:textId="77777777" w:rsidTr="007333C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single" w:sz="2" w:space="0" w:color="1F4E79" w:themeColor="accent1" w:themeShade="80"/>
            </w:tcBorders>
            <w:shd w:val="clear" w:color="auto" w:fill="auto"/>
            <w:vAlign w:val="center"/>
          </w:tcPr>
          <w:p w14:paraId="0178374F" w14:textId="77777777" w:rsidR="005357C6" w:rsidRPr="00696049" w:rsidRDefault="005357C6" w:rsidP="007333CF">
            <w:pPr>
              <w:pStyle w:val="08-Tabelageral"/>
              <w:jc w:val="left"/>
              <w:rPr>
                <w:rFonts w:cs="Arial"/>
                <w:color w:val="FF0000"/>
                <w:szCs w:val="14"/>
              </w:rPr>
            </w:pPr>
          </w:p>
        </w:tc>
        <w:tc>
          <w:tcPr>
            <w:tcW w:w="5597" w:type="dxa"/>
            <w:gridSpan w:val="3"/>
            <w:tcBorders>
              <w:top w:val="single" w:sz="2" w:space="0" w:color="1F4E79" w:themeColor="accent1" w:themeShade="80"/>
              <w:bottom w:val="single" w:sz="2" w:space="0" w:color="1F4E79" w:themeColor="accent1" w:themeShade="80"/>
            </w:tcBorders>
            <w:shd w:val="clear" w:color="auto" w:fill="auto"/>
            <w:vAlign w:val="center"/>
          </w:tcPr>
          <w:p w14:paraId="7BEE80FA" w14:textId="77777777" w:rsidR="005357C6" w:rsidRPr="00696049" w:rsidRDefault="005357C6" w:rsidP="007333CF">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b/>
                <w:bCs/>
                <w:szCs w:val="14"/>
              </w:rPr>
            </w:pPr>
            <w:r w:rsidRPr="00696049">
              <w:rPr>
                <w:rFonts w:cs="Arial"/>
                <w:b/>
                <w:szCs w:val="14"/>
              </w:rPr>
              <w:t>Share of Profit</w:t>
            </w:r>
          </w:p>
        </w:tc>
      </w:tr>
      <w:tr w:rsidR="005357C6" w:rsidRPr="00CF5925" w14:paraId="2EEB1FD1" w14:textId="77777777" w:rsidTr="00C07111">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nil"/>
            </w:tcBorders>
            <w:shd w:val="clear" w:color="auto" w:fill="auto"/>
            <w:vAlign w:val="center"/>
          </w:tcPr>
          <w:p w14:paraId="5A9937DE" w14:textId="77777777" w:rsidR="005357C6" w:rsidRPr="00696049" w:rsidRDefault="005357C6" w:rsidP="008F4379">
            <w:pPr>
              <w:pStyle w:val="08-Tabelageral"/>
              <w:jc w:val="left"/>
              <w:rPr>
                <w:rFonts w:cs="Arial"/>
                <w:bCs w:val="0"/>
                <w:szCs w:val="14"/>
              </w:rPr>
            </w:pPr>
            <w:r w:rsidRPr="00696049">
              <w:rPr>
                <w:szCs w:val="14"/>
              </w:rPr>
              <w:t>202</w:t>
            </w:r>
            <w:r>
              <w:rPr>
                <w:szCs w:val="14"/>
              </w:rPr>
              <w:t>2</w:t>
            </w:r>
          </w:p>
        </w:tc>
        <w:tc>
          <w:tcPr>
            <w:tcW w:w="2020" w:type="dxa"/>
            <w:tcBorders>
              <w:top w:val="single" w:sz="2" w:space="0" w:color="1F4E79" w:themeColor="accent1" w:themeShade="80"/>
              <w:bottom w:val="nil"/>
            </w:tcBorders>
            <w:shd w:val="clear" w:color="auto" w:fill="auto"/>
            <w:vAlign w:val="center"/>
          </w:tcPr>
          <w:p w14:paraId="43011E35" w14:textId="77777777" w:rsidR="005357C6" w:rsidRPr="00696049" w:rsidRDefault="005357C6" w:rsidP="008F4379">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Pr>
                <w:rFonts w:cs="Arial"/>
                <w:b/>
                <w:bCs/>
                <w:color w:val="000000"/>
                <w:sz w:val="14"/>
                <w:szCs w:val="14"/>
              </w:rPr>
              <w:t xml:space="preserve">                   3,313,310 </w:t>
            </w:r>
          </w:p>
        </w:tc>
        <w:tc>
          <w:tcPr>
            <w:tcW w:w="1753" w:type="dxa"/>
            <w:tcBorders>
              <w:top w:val="single" w:sz="2" w:space="0" w:color="1F4E79" w:themeColor="accent1" w:themeShade="80"/>
              <w:bottom w:val="nil"/>
            </w:tcBorders>
            <w:shd w:val="clear" w:color="auto" w:fill="auto"/>
            <w:vAlign w:val="center"/>
          </w:tcPr>
          <w:p w14:paraId="1CF0B9F0" w14:textId="77777777" w:rsidR="005357C6" w:rsidRPr="00696049" w:rsidRDefault="005357C6" w:rsidP="008F4379">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Pr>
                <w:rFonts w:cs="Arial"/>
                <w:b/>
                <w:bCs/>
                <w:color w:val="000000"/>
                <w:sz w:val="14"/>
                <w:szCs w:val="14"/>
              </w:rPr>
              <w:t xml:space="preserve">                       2,729,478 </w:t>
            </w:r>
          </w:p>
        </w:tc>
        <w:tc>
          <w:tcPr>
            <w:tcW w:w="1824" w:type="dxa"/>
            <w:tcBorders>
              <w:top w:val="single" w:sz="2" w:space="0" w:color="1F4E79" w:themeColor="accent1" w:themeShade="80"/>
              <w:bottom w:val="nil"/>
            </w:tcBorders>
            <w:shd w:val="clear" w:color="auto" w:fill="auto"/>
            <w:vAlign w:val="center"/>
          </w:tcPr>
          <w:p w14:paraId="5A19E821" w14:textId="77777777" w:rsidR="005357C6" w:rsidRPr="00696049" w:rsidRDefault="005357C6" w:rsidP="008F4379">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Pr>
                <w:rFonts w:cs="Arial"/>
                <w:b/>
                <w:bCs/>
                <w:color w:val="000000"/>
                <w:sz w:val="14"/>
                <w:szCs w:val="14"/>
              </w:rPr>
              <w:t xml:space="preserve">          6,042,788 </w:t>
            </w:r>
          </w:p>
        </w:tc>
      </w:tr>
      <w:tr w:rsidR="005357C6" w:rsidRPr="00CF5925" w14:paraId="7D8ED14C" w14:textId="77777777" w:rsidTr="00C07111">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bottom w:val="single" w:sz="2" w:space="0" w:color="1F4E79" w:themeColor="accent1" w:themeShade="80"/>
            </w:tcBorders>
            <w:shd w:val="clear" w:color="auto" w:fill="auto"/>
            <w:vAlign w:val="center"/>
          </w:tcPr>
          <w:p w14:paraId="0D306900" w14:textId="77777777" w:rsidR="005357C6" w:rsidRPr="00696049" w:rsidRDefault="005357C6" w:rsidP="008F4379">
            <w:pPr>
              <w:pStyle w:val="08-Tabelageral"/>
              <w:jc w:val="left"/>
              <w:rPr>
                <w:rFonts w:cs="Arial"/>
                <w:bCs w:val="0"/>
                <w:szCs w:val="14"/>
                <w:highlight w:val="yellow"/>
              </w:rPr>
            </w:pPr>
            <w:r>
              <w:rPr>
                <w:rFonts w:cs="Arial"/>
                <w:bCs w:val="0"/>
                <w:szCs w:val="14"/>
              </w:rPr>
              <w:t>2021</w:t>
            </w:r>
          </w:p>
        </w:tc>
        <w:tc>
          <w:tcPr>
            <w:tcW w:w="2020" w:type="dxa"/>
            <w:tcBorders>
              <w:top w:val="nil"/>
              <w:bottom w:val="single" w:sz="2" w:space="0" w:color="1F4E79" w:themeColor="accent1" w:themeShade="80"/>
            </w:tcBorders>
            <w:shd w:val="clear" w:color="auto" w:fill="auto"/>
            <w:vAlign w:val="center"/>
          </w:tcPr>
          <w:p w14:paraId="1538D0D6" w14:textId="77777777" w:rsidR="005357C6" w:rsidRPr="00696049" w:rsidRDefault="005357C6" w:rsidP="008F4379">
            <w:pPr>
              <w:pStyle w:val="08-Tabelageral"/>
              <w:cnfStyle w:val="000000010000" w:firstRow="0" w:lastRow="0" w:firstColumn="0" w:lastColumn="0" w:oddVBand="0" w:evenVBand="0" w:oddHBand="0" w:evenHBand="1" w:firstRowFirstColumn="0" w:firstRowLastColumn="0" w:lastRowFirstColumn="0" w:lastRowLastColumn="0"/>
              <w:rPr>
                <w:rFonts w:cs="Arial"/>
                <w:b/>
                <w:color w:val="FF0000"/>
                <w:szCs w:val="14"/>
              </w:rPr>
            </w:pPr>
            <w:r>
              <w:rPr>
                <w:rFonts w:cs="Arial"/>
                <w:b/>
                <w:bCs/>
                <w:color w:val="000000"/>
                <w:szCs w:val="14"/>
              </w:rPr>
              <w:t xml:space="preserve">1,761,554 </w:t>
            </w:r>
          </w:p>
        </w:tc>
        <w:tc>
          <w:tcPr>
            <w:tcW w:w="1753" w:type="dxa"/>
            <w:tcBorders>
              <w:top w:val="nil"/>
              <w:bottom w:val="single" w:sz="2" w:space="0" w:color="1F4E79" w:themeColor="accent1" w:themeShade="80"/>
            </w:tcBorders>
            <w:shd w:val="clear" w:color="auto" w:fill="auto"/>
            <w:vAlign w:val="center"/>
          </w:tcPr>
          <w:p w14:paraId="3FB05F2F" w14:textId="77777777" w:rsidR="005357C6" w:rsidRPr="00696049" w:rsidRDefault="005357C6" w:rsidP="008F4379">
            <w:pPr>
              <w:pStyle w:val="08-Tabelageral"/>
              <w:cnfStyle w:val="000000010000" w:firstRow="0" w:lastRow="0" w:firstColumn="0" w:lastColumn="0" w:oddVBand="0" w:evenVBand="0" w:oddHBand="0" w:evenHBand="1" w:firstRowFirstColumn="0" w:firstRowLastColumn="0" w:lastRowFirstColumn="0" w:lastRowLastColumn="0"/>
              <w:rPr>
                <w:rFonts w:cs="Arial"/>
                <w:b/>
                <w:color w:val="FF0000"/>
                <w:szCs w:val="14"/>
              </w:rPr>
            </w:pPr>
            <w:r>
              <w:rPr>
                <w:rFonts w:cs="Arial"/>
                <w:b/>
                <w:bCs/>
                <w:color w:val="000000"/>
                <w:szCs w:val="14"/>
              </w:rPr>
              <w:t xml:space="preserve">2,162,039 </w:t>
            </w:r>
          </w:p>
        </w:tc>
        <w:tc>
          <w:tcPr>
            <w:tcW w:w="1824" w:type="dxa"/>
            <w:tcBorders>
              <w:top w:val="nil"/>
              <w:bottom w:val="single" w:sz="2" w:space="0" w:color="1F4E79" w:themeColor="accent1" w:themeShade="80"/>
            </w:tcBorders>
            <w:shd w:val="clear" w:color="auto" w:fill="auto"/>
            <w:vAlign w:val="center"/>
          </w:tcPr>
          <w:p w14:paraId="6C4065D0" w14:textId="77777777" w:rsidR="005357C6" w:rsidRPr="00696049" w:rsidRDefault="005357C6" w:rsidP="008F4379">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rPr>
            </w:pPr>
            <w:r>
              <w:rPr>
                <w:rFonts w:cs="Arial"/>
                <w:b/>
                <w:bCs/>
                <w:color w:val="000000"/>
                <w:szCs w:val="14"/>
              </w:rPr>
              <w:t xml:space="preserve">3,923,593 </w:t>
            </w:r>
          </w:p>
        </w:tc>
      </w:tr>
    </w:tbl>
    <w:p w14:paraId="6B0050CF" w14:textId="77777777" w:rsidR="005357C6" w:rsidRPr="00E22381" w:rsidRDefault="005357C6" w:rsidP="00D372BE">
      <w:pPr>
        <w:pStyle w:val="01-TtulodeNota"/>
        <w:spacing w:before="0" w:after="0"/>
        <w:ind w:right="-31"/>
        <w:jc w:val="right"/>
        <w:rPr>
          <w:rFonts w:cs="Arial"/>
        </w:rPr>
      </w:pPr>
    </w:p>
    <w:p w14:paraId="06290D50" w14:textId="77777777" w:rsidR="005357C6" w:rsidRDefault="005357C6" w:rsidP="00D372BE">
      <w:pPr>
        <w:pStyle w:val="01-TtulodeNota"/>
        <w:keepNext/>
        <w:keepLines/>
        <w:spacing w:before="0" w:after="0"/>
        <w:jc w:val="right"/>
        <w:rPr>
          <w:rFonts w:cs="Arial"/>
          <w:sz w:val="14"/>
          <w:szCs w:val="14"/>
        </w:rPr>
      </w:pPr>
      <w:r w:rsidRPr="00FC6C4B">
        <w:rPr>
          <w:rFonts w:cs="Arial"/>
          <w:sz w:val="14"/>
          <w:szCs w:val="14"/>
        </w:rPr>
        <w:t xml:space="preserve">R$ </w:t>
      </w:r>
      <w:r>
        <w:rPr>
          <w:rFonts w:cs="Arial"/>
          <w:sz w:val="14"/>
          <w:szCs w:val="14"/>
        </w:rPr>
        <w:t>Thousand</w:t>
      </w:r>
    </w:p>
    <w:tbl>
      <w:tblPr>
        <w:tblStyle w:val="TabeladeLista6Colorida-nfase510"/>
        <w:tblW w:w="9639" w:type="dxa"/>
        <w:jc w:val="center"/>
        <w:tblInd w:w="0"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2896"/>
        <w:gridCol w:w="1129"/>
        <w:gridCol w:w="1128"/>
        <w:gridCol w:w="1067"/>
        <w:gridCol w:w="1128"/>
        <w:gridCol w:w="1128"/>
        <w:gridCol w:w="1132"/>
        <w:gridCol w:w="31"/>
      </w:tblGrid>
      <w:tr w:rsidR="005357C6" w:rsidRPr="000F5532" w14:paraId="0FACB2C2" w14:textId="77777777" w:rsidTr="007333CF">
        <w:trPr>
          <w:gridAfter w:val="1"/>
          <w:cnfStyle w:val="100000000000" w:firstRow="1" w:lastRow="0" w:firstColumn="0" w:lastColumn="0" w:oddVBand="0" w:evenVBand="0" w:oddHBand="0"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tcBorders>
              <w:top w:val="single" w:sz="2" w:space="0" w:color="1F4E79" w:themeColor="accent1" w:themeShade="80"/>
              <w:bottom w:val="nil"/>
            </w:tcBorders>
            <w:shd w:val="clear" w:color="auto" w:fill="auto"/>
            <w:vAlign w:val="center"/>
          </w:tcPr>
          <w:p w14:paraId="6FF07021" w14:textId="77777777" w:rsidR="005357C6" w:rsidRPr="00D511DC" w:rsidRDefault="005357C6" w:rsidP="007333CF">
            <w:pPr>
              <w:rPr>
                <w:rFonts w:cs="Arial"/>
                <w:color w:val="FF0000"/>
                <w:sz w:val="14"/>
                <w:szCs w:val="14"/>
              </w:rPr>
            </w:pPr>
          </w:p>
        </w:tc>
        <w:tc>
          <w:tcPr>
            <w:tcW w:w="6712" w:type="dxa"/>
            <w:gridSpan w:val="6"/>
            <w:tcBorders>
              <w:top w:val="single" w:sz="2" w:space="0" w:color="1F4E79" w:themeColor="accent1" w:themeShade="80"/>
              <w:bottom w:val="single" w:sz="2" w:space="0" w:color="1F4E79" w:themeColor="accent1" w:themeShade="80"/>
            </w:tcBorders>
            <w:shd w:val="clear" w:color="auto" w:fill="auto"/>
            <w:vAlign w:val="center"/>
          </w:tcPr>
          <w:p w14:paraId="760A996C" w14:textId="77777777" w:rsidR="005357C6" w:rsidRPr="00D511DC" w:rsidRDefault="005357C6" w:rsidP="007333CF">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D511DC">
              <w:rPr>
                <w:rFonts w:cs="Arial"/>
                <w:sz w:val="14"/>
                <w:szCs w:val="14"/>
              </w:rPr>
              <w:t>Consolidated</w:t>
            </w:r>
          </w:p>
        </w:tc>
      </w:tr>
      <w:tr w:rsidR="005357C6" w:rsidRPr="000F5532" w14:paraId="5099294F" w14:textId="77777777" w:rsidTr="007333CF">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tcBorders>
              <w:top w:val="nil"/>
              <w:bottom w:val="single" w:sz="2" w:space="0" w:color="1F4E79" w:themeColor="accent1" w:themeShade="80"/>
            </w:tcBorders>
            <w:shd w:val="clear" w:color="auto" w:fill="auto"/>
            <w:vAlign w:val="center"/>
          </w:tcPr>
          <w:p w14:paraId="6F526CF4" w14:textId="77777777" w:rsidR="005357C6" w:rsidRPr="00D511DC" w:rsidRDefault="005357C6" w:rsidP="007333CF">
            <w:pPr>
              <w:rPr>
                <w:rFonts w:cs="Arial"/>
                <w:color w:val="FF0000"/>
                <w:sz w:val="14"/>
                <w:szCs w:val="14"/>
              </w:rPr>
            </w:pPr>
            <w:r w:rsidRPr="00D511DC">
              <w:rPr>
                <w:rFonts w:cs="Arial"/>
                <w:color w:val="FF0000"/>
                <w:sz w:val="14"/>
                <w:szCs w:val="14"/>
              </w:rPr>
              <w:t xml:space="preserve"> </w:t>
            </w:r>
          </w:p>
        </w:tc>
        <w:tc>
          <w:tcPr>
            <w:tcW w:w="1129" w:type="dxa"/>
            <w:tcBorders>
              <w:top w:val="single" w:sz="2" w:space="0" w:color="1F4E79" w:themeColor="accent1" w:themeShade="80"/>
              <w:bottom w:val="single" w:sz="2" w:space="0" w:color="1F4E79" w:themeColor="accent1" w:themeShade="80"/>
            </w:tcBorders>
            <w:shd w:val="clear" w:color="auto" w:fill="auto"/>
            <w:vAlign w:val="center"/>
          </w:tcPr>
          <w:p w14:paraId="482ABA7C" w14:textId="77777777" w:rsidR="005357C6" w:rsidRPr="00D511DC" w:rsidRDefault="005357C6" w:rsidP="007333CF">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BB Mapfre</w:t>
            </w:r>
          </w:p>
        </w:tc>
        <w:tc>
          <w:tcPr>
            <w:tcW w:w="1128" w:type="dxa"/>
            <w:tcBorders>
              <w:top w:val="single" w:sz="2" w:space="0" w:color="1F4E79" w:themeColor="accent1" w:themeShade="80"/>
              <w:bottom w:val="single" w:sz="2" w:space="0" w:color="1F4E79" w:themeColor="accent1" w:themeShade="80"/>
            </w:tcBorders>
            <w:shd w:val="clear" w:color="auto" w:fill="auto"/>
            <w:vAlign w:val="center"/>
          </w:tcPr>
          <w:p w14:paraId="2A410BFA" w14:textId="77777777" w:rsidR="005357C6" w:rsidRPr="00D511DC" w:rsidRDefault="005357C6" w:rsidP="007333CF">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Brasilprev</w:t>
            </w:r>
          </w:p>
        </w:tc>
        <w:tc>
          <w:tcPr>
            <w:tcW w:w="1067" w:type="dxa"/>
            <w:tcBorders>
              <w:top w:val="single" w:sz="2" w:space="0" w:color="1F4E79" w:themeColor="accent1" w:themeShade="80"/>
              <w:bottom w:val="single" w:sz="2" w:space="0" w:color="1F4E79" w:themeColor="accent1" w:themeShade="80"/>
            </w:tcBorders>
            <w:shd w:val="clear" w:color="auto" w:fill="auto"/>
            <w:vAlign w:val="center"/>
          </w:tcPr>
          <w:p w14:paraId="1C754300" w14:textId="77777777" w:rsidR="005357C6" w:rsidRPr="00D511DC" w:rsidRDefault="005357C6" w:rsidP="007333CF">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Brasilcap</w:t>
            </w:r>
          </w:p>
        </w:tc>
        <w:tc>
          <w:tcPr>
            <w:tcW w:w="1128" w:type="dxa"/>
            <w:tcBorders>
              <w:top w:val="single" w:sz="2" w:space="0" w:color="1F4E79" w:themeColor="accent1" w:themeShade="80"/>
              <w:bottom w:val="single" w:sz="2" w:space="0" w:color="1F4E79" w:themeColor="accent1" w:themeShade="80"/>
            </w:tcBorders>
            <w:shd w:val="clear" w:color="auto" w:fill="auto"/>
            <w:vAlign w:val="center"/>
          </w:tcPr>
          <w:p w14:paraId="59980DEC" w14:textId="77777777" w:rsidR="005357C6" w:rsidRPr="00D511DC" w:rsidRDefault="005357C6" w:rsidP="007333CF">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Brasildental</w:t>
            </w:r>
          </w:p>
        </w:tc>
        <w:tc>
          <w:tcPr>
            <w:tcW w:w="1128" w:type="dxa"/>
            <w:tcBorders>
              <w:top w:val="single" w:sz="2" w:space="0" w:color="1F4E79" w:themeColor="accent1" w:themeShade="80"/>
              <w:bottom w:val="single" w:sz="2" w:space="0" w:color="1F4E79" w:themeColor="accent1" w:themeShade="80"/>
            </w:tcBorders>
            <w:shd w:val="clear" w:color="auto" w:fill="auto"/>
            <w:vAlign w:val="center"/>
          </w:tcPr>
          <w:p w14:paraId="395AF60B" w14:textId="77777777" w:rsidR="005357C6" w:rsidRPr="00D511DC" w:rsidRDefault="005357C6" w:rsidP="007333CF">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Ciclic</w:t>
            </w:r>
          </w:p>
        </w:tc>
        <w:tc>
          <w:tcPr>
            <w:tcW w:w="1132" w:type="dxa"/>
            <w:tcBorders>
              <w:top w:val="single" w:sz="2" w:space="0" w:color="1F4E79" w:themeColor="accent1" w:themeShade="80"/>
              <w:bottom w:val="single" w:sz="2" w:space="0" w:color="1F4E79" w:themeColor="accent1" w:themeShade="80"/>
            </w:tcBorders>
            <w:shd w:val="clear" w:color="auto" w:fill="auto"/>
            <w:vAlign w:val="center"/>
          </w:tcPr>
          <w:p w14:paraId="719DDFA1" w14:textId="77777777" w:rsidR="005357C6" w:rsidRPr="00D511DC" w:rsidRDefault="005357C6" w:rsidP="007333CF">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511DC">
              <w:rPr>
                <w:rFonts w:cs="Arial"/>
                <w:b/>
                <w:color w:val="auto"/>
                <w:sz w:val="14"/>
                <w:szCs w:val="14"/>
              </w:rPr>
              <w:t>Total</w:t>
            </w:r>
          </w:p>
        </w:tc>
      </w:tr>
      <w:tr w:rsidR="005357C6" w:rsidRPr="00FB2B7E" w14:paraId="65573B6C" w14:textId="77777777" w:rsidTr="007333CF">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tcBorders>
              <w:top w:val="single" w:sz="2" w:space="0" w:color="1F4E79" w:themeColor="accent1" w:themeShade="80"/>
            </w:tcBorders>
            <w:shd w:val="clear" w:color="auto" w:fill="auto"/>
            <w:vAlign w:val="center"/>
          </w:tcPr>
          <w:p w14:paraId="1ED2A56D" w14:textId="77777777" w:rsidR="005357C6" w:rsidRPr="00D511DC" w:rsidRDefault="005357C6" w:rsidP="00280634">
            <w:pPr>
              <w:rPr>
                <w:rFonts w:cs="Arial"/>
                <w:b w:val="0"/>
                <w:bCs w:val="0"/>
                <w:sz w:val="14"/>
                <w:szCs w:val="14"/>
              </w:rPr>
            </w:pPr>
            <w:r w:rsidRPr="00D511DC">
              <w:rPr>
                <w:rFonts w:cs="Arial"/>
                <w:sz w:val="14"/>
                <w:szCs w:val="14"/>
              </w:rPr>
              <w:t xml:space="preserve">Balance on </w:t>
            </w:r>
            <w:r>
              <w:rPr>
                <w:rFonts w:cs="Arial"/>
                <w:sz w:val="14"/>
                <w:szCs w:val="14"/>
              </w:rPr>
              <w:t xml:space="preserve">Dec 31, </w:t>
            </w:r>
            <w:r w:rsidRPr="00D511DC">
              <w:rPr>
                <w:rFonts w:cs="Arial"/>
                <w:sz w:val="14"/>
                <w:szCs w:val="14"/>
              </w:rPr>
              <w:t>202</w:t>
            </w:r>
            <w:r>
              <w:rPr>
                <w:rFonts w:cs="Arial"/>
                <w:sz w:val="14"/>
                <w:szCs w:val="14"/>
              </w:rPr>
              <w:t>2</w:t>
            </w:r>
          </w:p>
        </w:tc>
        <w:tc>
          <w:tcPr>
            <w:tcW w:w="1129" w:type="dxa"/>
            <w:tcBorders>
              <w:top w:val="single" w:sz="2" w:space="0" w:color="1F4E79" w:themeColor="accent1" w:themeShade="80"/>
            </w:tcBorders>
            <w:shd w:val="clear" w:color="auto" w:fill="auto"/>
            <w:vAlign w:val="center"/>
          </w:tcPr>
          <w:p w14:paraId="12210564" w14:textId="77777777" w:rsidR="005357C6" w:rsidRPr="00D511DC" w:rsidRDefault="005357C6" w:rsidP="007333CF">
            <w:pPr>
              <w:jc w:val="right"/>
              <w:cnfStyle w:val="000000010000" w:firstRow="0" w:lastRow="0" w:firstColumn="0" w:lastColumn="0" w:oddVBand="0" w:evenVBand="0" w:oddHBand="0" w:evenHBand="1" w:firstRowFirstColumn="0" w:firstRowLastColumn="0" w:lastRowFirstColumn="0" w:lastRowLastColumn="0"/>
              <w:rPr>
                <w:rFonts w:eastAsia="Times New Roman" w:cs="Arial"/>
                <w:sz w:val="14"/>
                <w:szCs w:val="14"/>
              </w:rPr>
            </w:pPr>
            <w:r w:rsidRPr="00D511DC">
              <w:rPr>
                <w:rFonts w:cs="Arial"/>
                <w:color w:val="000000"/>
                <w:sz w:val="14"/>
                <w:szCs w:val="14"/>
              </w:rPr>
              <w:t xml:space="preserve">              </w:t>
            </w:r>
          </w:p>
        </w:tc>
        <w:tc>
          <w:tcPr>
            <w:tcW w:w="1128" w:type="dxa"/>
            <w:tcBorders>
              <w:top w:val="single" w:sz="2" w:space="0" w:color="1F4E79" w:themeColor="accent1" w:themeShade="80"/>
            </w:tcBorders>
            <w:shd w:val="clear" w:color="auto" w:fill="auto"/>
            <w:vAlign w:val="center"/>
          </w:tcPr>
          <w:p w14:paraId="17D8890C" w14:textId="77777777" w:rsidR="005357C6" w:rsidRPr="00D511DC" w:rsidRDefault="005357C6" w:rsidP="007333CF">
            <w:pPr>
              <w:pStyle w:val="08-Tabelageral"/>
              <w:ind w:left="113"/>
              <w:cnfStyle w:val="000000010000" w:firstRow="0" w:lastRow="0" w:firstColumn="0" w:lastColumn="0" w:oddVBand="0" w:evenVBand="0" w:oddHBand="0" w:evenHBand="1" w:firstRowFirstColumn="0" w:firstRowLastColumn="0" w:lastRowFirstColumn="0" w:lastRowLastColumn="0"/>
              <w:rPr>
                <w:szCs w:val="14"/>
              </w:rPr>
            </w:pPr>
          </w:p>
        </w:tc>
        <w:tc>
          <w:tcPr>
            <w:tcW w:w="1067" w:type="dxa"/>
            <w:tcBorders>
              <w:top w:val="single" w:sz="2" w:space="0" w:color="1F4E79" w:themeColor="accent1" w:themeShade="80"/>
            </w:tcBorders>
            <w:shd w:val="clear" w:color="auto" w:fill="auto"/>
            <w:vAlign w:val="center"/>
          </w:tcPr>
          <w:p w14:paraId="690E6248" w14:textId="77777777" w:rsidR="005357C6" w:rsidRPr="00D511DC" w:rsidRDefault="005357C6" w:rsidP="007333CF">
            <w:pPr>
              <w:pStyle w:val="08-Tabelageral"/>
              <w:ind w:left="113"/>
              <w:cnfStyle w:val="000000010000" w:firstRow="0" w:lastRow="0" w:firstColumn="0" w:lastColumn="0" w:oddVBand="0" w:evenVBand="0" w:oddHBand="0" w:evenHBand="1" w:firstRowFirstColumn="0" w:firstRowLastColumn="0" w:lastRowFirstColumn="0" w:lastRowLastColumn="0"/>
              <w:rPr>
                <w:szCs w:val="14"/>
              </w:rPr>
            </w:pPr>
          </w:p>
        </w:tc>
        <w:tc>
          <w:tcPr>
            <w:tcW w:w="1128" w:type="dxa"/>
            <w:tcBorders>
              <w:top w:val="single" w:sz="2" w:space="0" w:color="1F4E79" w:themeColor="accent1" w:themeShade="80"/>
            </w:tcBorders>
            <w:shd w:val="clear" w:color="auto" w:fill="auto"/>
            <w:vAlign w:val="center"/>
          </w:tcPr>
          <w:p w14:paraId="67DD4496" w14:textId="77777777" w:rsidR="005357C6" w:rsidRPr="00D511DC" w:rsidRDefault="005357C6" w:rsidP="007333CF">
            <w:pPr>
              <w:pStyle w:val="08-Tabelageral"/>
              <w:ind w:left="113"/>
              <w:cnfStyle w:val="000000010000" w:firstRow="0" w:lastRow="0" w:firstColumn="0" w:lastColumn="0" w:oddVBand="0" w:evenVBand="0" w:oddHBand="0" w:evenHBand="1" w:firstRowFirstColumn="0" w:firstRowLastColumn="0" w:lastRowFirstColumn="0" w:lastRowLastColumn="0"/>
              <w:rPr>
                <w:szCs w:val="14"/>
              </w:rPr>
            </w:pPr>
          </w:p>
        </w:tc>
        <w:tc>
          <w:tcPr>
            <w:tcW w:w="1128" w:type="dxa"/>
            <w:tcBorders>
              <w:top w:val="single" w:sz="2" w:space="0" w:color="1F4E79" w:themeColor="accent1" w:themeShade="80"/>
            </w:tcBorders>
            <w:shd w:val="clear" w:color="auto" w:fill="auto"/>
            <w:vAlign w:val="center"/>
          </w:tcPr>
          <w:p w14:paraId="2E9D25EE" w14:textId="77777777" w:rsidR="005357C6" w:rsidRPr="00D511DC" w:rsidRDefault="005357C6" w:rsidP="007333CF">
            <w:pPr>
              <w:pStyle w:val="08-Tabelageral"/>
              <w:ind w:left="113"/>
              <w:cnfStyle w:val="000000010000" w:firstRow="0" w:lastRow="0" w:firstColumn="0" w:lastColumn="0" w:oddVBand="0" w:evenVBand="0" w:oddHBand="0" w:evenHBand="1" w:firstRowFirstColumn="0" w:firstRowLastColumn="0" w:lastRowFirstColumn="0" w:lastRowLastColumn="0"/>
              <w:rPr>
                <w:szCs w:val="14"/>
              </w:rPr>
            </w:pPr>
          </w:p>
        </w:tc>
        <w:tc>
          <w:tcPr>
            <w:tcW w:w="1132" w:type="dxa"/>
            <w:tcBorders>
              <w:top w:val="single" w:sz="2" w:space="0" w:color="1F4E79" w:themeColor="accent1" w:themeShade="80"/>
            </w:tcBorders>
            <w:shd w:val="clear" w:color="auto" w:fill="auto"/>
            <w:vAlign w:val="center"/>
          </w:tcPr>
          <w:p w14:paraId="5DC4E377" w14:textId="77777777" w:rsidR="005357C6" w:rsidRPr="00D511DC" w:rsidRDefault="005357C6" w:rsidP="007333CF">
            <w:pPr>
              <w:pStyle w:val="08-Tabelageral"/>
              <w:ind w:left="113"/>
              <w:cnfStyle w:val="000000010000" w:firstRow="0" w:lastRow="0" w:firstColumn="0" w:lastColumn="0" w:oddVBand="0" w:evenVBand="0" w:oddHBand="0" w:evenHBand="1" w:firstRowFirstColumn="0" w:firstRowLastColumn="0" w:lastRowFirstColumn="0" w:lastRowLastColumn="0"/>
              <w:rPr>
                <w:b/>
                <w:bCs/>
                <w:szCs w:val="14"/>
              </w:rPr>
            </w:pPr>
          </w:p>
        </w:tc>
      </w:tr>
      <w:tr w:rsidR="005357C6" w:rsidRPr="00FB2B7E" w14:paraId="3BA6BA20" w14:textId="77777777" w:rsidTr="007333CF">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5E8F8D5A" w14:textId="77777777" w:rsidR="005357C6" w:rsidRPr="00D511DC" w:rsidRDefault="005357C6" w:rsidP="00280634">
            <w:pPr>
              <w:rPr>
                <w:b w:val="0"/>
                <w:bCs w:val="0"/>
                <w:color w:val="auto"/>
                <w:sz w:val="14"/>
                <w:szCs w:val="14"/>
              </w:rPr>
            </w:pPr>
            <w:r w:rsidRPr="00D511DC">
              <w:rPr>
                <w:rFonts w:cs="Arial"/>
                <w:b w:val="0"/>
                <w:sz w:val="14"/>
                <w:szCs w:val="14"/>
              </w:rPr>
              <w:t>Capital</w:t>
            </w:r>
          </w:p>
        </w:tc>
        <w:tc>
          <w:tcPr>
            <w:tcW w:w="1129" w:type="dxa"/>
            <w:shd w:val="clear" w:color="auto" w:fill="auto"/>
            <w:vAlign w:val="center"/>
          </w:tcPr>
          <w:p w14:paraId="442E9DD9"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4"/>
                <w:szCs w:val="14"/>
              </w:rPr>
            </w:pPr>
            <w:r>
              <w:rPr>
                <w:rFonts w:cs="Arial"/>
                <w:color w:val="000000"/>
                <w:sz w:val="14"/>
                <w:szCs w:val="14"/>
              </w:rPr>
              <w:t>1,469,848</w:t>
            </w:r>
          </w:p>
        </w:tc>
        <w:tc>
          <w:tcPr>
            <w:tcW w:w="1128" w:type="dxa"/>
            <w:shd w:val="clear" w:color="auto" w:fill="auto"/>
            <w:vAlign w:val="center"/>
          </w:tcPr>
          <w:p w14:paraId="4B6A53BD"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3,529,257</w:t>
            </w:r>
          </w:p>
        </w:tc>
        <w:tc>
          <w:tcPr>
            <w:tcW w:w="1067" w:type="dxa"/>
            <w:shd w:val="clear" w:color="auto" w:fill="auto"/>
            <w:vAlign w:val="center"/>
          </w:tcPr>
          <w:p w14:paraId="491B658F"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354,398</w:t>
            </w:r>
          </w:p>
        </w:tc>
        <w:tc>
          <w:tcPr>
            <w:tcW w:w="1128" w:type="dxa"/>
            <w:shd w:val="clear" w:color="auto" w:fill="auto"/>
            <w:vAlign w:val="center"/>
          </w:tcPr>
          <w:p w14:paraId="3B13E801"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9,500</w:t>
            </w:r>
          </w:p>
        </w:tc>
        <w:tc>
          <w:tcPr>
            <w:tcW w:w="1128" w:type="dxa"/>
            <w:shd w:val="clear" w:color="auto" w:fill="auto"/>
            <w:vAlign w:val="center"/>
          </w:tcPr>
          <w:p w14:paraId="05B84C07"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61,133</w:t>
            </w:r>
          </w:p>
        </w:tc>
        <w:tc>
          <w:tcPr>
            <w:tcW w:w="1132" w:type="dxa"/>
            <w:shd w:val="clear" w:color="auto" w:fill="auto"/>
            <w:vAlign w:val="center"/>
          </w:tcPr>
          <w:p w14:paraId="0A495DF8" w14:textId="77777777" w:rsidR="005357C6" w:rsidRPr="00D511DC" w:rsidRDefault="005357C6" w:rsidP="00280634">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szCs w:val="14"/>
              </w:rPr>
            </w:pPr>
            <w:r>
              <w:rPr>
                <w:rFonts w:cs="Arial"/>
                <w:b/>
                <w:bCs/>
                <w:color w:val="000000"/>
                <w:szCs w:val="14"/>
              </w:rPr>
              <w:t>--</w:t>
            </w:r>
          </w:p>
        </w:tc>
      </w:tr>
      <w:tr w:rsidR="005357C6" w:rsidRPr="00FB2B7E" w14:paraId="6A23695E" w14:textId="77777777" w:rsidTr="007333CF">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063F3EF6" w14:textId="77777777" w:rsidR="005357C6" w:rsidRPr="00D511DC" w:rsidRDefault="005357C6" w:rsidP="00280634">
            <w:pPr>
              <w:rPr>
                <w:rFonts w:cs="Arial"/>
                <w:b w:val="0"/>
                <w:bCs w:val="0"/>
                <w:color w:val="auto"/>
                <w:sz w:val="14"/>
                <w:szCs w:val="14"/>
              </w:rPr>
            </w:pPr>
            <w:r w:rsidRPr="00D511DC">
              <w:rPr>
                <w:rFonts w:cs="Arial"/>
                <w:b w:val="0"/>
                <w:sz w:val="14"/>
                <w:szCs w:val="14"/>
              </w:rPr>
              <w:t xml:space="preserve">Stockholders' equity </w:t>
            </w:r>
          </w:p>
        </w:tc>
        <w:tc>
          <w:tcPr>
            <w:tcW w:w="1129" w:type="dxa"/>
            <w:shd w:val="clear" w:color="auto" w:fill="auto"/>
            <w:vAlign w:val="center"/>
          </w:tcPr>
          <w:p w14:paraId="435F14F8"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2,588,425</w:t>
            </w:r>
          </w:p>
        </w:tc>
        <w:tc>
          <w:tcPr>
            <w:tcW w:w="1128" w:type="dxa"/>
            <w:shd w:val="clear" w:color="auto" w:fill="auto"/>
            <w:vAlign w:val="center"/>
          </w:tcPr>
          <w:p w14:paraId="31B45160"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6,048,025</w:t>
            </w:r>
          </w:p>
        </w:tc>
        <w:tc>
          <w:tcPr>
            <w:tcW w:w="1067" w:type="dxa"/>
            <w:shd w:val="clear" w:color="auto" w:fill="auto"/>
            <w:vAlign w:val="center"/>
          </w:tcPr>
          <w:p w14:paraId="6DA29D33"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649,780</w:t>
            </w:r>
          </w:p>
        </w:tc>
        <w:tc>
          <w:tcPr>
            <w:tcW w:w="1128" w:type="dxa"/>
            <w:shd w:val="clear" w:color="auto" w:fill="auto"/>
            <w:vAlign w:val="center"/>
          </w:tcPr>
          <w:p w14:paraId="127598C1"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28,644</w:t>
            </w:r>
          </w:p>
        </w:tc>
        <w:tc>
          <w:tcPr>
            <w:tcW w:w="1128" w:type="dxa"/>
            <w:shd w:val="clear" w:color="auto" w:fill="auto"/>
            <w:vAlign w:val="center"/>
          </w:tcPr>
          <w:p w14:paraId="4471D4E4"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2,008</w:t>
            </w:r>
          </w:p>
        </w:tc>
        <w:tc>
          <w:tcPr>
            <w:tcW w:w="1132" w:type="dxa"/>
            <w:shd w:val="clear" w:color="auto" w:fill="auto"/>
            <w:vAlign w:val="center"/>
          </w:tcPr>
          <w:p w14:paraId="5E01122E" w14:textId="77777777" w:rsidR="005357C6" w:rsidRPr="00D511DC" w:rsidRDefault="005357C6" w:rsidP="00280634">
            <w:pPr>
              <w:pStyle w:val="08-Tabelageral"/>
              <w:ind w:left="113"/>
              <w:cnfStyle w:val="000000010000" w:firstRow="0" w:lastRow="0" w:firstColumn="0" w:lastColumn="0" w:oddVBand="0" w:evenVBand="0" w:oddHBand="0" w:evenHBand="1" w:firstRowFirstColumn="0" w:firstRowLastColumn="0" w:lastRowFirstColumn="0" w:lastRowLastColumn="0"/>
              <w:rPr>
                <w:b/>
                <w:bCs/>
                <w:color w:val="auto"/>
                <w:szCs w:val="14"/>
              </w:rPr>
            </w:pPr>
            <w:r>
              <w:rPr>
                <w:rFonts w:cs="Arial"/>
                <w:b/>
                <w:bCs/>
                <w:color w:val="000000"/>
                <w:szCs w:val="14"/>
              </w:rPr>
              <w:t>--</w:t>
            </w:r>
          </w:p>
        </w:tc>
      </w:tr>
      <w:tr w:rsidR="005357C6" w:rsidRPr="00B32376" w14:paraId="36CECB75" w14:textId="77777777" w:rsidTr="007333CF">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6B8E223F" w14:textId="77777777" w:rsidR="005357C6" w:rsidRPr="00D511DC" w:rsidRDefault="005357C6" w:rsidP="00D40012">
            <w:pPr>
              <w:pStyle w:val="08-Tabelageral"/>
              <w:jc w:val="left"/>
              <w:rPr>
                <w:rFonts w:cs="Arial"/>
                <w:b w:val="0"/>
                <w:szCs w:val="14"/>
              </w:rPr>
            </w:pPr>
            <w:r w:rsidRPr="00D511DC">
              <w:rPr>
                <w:rFonts w:cs="Arial"/>
                <w:szCs w:val="14"/>
              </w:rPr>
              <w:t xml:space="preserve">Balance on </w:t>
            </w:r>
            <w:r>
              <w:rPr>
                <w:rFonts w:cs="Arial"/>
                <w:szCs w:val="14"/>
              </w:rPr>
              <w:t xml:space="preserve">Dec </w:t>
            </w:r>
            <w:r w:rsidRPr="00D511DC">
              <w:rPr>
                <w:rFonts w:cs="Arial"/>
                <w:szCs w:val="14"/>
              </w:rPr>
              <w:t>31</w:t>
            </w:r>
            <w:r>
              <w:rPr>
                <w:rFonts w:cs="Arial"/>
                <w:szCs w:val="14"/>
              </w:rPr>
              <w:t xml:space="preserve">, </w:t>
            </w:r>
            <w:r w:rsidRPr="00D511DC">
              <w:rPr>
                <w:rFonts w:cs="Arial"/>
                <w:szCs w:val="14"/>
              </w:rPr>
              <w:t>202</w:t>
            </w:r>
            <w:r>
              <w:rPr>
                <w:rFonts w:cs="Arial"/>
                <w:szCs w:val="14"/>
              </w:rPr>
              <w:t>1</w:t>
            </w:r>
          </w:p>
        </w:tc>
        <w:tc>
          <w:tcPr>
            <w:tcW w:w="1129" w:type="dxa"/>
            <w:shd w:val="clear" w:color="auto" w:fill="auto"/>
            <w:vAlign w:val="center"/>
          </w:tcPr>
          <w:p w14:paraId="46C4C8B1"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28" w:type="dxa"/>
            <w:shd w:val="clear" w:color="auto" w:fill="auto"/>
            <w:vAlign w:val="center"/>
          </w:tcPr>
          <w:p w14:paraId="0654073F"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067" w:type="dxa"/>
            <w:shd w:val="clear" w:color="auto" w:fill="auto"/>
            <w:vAlign w:val="center"/>
          </w:tcPr>
          <w:p w14:paraId="60A6A04D"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28" w:type="dxa"/>
            <w:shd w:val="clear" w:color="auto" w:fill="auto"/>
            <w:vAlign w:val="center"/>
          </w:tcPr>
          <w:p w14:paraId="73608E73"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28" w:type="dxa"/>
            <w:shd w:val="clear" w:color="auto" w:fill="auto"/>
            <w:vAlign w:val="center"/>
          </w:tcPr>
          <w:p w14:paraId="5A45C1DE"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32" w:type="dxa"/>
            <w:shd w:val="clear" w:color="auto" w:fill="auto"/>
            <w:vAlign w:val="center"/>
          </w:tcPr>
          <w:p w14:paraId="412B57A9"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r>
      <w:tr w:rsidR="005357C6" w:rsidRPr="00B32376" w14:paraId="45C9353A" w14:textId="77777777" w:rsidTr="007333CF">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366011E9" w14:textId="77777777" w:rsidR="005357C6" w:rsidRPr="00D511DC" w:rsidRDefault="005357C6" w:rsidP="00EE2B07">
            <w:pPr>
              <w:pStyle w:val="08-Tabelageral"/>
              <w:jc w:val="left"/>
              <w:rPr>
                <w:rFonts w:cs="Arial"/>
                <w:b w:val="0"/>
                <w:szCs w:val="14"/>
              </w:rPr>
            </w:pPr>
            <w:r w:rsidRPr="00D511DC">
              <w:rPr>
                <w:rFonts w:cs="Arial"/>
                <w:b w:val="0"/>
                <w:szCs w:val="14"/>
              </w:rPr>
              <w:t>Capital</w:t>
            </w:r>
          </w:p>
        </w:tc>
        <w:tc>
          <w:tcPr>
            <w:tcW w:w="1129" w:type="dxa"/>
            <w:shd w:val="clear" w:color="auto" w:fill="auto"/>
            <w:vAlign w:val="center"/>
          </w:tcPr>
          <w:p w14:paraId="1E9BD949" w14:textId="77777777" w:rsidR="005357C6" w:rsidRPr="00D511DC" w:rsidRDefault="005357C6" w:rsidP="00EE2B07">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1,469,848</w:t>
            </w:r>
          </w:p>
        </w:tc>
        <w:tc>
          <w:tcPr>
            <w:tcW w:w="1128" w:type="dxa"/>
            <w:shd w:val="clear" w:color="auto" w:fill="auto"/>
            <w:vAlign w:val="center"/>
          </w:tcPr>
          <w:p w14:paraId="5BEB7D7D" w14:textId="77777777" w:rsidR="005357C6" w:rsidRPr="00D511DC" w:rsidRDefault="005357C6" w:rsidP="00EE2B07">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2,929,258</w:t>
            </w:r>
          </w:p>
        </w:tc>
        <w:tc>
          <w:tcPr>
            <w:tcW w:w="1067" w:type="dxa"/>
            <w:shd w:val="clear" w:color="auto" w:fill="auto"/>
            <w:vAlign w:val="center"/>
          </w:tcPr>
          <w:p w14:paraId="743A188C" w14:textId="77777777" w:rsidR="005357C6" w:rsidRPr="00D511DC" w:rsidRDefault="005357C6" w:rsidP="00EE2B07">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254,393</w:t>
            </w:r>
          </w:p>
        </w:tc>
        <w:tc>
          <w:tcPr>
            <w:tcW w:w="1128" w:type="dxa"/>
            <w:shd w:val="clear" w:color="auto" w:fill="auto"/>
            <w:vAlign w:val="center"/>
          </w:tcPr>
          <w:p w14:paraId="73CCA187" w14:textId="77777777" w:rsidR="005357C6" w:rsidRPr="00D511DC" w:rsidRDefault="005357C6" w:rsidP="00EE2B07">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9,500</w:t>
            </w:r>
          </w:p>
        </w:tc>
        <w:tc>
          <w:tcPr>
            <w:tcW w:w="1128" w:type="dxa"/>
            <w:shd w:val="clear" w:color="auto" w:fill="auto"/>
            <w:vAlign w:val="center"/>
          </w:tcPr>
          <w:p w14:paraId="0C5D9CD3" w14:textId="77777777" w:rsidR="005357C6" w:rsidRPr="00D511DC" w:rsidRDefault="005357C6" w:rsidP="00EE2B07">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Pr>
                <w:rFonts w:cs="Arial"/>
                <w:color w:val="000000"/>
                <w:sz w:val="14"/>
                <w:szCs w:val="14"/>
              </w:rPr>
              <w:t>61,133</w:t>
            </w:r>
          </w:p>
        </w:tc>
        <w:tc>
          <w:tcPr>
            <w:tcW w:w="1132" w:type="dxa"/>
            <w:shd w:val="clear" w:color="auto" w:fill="auto"/>
            <w:vAlign w:val="center"/>
          </w:tcPr>
          <w:p w14:paraId="7E5609F7" w14:textId="77777777" w:rsidR="005357C6" w:rsidRPr="00D511DC" w:rsidRDefault="005357C6" w:rsidP="00EE2B07">
            <w:pPr>
              <w:jc w:val="right"/>
              <w:cnfStyle w:val="000000010000" w:firstRow="0" w:lastRow="0" w:firstColumn="0" w:lastColumn="0" w:oddVBand="0" w:evenVBand="0" w:oddHBand="0" w:evenHBand="1" w:firstRowFirstColumn="0" w:firstRowLastColumn="0" w:lastRowFirstColumn="0" w:lastRowLastColumn="0"/>
              <w:rPr>
                <w:rFonts w:cs="Arial"/>
                <w:color w:val="auto"/>
                <w:sz w:val="14"/>
                <w:szCs w:val="14"/>
              </w:rPr>
            </w:pPr>
            <w:r w:rsidRPr="00F52A6C">
              <w:rPr>
                <w:rFonts w:cs="Arial"/>
                <w:b/>
                <w:bCs/>
                <w:color w:val="auto"/>
                <w:sz w:val="14"/>
                <w:szCs w:val="14"/>
              </w:rPr>
              <w:t>--</w:t>
            </w:r>
          </w:p>
        </w:tc>
      </w:tr>
      <w:tr w:rsidR="005357C6" w:rsidRPr="00B32376" w14:paraId="6BD235FA" w14:textId="77777777" w:rsidTr="007333CF">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530BCC82" w14:textId="77777777" w:rsidR="005357C6" w:rsidRPr="00D511DC" w:rsidRDefault="005357C6" w:rsidP="00EE2B07">
            <w:pPr>
              <w:pStyle w:val="08-Tabelageral"/>
              <w:jc w:val="left"/>
              <w:rPr>
                <w:rFonts w:cs="Arial"/>
                <w:b w:val="0"/>
                <w:szCs w:val="14"/>
              </w:rPr>
            </w:pPr>
            <w:r w:rsidRPr="00D511DC">
              <w:rPr>
                <w:rFonts w:cs="Arial"/>
                <w:b w:val="0"/>
                <w:szCs w:val="14"/>
              </w:rPr>
              <w:t xml:space="preserve">Stockholders' equity </w:t>
            </w:r>
          </w:p>
        </w:tc>
        <w:tc>
          <w:tcPr>
            <w:tcW w:w="1129" w:type="dxa"/>
            <w:shd w:val="clear" w:color="auto" w:fill="auto"/>
            <w:vAlign w:val="center"/>
          </w:tcPr>
          <w:p w14:paraId="06B17A49"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2,436,424</w:t>
            </w:r>
          </w:p>
        </w:tc>
        <w:tc>
          <w:tcPr>
            <w:tcW w:w="1128" w:type="dxa"/>
            <w:shd w:val="clear" w:color="auto" w:fill="auto"/>
            <w:vAlign w:val="center"/>
          </w:tcPr>
          <w:p w14:paraId="61ACFAF0"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5,833,438</w:t>
            </w:r>
          </w:p>
        </w:tc>
        <w:tc>
          <w:tcPr>
            <w:tcW w:w="1067" w:type="dxa"/>
            <w:shd w:val="clear" w:color="auto" w:fill="auto"/>
            <w:vAlign w:val="center"/>
          </w:tcPr>
          <w:p w14:paraId="4423C0C6"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474,965</w:t>
            </w:r>
          </w:p>
        </w:tc>
        <w:tc>
          <w:tcPr>
            <w:tcW w:w="1128" w:type="dxa"/>
            <w:shd w:val="clear" w:color="auto" w:fill="auto"/>
            <w:vAlign w:val="center"/>
          </w:tcPr>
          <w:p w14:paraId="2AA741E0"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21,451</w:t>
            </w:r>
          </w:p>
        </w:tc>
        <w:tc>
          <w:tcPr>
            <w:tcW w:w="1128" w:type="dxa"/>
            <w:shd w:val="clear" w:color="auto" w:fill="auto"/>
            <w:vAlign w:val="center"/>
          </w:tcPr>
          <w:p w14:paraId="6D96EEF6"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2,466</w:t>
            </w:r>
          </w:p>
        </w:tc>
        <w:tc>
          <w:tcPr>
            <w:tcW w:w="1132" w:type="dxa"/>
            <w:shd w:val="clear" w:color="auto" w:fill="auto"/>
            <w:vAlign w:val="center"/>
          </w:tcPr>
          <w:p w14:paraId="525A433C" w14:textId="77777777" w:rsidR="005357C6" w:rsidRPr="00D511DC" w:rsidRDefault="005357C6" w:rsidP="00EE2B07">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sidRPr="00F52A6C">
              <w:rPr>
                <w:rFonts w:cs="Arial"/>
                <w:b/>
                <w:bCs/>
                <w:color w:val="auto"/>
                <w:sz w:val="14"/>
                <w:szCs w:val="14"/>
              </w:rPr>
              <w:t>--</w:t>
            </w:r>
          </w:p>
        </w:tc>
      </w:tr>
      <w:tr w:rsidR="005357C6" w:rsidRPr="00B32376" w14:paraId="2ACD7C70" w14:textId="77777777" w:rsidTr="007333CF">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tcBorders>
              <w:bottom w:val="single" w:sz="2" w:space="0" w:color="1F4E79" w:themeColor="accent1" w:themeShade="80"/>
            </w:tcBorders>
            <w:shd w:val="clear" w:color="auto" w:fill="auto"/>
            <w:vAlign w:val="center"/>
          </w:tcPr>
          <w:p w14:paraId="7A6DA836" w14:textId="77777777" w:rsidR="005357C6" w:rsidRPr="00D511DC" w:rsidRDefault="005357C6" w:rsidP="007333CF">
            <w:pPr>
              <w:pStyle w:val="08-Tabelageral"/>
              <w:jc w:val="left"/>
              <w:rPr>
                <w:rFonts w:cs="Arial"/>
                <w:szCs w:val="14"/>
              </w:rPr>
            </w:pPr>
          </w:p>
        </w:tc>
        <w:tc>
          <w:tcPr>
            <w:tcW w:w="1129" w:type="dxa"/>
            <w:tcBorders>
              <w:bottom w:val="single" w:sz="2" w:space="0" w:color="1F4E79" w:themeColor="accent1" w:themeShade="80"/>
            </w:tcBorders>
            <w:shd w:val="clear" w:color="auto" w:fill="auto"/>
            <w:vAlign w:val="center"/>
          </w:tcPr>
          <w:p w14:paraId="5BDB0B23" w14:textId="77777777" w:rsidR="005357C6" w:rsidRPr="00D511DC" w:rsidRDefault="005357C6" w:rsidP="007333CF">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128" w:type="dxa"/>
            <w:tcBorders>
              <w:bottom w:val="single" w:sz="2" w:space="0" w:color="1F4E79" w:themeColor="accent1" w:themeShade="80"/>
            </w:tcBorders>
            <w:shd w:val="clear" w:color="auto" w:fill="auto"/>
            <w:vAlign w:val="center"/>
          </w:tcPr>
          <w:p w14:paraId="7D4730BA" w14:textId="77777777" w:rsidR="005357C6" w:rsidRPr="00D511DC" w:rsidRDefault="005357C6" w:rsidP="007333CF">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067" w:type="dxa"/>
            <w:tcBorders>
              <w:bottom w:val="single" w:sz="2" w:space="0" w:color="1F4E79" w:themeColor="accent1" w:themeShade="80"/>
            </w:tcBorders>
            <w:shd w:val="clear" w:color="auto" w:fill="auto"/>
            <w:vAlign w:val="center"/>
          </w:tcPr>
          <w:p w14:paraId="2F2548CE" w14:textId="77777777" w:rsidR="005357C6" w:rsidRPr="00D511DC" w:rsidRDefault="005357C6" w:rsidP="007333CF">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128" w:type="dxa"/>
            <w:tcBorders>
              <w:bottom w:val="single" w:sz="2" w:space="0" w:color="1F4E79" w:themeColor="accent1" w:themeShade="80"/>
            </w:tcBorders>
            <w:shd w:val="clear" w:color="auto" w:fill="auto"/>
            <w:vAlign w:val="center"/>
          </w:tcPr>
          <w:p w14:paraId="4466DCC7" w14:textId="77777777" w:rsidR="005357C6" w:rsidRPr="00D511DC" w:rsidRDefault="005357C6" w:rsidP="007333CF">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128" w:type="dxa"/>
            <w:tcBorders>
              <w:bottom w:val="single" w:sz="2" w:space="0" w:color="1F4E79" w:themeColor="accent1" w:themeShade="80"/>
            </w:tcBorders>
            <w:shd w:val="clear" w:color="auto" w:fill="auto"/>
            <w:vAlign w:val="center"/>
          </w:tcPr>
          <w:p w14:paraId="3930A53F" w14:textId="77777777" w:rsidR="005357C6" w:rsidRPr="00D511DC" w:rsidRDefault="005357C6" w:rsidP="007333CF">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132" w:type="dxa"/>
            <w:tcBorders>
              <w:bottom w:val="single" w:sz="2" w:space="0" w:color="1F4E79" w:themeColor="accent1" w:themeShade="80"/>
            </w:tcBorders>
            <w:shd w:val="clear" w:color="auto" w:fill="auto"/>
            <w:vAlign w:val="center"/>
          </w:tcPr>
          <w:p w14:paraId="1A402B65" w14:textId="77777777" w:rsidR="005357C6" w:rsidRPr="00D511DC" w:rsidRDefault="005357C6" w:rsidP="007333CF">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r>
      <w:tr w:rsidR="005357C6" w:rsidRPr="00FE3061" w14:paraId="0615811D" w14:textId="77777777" w:rsidTr="007333CF">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tcBorders>
              <w:top w:val="single" w:sz="2" w:space="0" w:color="1F4E79" w:themeColor="accent1" w:themeShade="80"/>
              <w:bottom w:val="single" w:sz="2" w:space="0" w:color="1F4E79" w:themeColor="accent1" w:themeShade="80"/>
            </w:tcBorders>
            <w:shd w:val="clear" w:color="auto" w:fill="auto"/>
            <w:vAlign w:val="center"/>
          </w:tcPr>
          <w:p w14:paraId="282B97C0" w14:textId="77777777" w:rsidR="005357C6" w:rsidRPr="00D511DC" w:rsidRDefault="005357C6" w:rsidP="007333CF">
            <w:pPr>
              <w:pStyle w:val="08-Tabelageral"/>
              <w:jc w:val="left"/>
              <w:rPr>
                <w:rFonts w:cs="Arial"/>
                <w:bCs w:val="0"/>
                <w:szCs w:val="14"/>
              </w:rPr>
            </w:pPr>
          </w:p>
        </w:tc>
        <w:tc>
          <w:tcPr>
            <w:tcW w:w="6712" w:type="dxa"/>
            <w:gridSpan w:val="6"/>
            <w:tcBorders>
              <w:top w:val="single" w:sz="2" w:space="0" w:color="1F4E79" w:themeColor="accent1" w:themeShade="80"/>
              <w:bottom w:val="single" w:sz="2" w:space="0" w:color="1F4E79" w:themeColor="accent1" w:themeShade="80"/>
            </w:tcBorders>
            <w:shd w:val="clear" w:color="auto" w:fill="auto"/>
            <w:vAlign w:val="center"/>
          </w:tcPr>
          <w:p w14:paraId="2B696A08" w14:textId="77777777" w:rsidR="005357C6" w:rsidRPr="00D511DC" w:rsidRDefault="005357C6" w:rsidP="00280634">
            <w:pPr>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val="en-US" w:eastAsia="pt-BR"/>
              </w:rPr>
            </w:pPr>
            <w:r w:rsidRPr="00D511DC">
              <w:rPr>
                <w:rFonts w:cs="Arial"/>
                <w:b/>
                <w:sz w:val="14"/>
                <w:szCs w:val="14"/>
                <w:lang w:val="en-US"/>
              </w:rPr>
              <w:t xml:space="preserve">Moviments </w:t>
            </w:r>
            <w:r>
              <w:rPr>
                <w:rFonts w:cs="Arial"/>
                <w:b/>
                <w:sz w:val="14"/>
                <w:szCs w:val="14"/>
                <w:lang w:val="en-US"/>
              </w:rPr>
              <w:t>in 01.01 to 12.31.2022</w:t>
            </w:r>
          </w:p>
        </w:tc>
      </w:tr>
      <w:tr w:rsidR="005357C6" w:rsidRPr="00B32376" w14:paraId="5448999F" w14:textId="77777777" w:rsidTr="007333CF">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tcBorders>
              <w:top w:val="single" w:sz="2" w:space="0" w:color="1F4E79" w:themeColor="accent1" w:themeShade="80"/>
            </w:tcBorders>
            <w:shd w:val="clear" w:color="auto" w:fill="auto"/>
            <w:vAlign w:val="center"/>
          </w:tcPr>
          <w:p w14:paraId="0206DE9A" w14:textId="77777777" w:rsidR="005357C6" w:rsidRPr="00D511DC" w:rsidRDefault="005357C6" w:rsidP="00280634">
            <w:pPr>
              <w:pStyle w:val="08-Tabelageral"/>
              <w:jc w:val="left"/>
              <w:rPr>
                <w:color w:val="FF0000"/>
                <w:szCs w:val="14"/>
              </w:rPr>
            </w:pPr>
            <w:r w:rsidRPr="00D511DC">
              <w:rPr>
                <w:rFonts w:cs="Arial"/>
                <w:szCs w:val="14"/>
              </w:rPr>
              <w:t xml:space="preserve">Book Balance on </w:t>
            </w:r>
            <w:r>
              <w:rPr>
                <w:rFonts w:cs="Arial"/>
                <w:szCs w:val="14"/>
              </w:rPr>
              <w:t xml:space="preserve">Dec </w:t>
            </w:r>
            <w:r w:rsidRPr="00D511DC">
              <w:rPr>
                <w:rFonts w:cs="Arial"/>
                <w:szCs w:val="14"/>
              </w:rPr>
              <w:t>31</w:t>
            </w:r>
            <w:r>
              <w:rPr>
                <w:rFonts w:cs="Arial"/>
                <w:szCs w:val="14"/>
              </w:rPr>
              <w:t xml:space="preserve">, </w:t>
            </w:r>
            <w:r w:rsidRPr="00D511DC">
              <w:rPr>
                <w:rFonts w:cs="Arial"/>
                <w:szCs w:val="14"/>
              </w:rPr>
              <w:t>202</w:t>
            </w:r>
            <w:r>
              <w:rPr>
                <w:rFonts w:cs="Arial"/>
                <w:szCs w:val="14"/>
              </w:rPr>
              <w:t>1</w:t>
            </w:r>
          </w:p>
        </w:tc>
        <w:tc>
          <w:tcPr>
            <w:tcW w:w="1129" w:type="dxa"/>
            <w:tcBorders>
              <w:top w:val="single" w:sz="2" w:space="0" w:color="1F4E79" w:themeColor="accent1" w:themeShade="80"/>
            </w:tcBorders>
            <w:shd w:val="clear" w:color="auto" w:fill="auto"/>
            <w:vAlign w:val="center"/>
          </w:tcPr>
          <w:p w14:paraId="5C965BBD"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sidRPr="00622C16">
              <w:rPr>
                <w:rFonts w:cs="Arial"/>
                <w:b/>
                <w:bCs/>
                <w:color w:val="auto"/>
                <w:sz w:val="14"/>
                <w:szCs w:val="14"/>
              </w:rPr>
              <w:t>2</w:t>
            </w:r>
            <w:r>
              <w:rPr>
                <w:rFonts w:cs="Arial"/>
                <w:b/>
                <w:bCs/>
                <w:color w:val="auto"/>
                <w:sz w:val="14"/>
                <w:szCs w:val="14"/>
              </w:rPr>
              <w:t>,</w:t>
            </w:r>
            <w:r w:rsidRPr="00622C16">
              <w:rPr>
                <w:rFonts w:cs="Arial"/>
                <w:b/>
                <w:bCs/>
                <w:color w:val="auto"/>
                <w:sz w:val="14"/>
                <w:szCs w:val="14"/>
              </w:rPr>
              <w:t>337</w:t>
            </w:r>
            <w:r>
              <w:rPr>
                <w:rFonts w:cs="Arial"/>
                <w:b/>
                <w:bCs/>
                <w:color w:val="auto"/>
                <w:sz w:val="14"/>
                <w:szCs w:val="14"/>
              </w:rPr>
              <w:t>,</w:t>
            </w:r>
            <w:r w:rsidRPr="00622C16">
              <w:rPr>
                <w:rFonts w:cs="Arial"/>
                <w:b/>
                <w:bCs/>
                <w:color w:val="auto"/>
                <w:sz w:val="14"/>
                <w:szCs w:val="14"/>
              </w:rPr>
              <w:t>086</w:t>
            </w:r>
          </w:p>
        </w:tc>
        <w:tc>
          <w:tcPr>
            <w:tcW w:w="1128" w:type="dxa"/>
            <w:tcBorders>
              <w:top w:val="single" w:sz="2" w:space="0" w:color="1F4E79" w:themeColor="accent1" w:themeShade="80"/>
            </w:tcBorders>
            <w:shd w:val="clear" w:color="auto" w:fill="auto"/>
            <w:vAlign w:val="center"/>
          </w:tcPr>
          <w:p w14:paraId="0F4A386F"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sidRPr="00622C16">
              <w:rPr>
                <w:rFonts w:cs="Arial"/>
                <w:b/>
                <w:bCs/>
                <w:color w:val="auto"/>
                <w:sz w:val="14"/>
                <w:szCs w:val="14"/>
              </w:rPr>
              <w:t>4</w:t>
            </w:r>
            <w:r>
              <w:rPr>
                <w:rFonts w:cs="Arial"/>
                <w:b/>
                <w:bCs/>
                <w:color w:val="auto"/>
                <w:sz w:val="14"/>
                <w:szCs w:val="14"/>
              </w:rPr>
              <w:t>,</w:t>
            </w:r>
            <w:r w:rsidRPr="00622C16">
              <w:rPr>
                <w:rFonts w:cs="Arial"/>
                <w:b/>
                <w:bCs/>
                <w:color w:val="auto"/>
                <w:sz w:val="14"/>
                <w:szCs w:val="14"/>
              </w:rPr>
              <w:t>354</w:t>
            </w:r>
            <w:r>
              <w:rPr>
                <w:rFonts w:cs="Arial"/>
                <w:b/>
                <w:bCs/>
                <w:color w:val="auto"/>
                <w:sz w:val="14"/>
                <w:szCs w:val="14"/>
              </w:rPr>
              <w:t>,</w:t>
            </w:r>
            <w:r w:rsidRPr="00622C16">
              <w:rPr>
                <w:rFonts w:cs="Arial"/>
                <w:b/>
                <w:bCs/>
                <w:color w:val="auto"/>
                <w:sz w:val="14"/>
                <w:szCs w:val="14"/>
              </w:rPr>
              <w:t>377</w:t>
            </w:r>
          </w:p>
        </w:tc>
        <w:tc>
          <w:tcPr>
            <w:tcW w:w="1067" w:type="dxa"/>
            <w:tcBorders>
              <w:top w:val="single" w:sz="2" w:space="0" w:color="1F4E79" w:themeColor="accent1" w:themeShade="80"/>
            </w:tcBorders>
            <w:shd w:val="clear" w:color="auto" w:fill="auto"/>
            <w:vAlign w:val="center"/>
          </w:tcPr>
          <w:p w14:paraId="2D63AB7B"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sidRPr="00622C16">
              <w:rPr>
                <w:rFonts w:cs="Arial"/>
                <w:b/>
                <w:bCs/>
                <w:color w:val="auto"/>
                <w:sz w:val="14"/>
                <w:szCs w:val="14"/>
              </w:rPr>
              <w:t>427</w:t>
            </w:r>
            <w:r>
              <w:rPr>
                <w:rFonts w:cs="Arial"/>
                <w:b/>
                <w:bCs/>
                <w:color w:val="auto"/>
                <w:sz w:val="14"/>
                <w:szCs w:val="14"/>
              </w:rPr>
              <w:t>,</w:t>
            </w:r>
            <w:r w:rsidRPr="00622C16">
              <w:rPr>
                <w:rFonts w:cs="Arial"/>
                <w:b/>
                <w:bCs/>
                <w:color w:val="auto"/>
                <w:sz w:val="14"/>
                <w:szCs w:val="14"/>
              </w:rPr>
              <w:t>840</w:t>
            </w:r>
          </w:p>
        </w:tc>
        <w:tc>
          <w:tcPr>
            <w:tcW w:w="1128" w:type="dxa"/>
            <w:tcBorders>
              <w:top w:val="single" w:sz="2" w:space="0" w:color="1F4E79" w:themeColor="accent1" w:themeShade="80"/>
            </w:tcBorders>
            <w:shd w:val="clear" w:color="auto" w:fill="auto"/>
            <w:vAlign w:val="center"/>
          </w:tcPr>
          <w:p w14:paraId="63B64727"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sidRPr="00622C16">
              <w:rPr>
                <w:rFonts w:cs="Arial"/>
                <w:b/>
                <w:bCs/>
                <w:color w:val="auto"/>
                <w:sz w:val="14"/>
                <w:szCs w:val="14"/>
              </w:rPr>
              <w:t>16</w:t>
            </w:r>
            <w:r>
              <w:rPr>
                <w:rFonts w:cs="Arial"/>
                <w:b/>
                <w:bCs/>
                <w:color w:val="auto"/>
                <w:sz w:val="14"/>
                <w:szCs w:val="14"/>
              </w:rPr>
              <w:t>,</w:t>
            </w:r>
            <w:r w:rsidRPr="00622C16">
              <w:rPr>
                <w:rFonts w:cs="Arial"/>
                <w:b/>
                <w:bCs/>
                <w:color w:val="auto"/>
                <w:sz w:val="14"/>
                <w:szCs w:val="14"/>
              </w:rPr>
              <w:t>088</w:t>
            </w:r>
          </w:p>
        </w:tc>
        <w:tc>
          <w:tcPr>
            <w:tcW w:w="1128" w:type="dxa"/>
            <w:tcBorders>
              <w:top w:val="single" w:sz="2" w:space="0" w:color="1F4E79" w:themeColor="accent1" w:themeShade="80"/>
            </w:tcBorders>
            <w:shd w:val="clear" w:color="auto" w:fill="auto"/>
            <w:vAlign w:val="center"/>
          </w:tcPr>
          <w:p w14:paraId="62D48938"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sidRPr="00622C16">
              <w:rPr>
                <w:rFonts w:cs="Arial"/>
                <w:b/>
                <w:color w:val="auto"/>
                <w:sz w:val="14"/>
                <w:szCs w:val="14"/>
              </w:rPr>
              <w:t>1</w:t>
            </w:r>
            <w:r>
              <w:rPr>
                <w:rFonts w:cs="Arial"/>
                <w:b/>
                <w:color w:val="auto"/>
                <w:sz w:val="14"/>
                <w:szCs w:val="14"/>
              </w:rPr>
              <w:t>,</w:t>
            </w:r>
            <w:r w:rsidRPr="00622C16">
              <w:rPr>
                <w:rFonts w:cs="Arial"/>
                <w:b/>
                <w:color w:val="auto"/>
                <w:sz w:val="14"/>
                <w:szCs w:val="14"/>
              </w:rPr>
              <w:t>850</w:t>
            </w:r>
          </w:p>
        </w:tc>
        <w:tc>
          <w:tcPr>
            <w:tcW w:w="1132" w:type="dxa"/>
            <w:tcBorders>
              <w:top w:val="single" w:sz="2" w:space="0" w:color="1F4E79" w:themeColor="accent1" w:themeShade="80"/>
            </w:tcBorders>
            <w:shd w:val="clear" w:color="auto" w:fill="auto"/>
            <w:vAlign w:val="center"/>
          </w:tcPr>
          <w:p w14:paraId="0EA11252"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sidRPr="00622C16">
              <w:rPr>
                <w:rFonts w:cs="Arial"/>
                <w:b/>
                <w:bCs/>
                <w:color w:val="auto"/>
                <w:sz w:val="14"/>
                <w:szCs w:val="14"/>
              </w:rPr>
              <w:t>7</w:t>
            </w:r>
            <w:r>
              <w:rPr>
                <w:rFonts w:cs="Arial"/>
                <w:b/>
                <w:bCs/>
                <w:color w:val="auto"/>
                <w:sz w:val="14"/>
                <w:szCs w:val="14"/>
              </w:rPr>
              <w:t>,</w:t>
            </w:r>
            <w:r w:rsidRPr="00622C16">
              <w:rPr>
                <w:rFonts w:cs="Arial"/>
                <w:b/>
                <w:bCs/>
                <w:color w:val="auto"/>
                <w:sz w:val="14"/>
                <w:szCs w:val="14"/>
              </w:rPr>
              <w:t>137</w:t>
            </w:r>
            <w:r>
              <w:rPr>
                <w:rFonts w:cs="Arial"/>
                <w:b/>
                <w:bCs/>
                <w:color w:val="auto"/>
                <w:sz w:val="14"/>
                <w:szCs w:val="14"/>
              </w:rPr>
              <w:t>,</w:t>
            </w:r>
            <w:r w:rsidRPr="00622C16">
              <w:rPr>
                <w:rFonts w:cs="Arial"/>
                <w:b/>
                <w:bCs/>
                <w:color w:val="auto"/>
                <w:sz w:val="14"/>
                <w:szCs w:val="14"/>
              </w:rPr>
              <w:t>241</w:t>
            </w:r>
          </w:p>
        </w:tc>
      </w:tr>
      <w:tr w:rsidR="005357C6" w:rsidRPr="00FB2B7E" w14:paraId="2DF6A982" w14:textId="77777777" w:rsidTr="007333CF">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003A4DB2" w14:textId="77777777" w:rsidR="005357C6" w:rsidRPr="00D511DC" w:rsidRDefault="005357C6" w:rsidP="00280634">
            <w:pPr>
              <w:rPr>
                <w:b w:val="0"/>
                <w:color w:val="FF0000"/>
                <w:sz w:val="14"/>
                <w:szCs w:val="14"/>
              </w:rPr>
            </w:pPr>
            <w:r w:rsidRPr="00D511DC">
              <w:rPr>
                <w:rFonts w:cs="Arial"/>
                <w:b w:val="0"/>
                <w:sz w:val="14"/>
                <w:szCs w:val="14"/>
              </w:rPr>
              <w:t>Dividends</w:t>
            </w:r>
          </w:p>
        </w:tc>
        <w:tc>
          <w:tcPr>
            <w:tcW w:w="1129" w:type="dxa"/>
            <w:shd w:val="clear" w:color="auto" w:fill="auto"/>
            <w:vAlign w:val="center"/>
          </w:tcPr>
          <w:p w14:paraId="57C34C7A"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4"/>
                <w:szCs w:val="14"/>
              </w:rPr>
            </w:pPr>
            <w:r>
              <w:rPr>
                <w:rFonts w:cs="Arial"/>
                <w:color w:val="000000"/>
                <w:sz w:val="14"/>
                <w:szCs w:val="14"/>
              </w:rPr>
              <w:t>(1,986,848)</w:t>
            </w:r>
          </w:p>
        </w:tc>
        <w:tc>
          <w:tcPr>
            <w:tcW w:w="1128" w:type="dxa"/>
            <w:shd w:val="clear" w:color="auto" w:fill="auto"/>
            <w:vAlign w:val="center"/>
          </w:tcPr>
          <w:p w14:paraId="7A59C19B" w14:textId="77777777" w:rsidR="005357C6" w:rsidRPr="00D511DC" w:rsidRDefault="005357C6" w:rsidP="00280634">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cs="Arial"/>
                <w:color w:val="000000"/>
                <w:szCs w:val="14"/>
              </w:rPr>
              <w:t>(955,094)</w:t>
            </w:r>
          </w:p>
        </w:tc>
        <w:tc>
          <w:tcPr>
            <w:tcW w:w="1067" w:type="dxa"/>
            <w:shd w:val="clear" w:color="auto" w:fill="auto"/>
            <w:vAlign w:val="center"/>
          </w:tcPr>
          <w:p w14:paraId="60654501" w14:textId="77777777" w:rsidR="005357C6" w:rsidRPr="00D511DC" w:rsidRDefault="005357C6" w:rsidP="00280634">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cs="Arial"/>
                <w:color w:val="000000"/>
                <w:szCs w:val="14"/>
              </w:rPr>
              <w:t>(38,796)</w:t>
            </w:r>
          </w:p>
        </w:tc>
        <w:tc>
          <w:tcPr>
            <w:tcW w:w="1128" w:type="dxa"/>
            <w:shd w:val="clear" w:color="auto" w:fill="auto"/>
            <w:vAlign w:val="center"/>
          </w:tcPr>
          <w:p w14:paraId="28150E35" w14:textId="77777777" w:rsidR="005357C6" w:rsidRPr="00D511DC" w:rsidRDefault="005357C6" w:rsidP="00280634">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cs="Arial"/>
                <w:color w:val="000000"/>
                <w:szCs w:val="14"/>
              </w:rPr>
              <w:t>(15,507)</w:t>
            </w:r>
          </w:p>
        </w:tc>
        <w:tc>
          <w:tcPr>
            <w:tcW w:w="1128" w:type="dxa"/>
            <w:shd w:val="clear" w:color="auto" w:fill="auto"/>
            <w:vAlign w:val="center"/>
          </w:tcPr>
          <w:p w14:paraId="4ACECEBC" w14:textId="77777777" w:rsidR="005357C6" w:rsidRPr="00D511DC" w:rsidRDefault="005357C6" w:rsidP="00280634">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cs="Arial"/>
                <w:color w:val="000000"/>
                <w:szCs w:val="14"/>
              </w:rPr>
              <w:t>--</w:t>
            </w:r>
          </w:p>
        </w:tc>
        <w:tc>
          <w:tcPr>
            <w:tcW w:w="1132" w:type="dxa"/>
            <w:shd w:val="clear" w:color="auto" w:fill="auto"/>
            <w:vAlign w:val="center"/>
          </w:tcPr>
          <w:p w14:paraId="7ADDE712" w14:textId="77777777" w:rsidR="005357C6" w:rsidRPr="00D511DC" w:rsidRDefault="005357C6" w:rsidP="00280634">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000000"/>
                <w:szCs w:val="14"/>
              </w:rPr>
              <w:t>(2,996,245)</w:t>
            </w:r>
          </w:p>
        </w:tc>
      </w:tr>
      <w:tr w:rsidR="005357C6" w:rsidRPr="00FB2B7E" w14:paraId="460FBCFD" w14:textId="77777777" w:rsidTr="007333CF">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6AD19F64" w14:textId="77777777" w:rsidR="005357C6" w:rsidRPr="00D511DC" w:rsidRDefault="005357C6" w:rsidP="00280634">
            <w:pPr>
              <w:pStyle w:val="08-Tabelageral"/>
              <w:jc w:val="left"/>
              <w:rPr>
                <w:b w:val="0"/>
                <w:color w:val="FF0000"/>
                <w:szCs w:val="14"/>
              </w:rPr>
            </w:pPr>
            <w:r w:rsidRPr="00D511DC">
              <w:rPr>
                <w:rFonts w:cs="Arial"/>
                <w:b w:val="0"/>
                <w:bCs w:val="0"/>
                <w:szCs w:val="14"/>
              </w:rPr>
              <w:t>Equity valuation adjustments</w:t>
            </w:r>
          </w:p>
        </w:tc>
        <w:tc>
          <w:tcPr>
            <w:tcW w:w="1129" w:type="dxa"/>
            <w:shd w:val="clear" w:color="auto" w:fill="auto"/>
            <w:vAlign w:val="center"/>
          </w:tcPr>
          <w:p w14:paraId="06DC9DE4"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4"/>
                <w:szCs w:val="14"/>
              </w:rPr>
            </w:pPr>
            <w:r>
              <w:rPr>
                <w:rFonts w:cs="Arial"/>
                <w:color w:val="000000"/>
                <w:sz w:val="14"/>
                <w:szCs w:val="14"/>
              </w:rPr>
              <w:t>4,556</w:t>
            </w:r>
          </w:p>
        </w:tc>
        <w:tc>
          <w:tcPr>
            <w:tcW w:w="1128" w:type="dxa"/>
            <w:shd w:val="clear" w:color="auto" w:fill="auto"/>
            <w:vAlign w:val="center"/>
          </w:tcPr>
          <w:p w14:paraId="58A1F04B"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(3,183)</w:t>
            </w:r>
          </w:p>
        </w:tc>
        <w:tc>
          <w:tcPr>
            <w:tcW w:w="1067" w:type="dxa"/>
            <w:shd w:val="clear" w:color="auto" w:fill="auto"/>
            <w:vAlign w:val="center"/>
          </w:tcPr>
          <w:p w14:paraId="578C5D7D"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9,715</w:t>
            </w:r>
          </w:p>
        </w:tc>
        <w:tc>
          <w:tcPr>
            <w:tcW w:w="1128" w:type="dxa"/>
            <w:shd w:val="clear" w:color="auto" w:fill="auto"/>
            <w:vAlign w:val="center"/>
          </w:tcPr>
          <w:p w14:paraId="3EEB61FF" w14:textId="77777777" w:rsidR="005357C6" w:rsidRPr="00D511DC" w:rsidRDefault="005357C6" w:rsidP="00280634">
            <w:pPr>
              <w:pStyle w:val="08-Tabelageral"/>
              <w:ind w:left="113"/>
              <w:cnfStyle w:val="000000010000" w:firstRow="0" w:lastRow="0" w:firstColumn="0" w:lastColumn="0" w:oddVBand="0" w:evenVBand="0" w:oddHBand="0" w:evenHBand="1" w:firstRowFirstColumn="0" w:firstRowLastColumn="0" w:lastRowFirstColumn="0" w:lastRowLastColumn="0"/>
              <w:rPr>
                <w:color w:val="auto"/>
                <w:szCs w:val="14"/>
              </w:rPr>
            </w:pPr>
            <w:r>
              <w:rPr>
                <w:rFonts w:cs="Arial"/>
                <w:color w:val="000000"/>
                <w:szCs w:val="14"/>
              </w:rPr>
              <w:t>--</w:t>
            </w:r>
          </w:p>
        </w:tc>
        <w:tc>
          <w:tcPr>
            <w:tcW w:w="1128" w:type="dxa"/>
            <w:shd w:val="clear" w:color="auto" w:fill="auto"/>
            <w:vAlign w:val="center"/>
          </w:tcPr>
          <w:p w14:paraId="671B4874" w14:textId="77777777" w:rsidR="005357C6" w:rsidRPr="00D511DC" w:rsidRDefault="005357C6" w:rsidP="00280634">
            <w:pPr>
              <w:pStyle w:val="08-Tabelageral"/>
              <w:ind w:left="113"/>
              <w:cnfStyle w:val="000000010000" w:firstRow="0" w:lastRow="0" w:firstColumn="0" w:lastColumn="0" w:oddVBand="0" w:evenVBand="0" w:oddHBand="0" w:evenHBand="1" w:firstRowFirstColumn="0" w:firstRowLastColumn="0" w:lastRowFirstColumn="0" w:lastRowLastColumn="0"/>
              <w:rPr>
                <w:color w:val="auto"/>
                <w:szCs w:val="14"/>
              </w:rPr>
            </w:pPr>
            <w:r>
              <w:rPr>
                <w:rFonts w:cs="Arial"/>
                <w:color w:val="000000"/>
                <w:szCs w:val="14"/>
              </w:rPr>
              <w:t>329</w:t>
            </w:r>
          </w:p>
        </w:tc>
        <w:tc>
          <w:tcPr>
            <w:tcW w:w="1132" w:type="dxa"/>
            <w:shd w:val="clear" w:color="auto" w:fill="auto"/>
            <w:vAlign w:val="center"/>
          </w:tcPr>
          <w:p w14:paraId="1CB77BA9"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Pr>
                <w:rFonts w:cs="Arial"/>
                <w:color w:val="000000"/>
                <w:sz w:val="14"/>
                <w:szCs w:val="14"/>
              </w:rPr>
              <w:t>11,417</w:t>
            </w:r>
          </w:p>
        </w:tc>
      </w:tr>
      <w:tr w:rsidR="005357C6" w:rsidRPr="00FB2B7E" w14:paraId="05609478" w14:textId="77777777" w:rsidTr="007333CF">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64D21165" w14:textId="77777777" w:rsidR="005357C6" w:rsidRPr="00D511DC" w:rsidRDefault="005357C6" w:rsidP="00280634">
            <w:pPr>
              <w:rPr>
                <w:rFonts w:cs="Arial"/>
                <w:b w:val="0"/>
                <w:sz w:val="14"/>
                <w:szCs w:val="14"/>
              </w:rPr>
            </w:pPr>
            <w:r w:rsidRPr="00280634">
              <w:rPr>
                <w:rFonts w:cs="Arial"/>
                <w:b w:val="0"/>
                <w:sz w:val="14"/>
                <w:szCs w:val="14"/>
              </w:rPr>
              <w:t xml:space="preserve">Other events </w:t>
            </w:r>
          </w:p>
        </w:tc>
        <w:tc>
          <w:tcPr>
            <w:tcW w:w="1129" w:type="dxa"/>
            <w:shd w:val="clear" w:color="auto" w:fill="auto"/>
            <w:vAlign w:val="center"/>
          </w:tcPr>
          <w:p w14:paraId="69F24793" w14:textId="77777777" w:rsidR="005357C6" w:rsidRDefault="005357C6" w:rsidP="00280634">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Pr>
                <w:rFonts w:cs="Arial"/>
                <w:color w:val="000000"/>
                <w:sz w:val="14"/>
                <w:szCs w:val="14"/>
              </w:rPr>
              <w:t>--</w:t>
            </w:r>
          </w:p>
        </w:tc>
        <w:tc>
          <w:tcPr>
            <w:tcW w:w="1128" w:type="dxa"/>
            <w:shd w:val="clear" w:color="auto" w:fill="auto"/>
            <w:vAlign w:val="center"/>
          </w:tcPr>
          <w:p w14:paraId="0EB0C439" w14:textId="77777777" w:rsidR="005357C6" w:rsidRDefault="005357C6" w:rsidP="00280634">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Pr>
                <w:rFonts w:cs="Arial"/>
                <w:color w:val="000000"/>
                <w:sz w:val="14"/>
                <w:szCs w:val="14"/>
              </w:rPr>
              <w:t>--</w:t>
            </w:r>
          </w:p>
        </w:tc>
        <w:tc>
          <w:tcPr>
            <w:tcW w:w="1067" w:type="dxa"/>
            <w:shd w:val="clear" w:color="auto" w:fill="auto"/>
            <w:vAlign w:val="center"/>
          </w:tcPr>
          <w:p w14:paraId="2E646ED0" w14:textId="77777777" w:rsidR="005357C6" w:rsidRDefault="005357C6" w:rsidP="00280634">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Pr>
                <w:rFonts w:cs="Arial"/>
                <w:color w:val="000000"/>
                <w:sz w:val="14"/>
                <w:szCs w:val="14"/>
              </w:rPr>
              <w:t>632</w:t>
            </w:r>
          </w:p>
        </w:tc>
        <w:tc>
          <w:tcPr>
            <w:tcW w:w="1128" w:type="dxa"/>
            <w:shd w:val="clear" w:color="auto" w:fill="auto"/>
            <w:vAlign w:val="center"/>
          </w:tcPr>
          <w:p w14:paraId="5DFBEC90" w14:textId="77777777" w:rsidR="005357C6" w:rsidRDefault="005357C6" w:rsidP="00280634">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Pr>
                <w:rFonts w:cs="Arial"/>
                <w:color w:val="000000"/>
                <w:szCs w:val="14"/>
              </w:rPr>
              <w:t>--</w:t>
            </w:r>
          </w:p>
        </w:tc>
        <w:tc>
          <w:tcPr>
            <w:tcW w:w="1128" w:type="dxa"/>
            <w:shd w:val="clear" w:color="auto" w:fill="auto"/>
            <w:vAlign w:val="center"/>
          </w:tcPr>
          <w:p w14:paraId="24AF49B3" w14:textId="77777777" w:rsidR="005357C6" w:rsidRDefault="005357C6" w:rsidP="00280634">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Pr>
                <w:rFonts w:cs="Arial"/>
                <w:color w:val="000000"/>
                <w:szCs w:val="14"/>
              </w:rPr>
              <w:t>--</w:t>
            </w:r>
          </w:p>
        </w:tc>
        <w:tc>
          <w:tcPr>
            <w:tcW w:w="1132" w:type="dxa"/>
            <w:shd w:val="clear" w:color="auto" w:fill="auto"/>
            <w:vAlign w:val="center"/>
          </w:tcPr>
          <w:p w14:paraId="73AB1564" w14:textId="77777777" w:rsidR="005357C6" w:rsidRDefault="005357C6" w:rsidP="00280634">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Pr>
                <w:rFonts w:cs="Arial"/>
                <w:b/>
                <w:bCs/>
                <w:color w:val="000000"/>
                <w:sz w:val="14"/>
                <w:szCs w:val="14"/>
              </w:rPr>
              <w:t>632</w:t>
            </w:r>
          </w:p>
        </w:tc>
      </w:tr>
      <w:tr w:rsidR="005357C6" w:rsidRPr="00FB2B7E" w14:paraId="1B6AE4BB" w14:textId="77777777" w:rsidTr="007333CF">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652C6BE0" w14:textId="77777777" w:rsidR="005357C6" w:rsidRPr="00D511DC" w:rsidRDefault="005357C6" w:rsidP="00280634">
            <w:pPr>
              <w:rPr>
                <w:b w:val="0"/>
                <w:color w:val="FF0000"/>
                <w:sz w:val="14"/>
                <w:szCs w:val="14"/>
              </w:rPr>
            </w:pPr>
            <w:r w:rsidRPr="00D511DC">
              <w:rPr>
                <w:rFonts w:cs="Arial"/>
                <w:b w:val="0"/>
                <w:sz w:val="14"/>
                <w:szCs w:val="14"/>
              </w:rPr>
              <w:t>Share of profit</w:t>
            </w:r>
          </w:p>
        </w:tc>
        <w:tc>
          <w:tcPr>
            <w:tcW w:w="1129" w:type="dxa"/>
            <w:shd w:val="clear" w:color="auto" w:fill="auto"/>
            <w:vAlign w:val="center"/>
          </w:tcPr>
          <w:p w14:paraId="743357A0"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4"/>
                <w:szCs w:val="14"/>
              </w:rPr>
            </w:pPr>
            <w:r>
              <w:rPr>
                <w:rFonts w:cs="Arial"/>
                <w:color w:val="000000"/>
                <w:sz w:val="14"/>
                <w:szCs w:val="14"/>
              </w:rPr>
              <w:t>2,081,551</w:t>
            </w:r>
          </w:p>
        </w:tc>
        <w:tc>
          <w:tcPr>
            <w:tcW w:w="1128" w:type="dxa"/>
            <w:shd w:val="clear" w:color="auto" w:fill="auto"/>
            <w:vAlign w:val="center"/>
          </w:tcPr>
          <w:p w14:paraId="70B57A80"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1,116,786</w:t>
            </w:r>
          </w:p>
        </w:tc>
        <w:tc>
          <w:tcPr>
            <w:tcW w:w="1067" w:type="dxa"/>
            <w:shd w:val="clear" w:color="auto" w:fill="auto"/>
            <w:vAlign w:val="center"/>
          </w:tcPr>
          <w:p w14:paraId="7D29778F"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145,199</w:t>
            </w:r>
          </w:p>
        </w:tc>
        <w:tc>
          <w:tcPr>
            <w:tcW w:w="1128" w:type="dxa"/>
            <w:shd w:val="clear" w:color="auto" w:fill="auto"/>
            <w:vAlign w:val="center"/>
          </w:tcPr>
          <w:p w14:paraId="3ADC9AEA"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20,902</w:t>
            </w:r>
          </w:p>
        </w:tc>
        <w:tc>
          <w:tcPr>
            <w:tcW w:w="1128" w:type="dxa"/>
            <w:shd w:val="clear" w:color="auto" w:fill="auto"/>
            <w:vAlign w:val="center"/>
          </w:tcPr>
          <w:p w14:paraId="3C2FE77D"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color w:val="auto"/>
                <w:sz w:val="14"/>
                <w:szCs w:val="14"/>
              </w:rPr>
            </w:pPr>
            <w:r>
              <w:rPr>
                <w:rFonts w:cs="Arial"/>
                <w:color w:val="000000"/>
                <w:sz w:val="14"/>
                <w:szCs w:val="14"/>
              </w:rPr>
              <w:t>(673)</w:t>
            </w:r>
          </w:p>
        </w:tc>
        <w:tc>
          <w:tcPr>
            <w:tcW w:w="1132" w:type="dxa"/>
            <w:shd w:val="clear" w:color="auto" w:fill="auto"/>
            <w:vAlign w:val="center"/>
          </w:tcPr>
          <w:p w14:paraId="14D07024" w14:textId="77777777" w:rsidR="005357C6" w:rsidRPr="00D511DC"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auto"/>
                <w:sz w:val="14"/>
                <w:szCs w:val="14"/>
              </w:rPr>
            </w:pPr>
            <w:r>
              <w:rPr>
                <w:rFonts w:cs="Arial"/>
                <w:b/>
                <w:bCs/>
                <w:color w:val="000000"/>
                <w:sz w:val="14"/>
                <w:szCs w:val="14"/>
              </w:rPr>
              <w:t>3,363,765</w:t>
            </w:r>
          </w:p>
        </w:tc>
      </w:tr>
      <w:tr w:rsidR="005357C6" w:rsidRPr="00FE64D2" w14:paraId="41A07C9F" w14:textId="77777777" w:rsidTr="007333CF">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6ED590A1" w14:textId="77777777" w:rsidR="005357C6" w:rsidRPr="00D511DC" w:rsidRDefault="005357C6" w:rsidP="00280634">
            <w:pPr>
              <w:pStyle w:val="08-Tabelageral"/>
              <w:jc w:val="left"/>
              <w:rPr>
                <w:bCs w:val="0"/>
                <w:color w:val="FF0000"/>
                <w:szCs w:val="14"/>
              </w:rPr>
            </w:pPr>
            <w:r w:rsidRPr="00D511DC">
              <w:rPr>
                <w:rFonts w:cs="Arial"/>
                <w:szCs w:val="14"/>
              </w:rPr>
              <w:t xml:space="preserve">Book Balance on </w:t>
            </w:r>
            <w:r>
              <w:rPr>
                <w:rFonts w:cs="Arial"/>
                <w:szCs w:val="14"/>
              </w:rPr>
              <w:t xml:space="preserve">Dec </w:t>
            </w:r>
            <w:r w:rsidRPr="00D511DC">
              <w:rPr>
                <w:rFonts w:cs="Arial"/>
                <w:szCs w:val="14"/>
              </w:rPr>
              <w:t>3</w:t>
            </w:r>
            <w:r>
              <w:rPr>
                <w:rFonts w:cs="Arial"/>
                <w:szCs w:val="14"/>
              </w:rPr>
              <w:t>1,</w:t>
            </w:r>
            <w:r w:rsidRPr="00D511DC">
              <w:rPr>
                <w:rFonts w:cs="Arial"/>
                <w:szCs w:val="14"/>
              </w:rPr>
              <w:t>202</w:t>
            </w:r>
            <w:r>
              <w:rPr>
                <w:rFonts w:cs="Arial"/>
                <w:szCs w:val="14"/>
              </w:rPr>
              <w:t>2</w:t>
            </w:r>
          </w:p>
        </w:tc>
        <w:tc>
          <w:tcPr>
            <w:tcW w:w="1129" w:type="dxa"/>
            <w:shd w:val="clear" w:color="auto" w:fill="auto"/>
            <w:vAlign w:val="center"/>
          </w:tcPr>
          <w:p w14:paraId="121A6142"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 w:val="14"/>
                <w:szCs w:val="14"/>
              </w:rPr>
            </w:pPr>
            <w:r>
              <w:rPr>
                <w:rFonts w:cs="Arial"/>
                <w:b/>
                <w:bCs/>
                <w:color w:val="000000"/>
                <w:sz w:val="14"/>
                <w:szCs w:val="14"/>
              </w:rPr>
              <w:t>2,436,345</w:t>
            </w:r>
          </w:p>
        </w:tc>
        <w:tc>
          <w:tcPr>
            <w:tcW w:w="1128" w:type="dxa"/>
            <w:shd w:val="clear" w:color="auto" w:fill="auto"/>
            <w:vAlign w:val="center"/>
          </w:tcPr>
          <w:p w14:paraId="1911E2B1"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4,512,886</w:t>
            </w:r>
          </w:p>
        </w:tc>
        <w:tc>
          <w:tcPr>
            <w:tcW w:w="1067" w:type="dxa"/>
            <w:shd w:val="clear" w:color="auto" w:fill="auto"/>
            <w:vAlign w:val="center"/>
          </w:tcPr>
          <w:p w14:paraId="5E325F3D"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544,590</w:t>
            </w:r>
          </w:p>
        </w:tc>
        <w:tc>
          <w:tcPr>
            <w:tcW w:w="1128" w:type="dxa"/>
            <w:shd w:val="clear" w:color="auto" w:fill="auto"/>
            <w:vAlign w:val="center"/>
          </w:tcPr>
          <w:p w14:paraId="4D7C972D"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21,483</w:t>
            </w:r>
          </w:p>
        </w:tc>
        <w:tc>
          <w:tcPr>
            <w:tcW w:w="1128" w:type="dxa"/>
            <w:shd w:val="clear" w:color="auto" w:fill="auto"/>
            <w:vAlign w:val="center"/>
          </w:tcPr>
          <w:p w14:paraId="3FC08864"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1,506</w:t>
            </w:r>
          </w:p>
        </w:tc>
        <w:tc>
          <w:tcPr>
            <w:tcW w:w="1132" w:type="dxa"/>
            <w:shd w:val="clear" w:color="auto" w:fill="auto"/>
            <w:vAlign w:val="center"/>
          </w:tcPr>
          <w:p w14:paraId="583D4582" w14:textId="77777777" w:rsidR="005357C6" w:rsidRPr="00D511DC" w:rsidRDefault="005357C6" w:rsidP="00280634">
            <w:pPr>
              <w:jc w:val="right"/>
              <w:cnfStyle w:val="000000100000" w:firstRow="0" w:lastRow="0" w:firstColumn="0" w:lastColumn="0" w:oddVBand="0" w:evenVBand="0" w:oddHBand="1" w:evenHBand="0" w:firstRowFirstColumn="0" w:firstRowLastColumn="0" w:lastRowFirstColumn="0" w:lastRowLastColumn="0"/>
              <w:rPr>
                <w:rFonts w:cs="Arial"/>
                <w:b/>
                <w:color w:val="auto"/>
                <w:sz w:val="14"/>
                <w:szCs w:val="14"/>
              </w:rPr>
            </w:pPr>
            <w:r>
              <w:rPr>
                <w:rFonts w:cs="Arial"/>
                <w:b/>
                <w:bCs/>
                <w:color w:val="000000"/>
                <w:sz w:val="14"/>
                <w:szCs w:val="14"/>
              </w:rPr>
              <w:t>7,516,810</w:t>
            </w:r>
          </w:p>
        </w:tc>
      </w:tr>
      <w:tr w:rsidR="005357C6" w:rsidRPr="00FB2B7E" w14:paraId="40CD55A2" w14:textId="77777777" w:rsidTr="007333CF">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44D9A4EC" w14:textId="77777777" w:rsidR="005357C6" w:rsidRPr="00D511DC" w:rsidRDefault="005357C6" w:rsidP="007333CF">
            <w:pPr>
              <w:pStyle w:val="08-Tabelageral"/>
              <w:jc w:val="left"/>
              <w:rPr>
                <w:szCs w:val="14"/>
              </w:rPr>
            </w:pPr>
          </w:p>
        </w:tc>
        <w:tc>
          <w:tcPr>
            <w:tcW w:w="1129" w:type="dxa"/>
            <w:shd w:val="clear" w:color="auto" w:fill="auto"/>
            <w:vAlign w:val="center"/>
          </w:tcPr>
          <w:p w14:paraId="6C98BE4F" w14:textId="77777777" w:rsidR="005357C6" w:rsidRPr="00D511DC" w:rsidRDefault="005357C6" w:rsidP="007333CF">
            <w:pPr>
              <w:jc w:val="right"/>
              <w:cnfStyle w:val="000000010000" w:firstRow="0" w:lastRow="0" w:firstColumn="0" w:lastColumn="0" w:oddVBand="0" w:evenVBand="0" w:oddHBand="0" w:evenHBand="1" w:firstRowFirstColumn="0" w:firstRowLastColumn="0" w:lastRowFirstColumn="0" w:lastRowLastColumn="0"/>
              <w:rPr>
                <w:rFonts w:eastAsia="Times New Roman" w:cs="Arial"/>
                <w:b/>
                <w:bCs/>
                <w:sz w:val="14"/>
                <w:szCs w:val="14"/>
              </w:rPr>
            </w:pPr>
          </w:p>
        </w:tc>
        <w:tc>
          <w:tcPr>
            <w:tcW w:w="1128" w:type="dxa"/>
            <w:shd w:val="clear" w:color="auto" w:fill="auto"/>
            <w:vAlign w:val="center"/>
          </w:tcPr>
          <w:p w14:paraId="3AC9CEF7" w14:textId="77777777" w:rsidR="005357C6" w:rsidRPr="00D511DC" w:rsidRDefault="005357C6" w:rsidP="007333CF">
            <w:pPr>
              <w:pStyle w:val="08-Tabelageral"/>
              <w:cnfStyle w:val="000000010000" w:firstRow="0" w:lastRow="0" w:firstColumn="0" w:lastColumn="0" w:oddVBand="0" w:evenVBand="0" w:oddHBand="0" w:evenHBand="1" w:firstRowFirstColumn="0" w:firstRowLastColumn="0" w:lastRowFirstColumn="0" w:lastRowLastColumn="0"/>
              <w:rPr>
                <w:b/>
                <w:bCs/>
                <w:szCs w:val="14"/>
              </w:rPr>
            </w:pPr>
          </w:p>
        </w:tc>
        <w:tc>
          <w:tcPr>
            <w:tcW w:w="1067" w:type="dxa"/>
            <w:shd w:val="clear" w:color="auto" w:fill="auto"/>
            <w:vAlign w:val="center"/>
          </w:tcPr>
          <w:p w14:paraId="6B15B3B8" w14:textId="77777777" w:rsidR="005357C6" w:rsidRPr="00D511DC" w:rsidRDefault="005357C6" w:rsidP="007333CF">
            <w:pPr>
              <w:pStyle w:val="08-Tabelageral"/>
              <w:cnfStyle w:val="000000010000" w:firstRow="0" w:lastRow="0" w:firstColumn="0" w:lastColumn="0" w:oddVBand="0" w:evenVBand="0" w:oddHBand="0" w:evenHBand="1" w:firstRowFirstColumn="0" w:firstRowLastColumn="0" w:lastRowFirstColumn="0" w:lastRowLastColumn="0"/>
              <w:rPr>
                <w:b/>
                <w:bCs/>
                <w:szCs w:val="14"/>
              </w:rPr>
            </w:pPr>
          </w:p>
        </w:tc>
        <w:tc>
          <w:tcPr>
            <w:tcW w:w="1128" w:type="dxa"/>
            <w:shd w:val="clear" w:color="auto" w:fill="auto"/>
            <w:vAlign w:val="center"/>
          </w:tcPr>
          <w:p w14:paraId="3A9C7974" w14:textId="77777777" w:rsidR="005357C6" w:rsidRPr="00D511DC" w:rsidRDefault="005357C6" w:rsidP="007333CF">
            <w:pPr>
              <w:pStyle w:val="08-Tabelageral"/>
              <w:cnfStyle w:val="000000010000" w:firstRow="0" w:lastRow="0" w:firstColumn="0" w:lastColumn="0" w:oddVBand="0" w:evenVBand="0" w:oddHBand="0" w:evenHBand="1" w:firstRowFirstColumn="0" w:firstRowLastColumn="0" w:lastRowFirstColumn="0" w:lastRowLastColumn="0"/>
              <w:rPr>
                <w:b/>
                <w:bCs/>
                <w:szCs w:val="14"/>
              </w:rPr>
            </w:pPr>
          </w:p>
        </w:tc>
        <w:tc>
          <w:tcPr>
            <w:tcW w:w="1128" w:type="dxa"/>
            <w:shd w:val="clear" w:color="auto" w:fill="auto"/>
            <w:vAlign w:val="center"/>
          </w:tcPr>
          <w:p w14:paraId="1FEC284A" w14:textId="77777777" w:rsidR="005357C6" w:rsidRPr="00D511DC" w:rsidRDefault="005357C6" w:rsidP="007333CF">
            <w:pPr>
              <w:pStyle w:val="08-Tabelageral"/>
              <w:cnfStyle w:val="000000010000" w:firstRow="0" w:lastRow="0" w:firstColumn="0" w:lastColumn="0" w:oddVBand="0" w:evenVBand="0" w:oddHBand="0" w:evenHBand="1" w:firstRowFirstColumn="0" w:firstRowLastColumn="0" w:lastRowFirstColumn="0" w:lastRowLastColumn="0"/>
              <w:rPr>
                <w:b/>
                <w:bCs/>
                <w:szCs w:val="14"/>
              </w:rPr>
            </w:pPr>
          </w:p>
        </w:tc>
        <w:tc>
          <w:tcPr>
            <w:tcW w:w="1132" w:type="dxa"/>
            <w:shd w:val="clear" w:color="auto" w:fill="auto"/>
            <w:vAlign w:val="center"/>
          </w:tcPr>
          <w:p w14:paraId="41D26DDC" w14:textId="77777777" w:rsidR="005357C6" w:rsidRPr="00D511DC" w:rsidRDefault="005357C6" w:rsidP="007333CF">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rPr>
            </w:pPr>
          </w:p>
        </w:tc>
      </w:tr>
      <w:tr w:rsidR="005357C6" w:rsidRPr="000B2A0A" w14:paraId="5BDBB1D0" w14:textId="77777777" w:rsidTr="007333C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8"/>
            <w:tcBorders>
              <w:top w:val="single" w:sz="2" w:space="0" w:color="1F4E79" w:themeColor="accent1" w:themeShade="80"/>
              <w:bottom w:val="single" w:sz="2" w:space="0" w:color="1F4E79" w:themeColor="accent1" w:themeShade="80"/>
            </w:tcBorders>
            <w:shd w:val="clear" w:color="auto" w:fill="auto"/>
            <w:vAlign w:val="center"/>
          </w:tcPr>
          <w:p w14:paraId="205AF0FC" w14:textId="77777777" w:rsidR="005357C6" w:rsidRPr="00D511DC" w:rsidRDefault="005357C6" w:rsidP="007333CF">
            <w:pPr>
              <w:pStyle w:val="08-Tabelageral"/>
              <w:jc w:val="center"/>
              <w:rPr>
                <w:b w:val="0"/>
                <w:bCs w:val="0"/>
                <w:szCs w:val="14"/>
              </w:rPr>
            </w:pPr>
            <w:r w:rsidRPr="00D511DC">
              <w:rPr>
                <w:rFonts w:cs="Arial"/>
                <w:szCs w:val="14"/>
              </w:rPr>
              <w:t>Share of Profit</w:t>
            </w:r>
          </w:p>
        </w:tc>
      </w:tr>
      <w:tr w:rsidR="005357C6" w:rsidRPr="00FB2B7E" w14:paraId="077601F6" w14:textId="77777777" w:rsidTr="007333CF">
        <w:trPr>
          <w:gridAfter w:val="1"/>
          <w:cnfStyle w:val="000000010000" w:firstRow="0" w:lastRow="0" w:firstColumn="0" w:lastColumn="0" w:oddVBand="0" w:evenVBand="0" w:oddHBand="0" w:evenHBand="1"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1641503B" w14:textId="77777777" w:rsidR="005357C6" w:rsidRDefault="005357C6" w:rsidP="00280634">
            <w:pPr>
              <w:pStyle w:val="08-Tabelageral"/>
              <w:jc w:val="left"/>
            </w:pPr>
            <w:r w:rsidRPr="00696049">
              <w:rPr>
                <w:szCs w:val="14"/>
              </w:rPr>
              <w:t>202</w:t>
            </w:r>
            <w:r>
              <w:rPr>
                <w:szCs w:val="14"/>
              </w:rPr>
              <w:t>2</w:t>
            </w:r>
          </w:p>
        </w:tc>
        <w:tc>
          <w:tcPr>
            <w:tcW w:w="1129" w:type="dxa"/>
            <w:shd w:val="clear" w:color="auto" w:fill="auto"/>
            <w:vAlign w:val="center"/>
          </w:tcPr>
          <w:p w14:paraId="62AFAED7" w14:textId="77777777" w:rsidR="005357C6"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Pr>
                <w:rFonts w:cs="Arial"/>
                <w:b/>
                <w:bCs/>
                <w:color w:val="000000"/>
                <w:sz w:val="14"/>
                <w:szCs w:val="14"/>
              </w:rPr>
              <w:t>2,081,551</w:t>
            </w:r>
          </w:p>
        </w:tc>
        <w:tc>
          <w:tcPr>
            <w:tcW w:w="1128" w:type="dxa"/>
            <w:shd w:val="clear" w:color="auto" w:fill="auto"/>
            <w:vAlign w:val="center"/>
          </w:tcPr>
          <w:p w14:paraId="08D34BEB" w14:textId="77777777" w:rsidR="005357C6"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Pr>
                <w:rFonts w:cs="Arial"/>
                <w:b/>
                <w:bCs/>
                <w:color w:val="000000"/>
                <w:sz w:val="14"/>
                <w:szCs w:val="14"/>
              </w:rPr>
              <w:t>1,116,786</w:t>
            </w:r>
          </w:p>
        </w:tc>
        <w:tc>
          <w:tcPr>
            <w:tcW w:w="1067" w:type="dxa"/>
            <w:shd w:val="clear" w:color="auto" w:fill="auto"/>
            <w:vAlign w:val="center"/>
          </w:tcPr>
          <w:p w14:paraId="2D1439BC" w14:textId="77777777" w:rsidR="005357C6"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Pr>
                <w:rFonts w:cs="Arial"/>
                <w:b/>
                <w:bCs/>
                <w:color w:val="000000"/>
                <w:sz w:val="14"/>
                <w:szCs w:val="14"/>
              </w:rPr>
              <w:t>145,199</w:t>
            </w:r>
          </w:p>
        </w:tc>
        <w:tc>
          <w:tcPr>
            <w:tcW w:w="1128" w:type="dxa"/>
            <w:shd w:val="clear" w:color="auto" w:fill="auto"/>
            <w:vAlign w:val="center"/>
          </w:tcPr>
          <w:p w14:paraId="7BF7A015" w14:textId="77777777" w:rsidR="005357C6"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Pr>
                <w:rFonts w:cs="Arial"/>
                <w:b/>
                <w:bCs/>
                <w:color w:val="000000"/>
                <w:sz w:val="14"/>
                <w:szCs w:val="14"/>
              </w:rPr>
              <w:t>20,902</w:t>
            </w:r>
          </w:p>
        </w:tc>
        <w:tc>
          <w:tcPr>
            <w:tcW w:w="1128" w:type="dxa"/>
            <w:shd w:val="clear" w:color="auto" w:fill="auto"/>
            <w:vAlign w:val="center"/>
          </w:tcPr>
          <w:p w14:paraId="65C54E12" w14:textId="77777777" w:rsidR="005357C6"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Pr>
                <w:rFonts w:cs="Arial"/>
                <w:b/>
                <w:bCs/>
                <w:color w:val="000000"/>
                <w:sz w:val="14"/>
                <w:szCs w:val="14"/>
              </w:rPr>
              <w:t>(673)</w:t>
            </w:r>
          </w:p>
        </w:tc>
        <w:tc>
          <w:tcPr>
            <w:tcW w:w="1132" w:type="dxa"/>
            <w:shd w:val="clear" w:color="auto" w:fill="auto"/>
            <w:vAlign w:val="center"/>
          </w:tcPr>
          <w:p w14:paraId="5D50FFE6" w14:textId="77777777" w:rsidR="005357C6" w:rsidRDefault="005357C6" w:rsidP="00280634">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Pr>
                <w:rFonts w:cs="Arial"/>
                <w:b/>
                <w:bCs/>
                <w:color w:val="000000"/>
                <w:sz w:val="14"/>
                <w:szCs w:val="14"/>
              </w:rPr>
              <w:t>3,363,765</w:t>
            </w:r>
          </w:p>
        </w:tc>
      </w:tr>
      <w:tr w:rsidR="005357C6" w:rsidRPr="00F96730" w14:paraId="113A295B" w14:textId="77777777" w:rsidTr="007333CF">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tcBorders>
              <w:top w:val="nil"/>
              <w:bottom w:val="single" w:sz="2" w:space="0" w:color="1F4E79" w:themeColor="accent1" w:themeShade="80"/>
            </w:tcBorders>
            <w:shd w:val="clear" w:color="auto" w:fill="auto"/>
            <w:vAlign w:val="center"/>
          </w:tcPr>
          <w:p w14:paraId="5535E0F4" w14:textId="77777777" w:rsidR="005357C6" w:rsidRPr="00D511DC" w:rsidRDefault="005357C6" w:rsidP="00280634">
            <w:pPr>
              <w:pStyle w:val="08-Tabelageral"/>
              <w:jc w:val="left"/>
              <w:rPr>
                <w:bCs w:val="0"/>
                <w:color w:val="auto"/>
                <w:szCs w:val="14"/>
              </w:rPr>
            </w:pPr>
            <w:r>
              <w:rPr>
                <w:rFonts w:cs="Arial"/>
                <w:bCs w:val="0"/>
                <w:szCs w:val="14"/>
              </w:rPr>
              <w:t>2021</w:t>
            </w:r>
          </w:p>
        </w:tc>
        <w:tc>
          <w:tcPr>
            <w:tcW w:w="1129" w:type="dxa"/>
            <w:tcBorders>
              <w:top w:val="nil"/>
              <w:bottom w:val="single" w:sz="2" w:space="0" w:color="1F4E79" w:themeColor="accent1" w:themeShade="80"/>
            </w:tcBorders>
            <w:shd w:val="clear" w:color="auto" w:fill="auto"/>
            <w:vAlign w:val="center"/>
          </w:tcPr>
          <w:p w14:paraId="0F03DF63" w14:textId="77777777" w:rsidR="005357C6" w:rsidRPr="00D511DC" w:rsidRDefault="005357C6" w:rsidP="00280634">
            <w:pPr>
              <w:pStyle w:val="08-Tabelageral"/>
              <w:cnfStyle w:val="000000100000" w:firstRow="0" w:lastRow="0" w:firstColumn="0" w:lastColumn="0" w:oddVBand="0" w:evenVBand="0" w:oddHBand="1" w:evenHBand="0" w:firstRowFirstColumn="0" w:firstRowLastColumn="0" w:lastRowFirstColumn="0" w:lastRowLastColumn="0"/>
              <w:rPr>
                <w:b/>
                <w:color w:val="auto"/>
                <w:szCs w:val="14"/>
              </w:rPr>
            </w:pPr>
            <w:r>
              <w:rPr>
                <w:rFonts w:cs="Arial"/>
                <w:b/>
                <w:bCs/>
                <w:color w:val="000000"/>
                <w:szCs w:val="14"/>
              </w:rPr>
              <w:t>1,067,020</w:t>
            </w:r>
          </w:p>
        </w:tc>
        <w:tc>
          <w:tcPr>
            <w:tcW w:w="1128" w:type="dxa"/>
            <w:tcBorders>
              <w:top w:val="nil"/>
              <w:bottom w:val="single" w:sz="2" w:space="0" w:color="1F4E79" w:themeColor="accent1" w:themeShade="80"/>
            </w:tcBorders>
            <w:shd w:val="clear" w:color="auto" w:fill="auto"/>
            <w:vAlign w:val="center"/>
          </w:tcPr>
          <w:p w14:paraId="229D9E47" w14:textId="77777777" w:rsidR="005357C6" w:rsidRPr="00D511DC" w:rsidRDefault="005357C6" w:rsidP="00280634">
            <w:pPr>
              <w:pStyle w:val="08-Tabelageral"/>
              <w:cnfStyle w:val="000000100000" w:firstRow="0" w:lastRow="0" w:firstColumn="0" w:lastColumn="0" w:oddVBand="0" w:evenVBand="0" w:oddHBand="1" w:evenHBand="0" w:firstRowFirstColumn="0" w:firstRowLastColumn="0" w:lastRowFirstColumn="0" w:lastRowLastColumn="0"/>
              <w:rPr>
                <w:b/>
                <w:color w:val="auto"/>
                <w:szCs w:val="14"/>
              </w:rPr>
            </w:pPr>
            <w:r>
              <w:rPr>
                <w:rFonts w:cs="Arial"/>
                <w:b/>
                <w:bCs/>
                <w:color w:val="000000"/>
                <w:szCs w:val="14"/>
              </w:rPr>
              <w:t>756,544</w:t>
            </w:r>
          </w:p>
        </w:tc>
        <w:tc>
          <w:tcPr>
            <w:tcW w:w="1067" w:type="dxa"/>
            <w:tcBorders>
              <w:top w:val="nil"/>
              <w:bottom w:val="single" w:sz="2" w:space="0" w:color="1F4E79" w:themeColor="accent1" w:themeShade="80"/>
            </w:tcBorders>
            <w:shd w:val="clear" w:color="auto" w:fill="auto"/>
            <w:vAlign w:val="center"/>
          </w:tcPr>
          <w:p w14:paraId="13CDBDF2" w14:textId="77777777" w:rsidR="005357C6" w:rsidRPr="00D511DC" w:rsidRDefault="005357C6" w:rsidP="00280634">
            <w:pPr>
              <w:pStyle w:val="08-Tabelageral"/>
              <w:cnfStyle w:val="000000100000" w:firstRow="0" w:lastRow="0" w:firstColumn="0" w:lastColumn="0" w:oddVBand="0" w:evenVBand="0" w:oddHBand="1" w:evenHBand="0" w:firstRowFirstColumn="0" w:firstRowLastColumn="0" w:lastRowFirstColumn="0" w:lastRowLastColumn="0"/>
              <w:rPr>
                <w:b/>
                <w:color w:val="auto"/>
                <w:szCs w:val="14"/>
              </w:rPr>
            </w:pPr>
            <w:r>
              <w:rPr>
                <w:rFonts w:cs="Arial"/>
                <w:b/>
                <w:bCs/>
                <w:color w:val="000000"/>
                <w:szCs w:val="14"/>
              </w:rPr>
              <w:t>2,341</w:t>
            </w:r>
          </w:p>
        </w:tc>
        <w:tc>
          <w:tcPr>
            <w:tcW w:w="1128" w:type="dxa"/>
            <w:tcBorders>
              <w:top w:val="nil"/>
              <w:bottom w:val="single" w:sz="2" w:space="0" w:color="1F4E79" w:themeColor="accent1" w:themeShade="80"/>
            </w:tcBorders>
            <w:shd w:val="clear" w:color="auto" w:fill="auto"/>
            <w:vAlign w:val="center"/>
          </w:tcPr>
          <w:p w14:paraId="56FCB093" w14:textId="77777777" w:rsidR="005357C6" w:rsidRPr="00D511DC" w:rsidRDefault="005357C6" w:rsidP="00280634">
            <w:pPr>
              <w:pStyle w:val="08-Tabelageral"/>
              <w:cnfStyle w:val="000000100000" w:firstRow="0" w:lastRow="0" w:firstColumn="0" w:lastColumn="0" w:oddVBand="0" w:evenVBand="0" w:oddHBand="1" w:evenHBand="0" w:firstRowFirstColumn="0" w:firstRowLastColumn="0" w:lastRowFirstColumn="0" w:lastRowLastColumn="0"/>
              <w:rPr>
                <w:b/>
                <w:color w:val="auto"/>
                <w:szCs w:val="14"/>
              </w:rPr>
            </w:pPr>
            <w:r>
              <w:rPr>
                <w:rFonts w:cs="Arial"/>
                <w:b/>
                <w:bCs/>
                <w:color w:val="000000"/>
                <w:szCs w:val="14"/>
              </w:rPr>
              <w:t>17,083</w:t>
            </w:r>
          </w:p>
        </w:tc>
        <w:tc>
          <w:tcPr>
            <w:tcW w:w="1128" w:type="dxa"/>
            <w:tcBorders>
              <w:top w:val="nil"/>
              <w:bottom w:val="single" w:sz="2" w:space="0" w:color="1F4E79" w:themeColor="accent1" w:themeShade="80"/>
            </w:tcBorders>
            <w:shd w:val="clear" w:color="auto" w:fill="auto"/>
            <w:vAlign w:val="center"/>
          </w:tcPr>
          <w:p w14:paraId="370ED211" w14:textId="77777777" w:rsidR="005357C6" w:rsidRPr="00D511DC" w:rsidRDefault="005357C6" w:rsidP="00280634">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rPr>
            </w:pPr>
            <w:r>
              <w:rPr>
                <w:rFonts w:cs="Arial"/>
                <w:b/>
                <w:bCs/>
                <w:color w:val="000000"/>
                <w:szCs w:val="14"/>
              </w:rPr>
              <w:t>(12,633)</w:t>
            </w:r>
          </w:p>
        </w:tc>
        <w:tc>
          <w:tcPr>
            <w:tcW w:w="1132" w:type="dxa"/>
            <w:tcBorders>
              <w:top w:val="nil"/>
              <w:bottom w:val="single" w:sz="2" w:space="0" w:color="1F4E79" w:themeColor="accent1" w:themeShade="80"/>
            </w:tcBorders>
            <w:shd w:val="clear" w:color="auto" w:fill="auto"/>
            <w:vAlign w:val="center"/>
          </w:tcPr>
          <w:p w14:paraId="4E9DA7C6" w14:textId="77777777" w:rsidR="005357C6" w:rsidRPr="00D511DC" w:rsidRDefault="005357C6" w:rsidP="00280634">
            <w:pPr>
              <w:pStyle w:val="08-Tabelageral"/>
              <w:ind w:left="113"/>
              <w:cnfStyle w:val="000000100000" w:firstRow="0" w:lastRow="0" w:firstColumn="0" w:lastColumn="0" w:oddVBand="0" w:evenVBand="0" w:oddHBand="1" w:evenHBand="0" w:firstRowFirstColumn="0" w:firstRowLastColumn="0" w:lastRowFirstColumn="0" w:lastRowLastColumn="0"/>
              <w:rPr>
                <w:rFonts w:cs="Arial"/>
                <w:b/>
                <w:color w:val="auto"/>
                <w:szCs w:val="14"/>
              </w:rPr>
            </w:pPr>
            <w:r>
              <w:rPr>
                <w:rFonts w:cs="Arial"/>
                <w:b/>
                <w:bCs/>
                <w:color w:val="000000"/>
                <w:szCs w:val="14"/>
              </w:rPr>
              <w:t>1,830,355</w:t>
            </w:r>
          </w:p>
        </w:tc>
      </w:tr>
    </w:tbl>
    <w:p w14:paraId="7F51340A" w14:textId="77777777" w:rsidR="005357C6" w:rsidRPr="00E22381" w:rsidRDefault="005357C6" w:rsidP="00D372BE">
      <w:pPr>
        <w:pStyle w:val="01-TtulodeNota"/>
        <w:spacing w:before="0" w:after="0"/>
        <w:ind w:right="-31"/>
        <w:jc w:val="right"/>
        <w:rPr>
          <w:rFonts w:cs="Arial"/>
          <w:sz w:val="14"/>
          <w:szCs w:val="14"/>
        </w:rPr>
      </w:pPr>
    </w:p>
    <w:p w14:paraId="6946555F" w14:textId="77777777" w:rsidR="005357C6" w:rsidRDefault="005357C6" w:rsidP="00D372BE">
      <w:pPr>
        <w:pStyle w:val="05-Textonormal"/>
        <w:spacing w:before="0" w:after="80" w:line="240" w:lineRule="auto"/>
        <w:rPr>
          <w:rStyle w:val="q4iawc"/>
          <w:lang w:val="en"/>
        </w:rPr>
      </w:pPr>
      <w:r w:rsidRPr="007C3614">
        <w:rPr>
          <w:rStyle w:val="q4iawc"/>
          <w:lang w:val="en"/>
        </w:rPr>
        <w:t xml:space="preserve">The values of the equity of investees BB </w:t>
      </w:r>
      <w:r>
        <w:rPr>
          <w:rStyle w:val="q4iawc"/>
          <w:lang w:val="en"/>
        </w:rPr>
        <w:t>MAPFRE</w:t>
      </w:r>
      <w:r w:rsidRPr="007C3614">
        <w:rPr>
          <w:rStyle w:val="q4iawc"/>
          <w:lang w:val="en"/>
        </w:rPr>
        <w:t>, Brasilprev, Brasilcap, Brasildental and Ciclic presented in the previous table are not proportional to the percentage of equity interest held by BB Seguridade, that is, they represent the total balance of the equity of the respective companies.</w:t>
      </w:r>
    </w:p>
    <w:p w14:paraId="4A461386" w14:textId="77777777" w:rsidR="005357C6" w:rsidRDefault="005357C6" w:rsidP="00D372BE">
      <w:pPr>
        <w:pStyle w:val="05-Textonormal"/>
        <w:spacing w:before="0" w:after="80" w:line="240" w:lineRule="auto"/>
        <w:rPr>
          <w:rStyle w:val="rynqvb"/>
          <w:lang w:val="en"/>
        </w:rPr>
      </w:pPr>
      <w:r>
        <w:rPr>
          <w:rStyle w:val="rynqvb"/>
          <w:lang w:val="en"/>
        </w:rPr>
        <w:t>Year-to-date, the increase in BB Corretora's equity income is mainly due to the growth in brokerage revenues, as a result of the good commercial performance in all business lines;</w:t>
      </w:r>
      <w:r>
        <w:rPr>
          <w:rStyle w:val="hwtze"/>
          <w:lang w:val="en"/>
        </w:rPr>
        <w:t xml:space="preserve"> </w:t>
      </w:r>
      <w:r>
        <w:rPr>
          <w:rStyle w:val="rynqvb"/>
          <w:lang w:val="en"/>
        </w:rPr>
        <w:t>and the greater volume of financial results, due to the evolution of the Selic rate.</w:t>
      </w:r>
    </w:p>
    <w:p w14:paraId="7D67D8BD" w14:textId="77777777" w:rsidR="005357C6" w:rsidRDefault="005357C6" w:rsidP="00D372BE">
      <w:pPr>
        <w:pStyle w:val="05-Textonormal"/>
        <w:spacing w:before="0" w:after="80" w:line="240" w:lineRule="auto"/>
        <w:rPr>
          <w:rFonts w:cs="Arial"/>
          <w:lang w:val="en-US"/>
        </w:rPr>
      </w:pPr>
      <w:r w:rsidRPr="00F575A5">
        <w:rPr>
          <w:rFonts w:cs="Arial"/>
          <w:lang w:val="en-US"/>
        </w:rPr>
        <w:t>The book balance</w:t>
      </w:r>
      <w:r>
        <w:rPr>
          <w:rFonts w:cs="Arial"/>
          <w:lang w:val="en-US"/>
        </w:rPr>
        <w:t>,</w:t>
      </w:r>
      <w:r w:rsidRPr="00F575A5">
        <w:rPr>
          <w:rFonts w:cs="Arial"/>
          <w:lang w:val="en-US"/>
        </w:rPr>
        <w:t xml:space="preserve"> on </w:t>
      </w:r>
      <w:r>
        <w:rPr>
          <w:rFonts w:cs="Arial"/>
          <w:lang w:val="en-US"/>
        </w:rPr>
        <w:t xml:space="preserve">December </w:t>
      </w:r>
      <w:r w:rsidRPr="00F575A5">
        <w:rPr>
          <w:rFonts w:cs="Arial"/>
          <w:lang w:val="en-US"/>
        </w:rPr>
        <w:t>3</w:t>
      </w:r>
      <w:r>
        <w:rPr>
          <w:rFonts w:cs="Arial"/>
          <w:lang w:val="en-US"/>
        </w:rPr>
        <w:t xml:space="preserve">1, </w:t>
      </w:r>
      <w:r w:rsidRPr="00F575A5">
        <w:rPr>
          <w:rFonts w:cs="Arial"/>
          <w:lang w:val="en-US"/>
        </w:rPr>
        <w:t>202</w:t>
      </w:r>
      <w:r>
        <w:rPr>
          <w:rFonts w:cs="Arial"/>
          <w:lang w:val="en-US"/>
        </w:rPr>
        <w:t>2,</w:t>
      </w:r>
      <w:r w:rsidRPr="00F575A5">
        <w:rPr>
          <w:rFonts w:cs="Arial"/>
          <w:lang w:val="en-US"/>
        </w:rPr>
        <w:t xml:space="preserve"> of the investment in BB </w:t>
      </w:r>
      <w:r>
        <w:rPr>
          <w:rFonts w:cs="Arial"/>
          <w:lang w:val="en-US"/>
        </w:rPr>
        <w:t>MAPFRE</w:t>
      </w:r>
      <w:r w:rsidRPr="00F575A5">
        <w:rPr>
          <w:rFonts w:cs="Arial"/>
          <w:lang w:val="en-US"/>
        </w:rPr>
        <w:t xml:space="preserve"> of R$ </w:t>
      </w:r>
      <w:r w:rsidRPr="00DC3495">
        <w:rPr>
          <w:rFonts w:cs="Arial"/>
          <w:lang w:val="en-US"/>
        </w:rPr>
        <w:t xml:space="preserve">2,436,345 </w:t>
      </w:r>
      <w:r w:rsidRPr="00F575A5">
        <w:rPr>
          <w:rFonts w:cs="Arial"/>
          <w:lang w:val="en-US"/>
        </w:rPr>
        <w:t xml:space="preserve">thousand, includes intangible assets defined in the net amortization amount of R$ </w:t>
      </w:r>
      <w:r w:rsidRPr="00DC3495">
        <w:rPr>
          <w:rFonts w:cs="Arial"/>
          <w:lang w:val="en-US"/>
        </w:rPr>
        <w:t xml:space="preserve">156,281 </w:t>
      </w:r>
      <w:r w:rsidRPr="00F575A5">
        <w:rPr>
          <w:rFonts w:cs="Arial"/>
          <w:lang w:val="en-US"/>
        </w:rPr>
        <w:t>thousand</w:t>
      </w:r>
      <w:r>
        <w:rPr>
          <w:rFonts w:cs="Arial"/>
          <w:lang w:val="en-US"/>
        </w:rPr>
        <w:t xml:space="preserve"> </w:t>
      </w:r>
      <w:r w:rsidRPr="00F575A5">
        <w:rPr>
          <w:rFonts w:cs="Arial"/>
          <w:lang w:val="en-US"/>
        </w:rPr>
        <w:t xml:space="preserve">(R$ </w:t>
      </w:r>
      <w:r w:rsidRPr="00A44662">
        <w:rPr>
          <w:lang w:val="en-US"/>
        </w:rPr>
        <w:t>1</w:t>
      </w:r>
      <w:r>
        <w:rPr>
          <w:lang w:val="en-US"/>
        </w:rPr>
        <w:t>71,008</w:t>
      </w:r>
      <w:r w:rsidRPr="00A44662">
        <w:rPr>
          <w:lang w:val="en-US"/>
        </w:rPr>
        <w:t xml:space="preserve"> </w:t>
      </w:r>
      <w:r w:rsidRPr="00F575A5">
        <w:rPr>
          <w:rFonts w:cs="Arial"/>
          <w:lang w:val="en-US"/>
        </w:rPr>
        <w:t>thousand on 12.31.20</w:t>
      </w:r>
      <w:r>
        <w:rPr>
          <w:rFonts w:cs="Arial"/>
          <w:lang w:val="en-US"/>
        </w:rPr>
        <w:t>21</w:t>
      </w:r>
      <w:r w:rsidRPr="00F575A5">
        <w:rPr>
          <w:rFonts w:cs="Arial"/>
          <w:lang w:val="en-US"/>
        </w:rPr>
        <w:t xml:space="preserve">), with the amortization amount of </w:t>
      </w:r>
      <w:r w:rsidRPr="00944050">
        <w:rPr>
          <w:rFonts w:cs="Arial"/>
          <w:lang w:val="en-US"/>
        </w:rPr>
        <w:t xml:space="preserve">R$ </w:t>
      </w:r>
      <w:r w:rsidRPr="00DC3495">
        <w:rPr>
          <w:rFonts w:cs="Arial"/>
          <w:lang w:val="en-US"/>
        </w:rPr>
        <w:t xml:space="preserve">14,727 </w:t>
      </w:r>
      <w:r w:rsidRPr="001B58AD">
        <w:rPr>
          <w:rFonts w:cs="Arial"/>
          <w:lang w:val="en-US"/>
        </w:rPr>
        <w:t>thousand</w:t>
      </w:r>
      <w:r w:rsidRPr="00944050">
        <w:rPr>
          <w:rFonts w:cs="Arial"/>
          <w:lang w:val="en-US"/>
        </w:rPr>
        <w:t xml:space="preserve"> in </w:t>
      </w:r>
      <w:r>
        <w:rPr>
          <w:rFonts w:cs="Arial"/>
          <w:lang w:val="en-US"/>
        </w:rPr>
        <w:t>2</w:t>
      </w:r>
      <w:r w:rsidRPr="00944050">
        <w:rPr>
          <w:rFonts w:cs="Arial"/>
          <w:lang w:val="en-US"/>
        </w:rPr>
        <w:t xml:space="preserve">022 (R$ </w:t>
      </w:r>
      <w:r w:rsidRPr="00DC3495">
        <w:rPr>
          <w:rFonts w:cs="Arial"/>
          <w:lang w:val="en-US"/>
        </w:rPr>
        <w:t xml:space="preserve">15,149 </w:t>
      </w:r>
      <w:r w:rsidRPr="001B58AD">
        <w:rPr>
          <w:rFonts w:cs="Arial"/>
          <w:lang w:val="en-US"/>
        </w:rPr>
        <w:t>thousand</w:t>
      </w:r>
      <w:r>
        <w:rPr>
          <w:rFonts w:cs="Arial"/>
          <w:lang w:val="en-US"/>
        </w:rPr>
        <w:t xml:space="preserve"> in </w:t>
      </w:r>
      <w:r w:rsidRPr="00944050">
        <w:rPr>
          <w:rFonts w:cs="Arial"/>
          <w:lang w:val="en-US"/>
        </w:rPr>
        <w:t>2021</w:t>
      </w:r>
      <w:r>
        <w:rPr>
          <w:rFonts w:cs="Arial"/>
          <w:lang w:val="en-US"/>
        </w:rPr>
        <w:t xml:space="preserve">), </w:t>
      </w:r>
      <w:r w:rsidRPr="00F575A5">
        <w:rPr>
          <w:rFonts w:cs="Arial"/>
          <w:lang w:val="en-US"/>
        </w:rPr>
        <w:t>and intangible assets with an indefinite useful life in the amount of R$</w:t>
      </w:r>
      <w:r>
        <w:rPr>
          <w:rFonts w:cs="Arial"/>
          <w:lang w:val="en-US"/>
        </w:rPr>
        <w:t xml:space="preserve"> </w:t>
      </w:r>
      <w:r w:rsidRPr="00F575A5">
        <w:rPr>
          <w:rFonts w:cs="Arial"/>
          <w:lang w:val="en-US"/>
        </w:rPr>
        <w:t xml:space="preserve">339,004 thousand resulting from the partnership agreement with </w:t>
      </w:r>
      <w:r>
        <w:rPr>
          <w:rFonts w:cs="Arial"/>
          <w:lang w:val="en-US"/>
        </w:rPr>
        <w:t>Grupo MAPFRE</w:t>
      </w:r>
      <w:r w:rsidRPr="00F575A5">
        <w:rPr>
          <w:rFonts w:cs="Arial"/>
          <w:lang w:val="en-US"/>
        </w:rPr>
        <w:t>.</w:t>
      </w:r>
    </w:p>
    <w:p w14:paraId="13F2BB6E" w14:textId="77777777" w:rsidR="005357C6" w:rsidRDefault="005357C6" w:rsidP="00D372BE">
      <w:pPr>
        <w:pStyle w:val="05-Textonormal"/>
        <w:spacing w:before="0" w:after="80" w:line="240" w:lineRule="auto"/>
        <w:rPr>
          <w:rStyle w:val="rynqvb"/>
          <w:lang w:val="en"/>
        </w:rPr>
      </w:pPr>
      <w:r>
        <w:rPr>
          <w:rStyle w:val="rynqvb"/>
          <w:lang w:val="en"/>
        </w:rPr>
        <w:t>Year-to-date, the increase in BB MAPFRE's equity income is mainly due to the growth in earned premiums and the significant drop in claims related to Covid-19 in products with death coverage, as well as the higher financial result</w:t>
      </w:r>
      <w:r>
        <w:rPr>
          <w:rStyle w:val="hwtze"/>
          <w:lang w:val="en"/>
        </w:rPr>
        <w:t xml:space="preserve"> </w:t>
      </w:r>
      <w:r>
        <w:rPr>
          <w:rStyle w:val="rynqvb"/>
          <w:lang w:val="en"/>
        </w:rPr>
        <w:t>, due to the increase in the Selic rate and expansion of the average balance of assets.</w:t>
      </w:r>
    </w:p>
    <w:p w14:paraId="620D2CAC" w14:textId="77777777" w:rsidR="005357C6" w:rsidRDefault="005357C6" w:rsidP="00D372BE">
      <w:pPr>
        <w:pStyle w:val="05-Textonormal"/>
        <w:spacing w:before="0" w:after="80" w:line="240" w:lineRule="auto"/>
        <w:rPr>
          <w:rStyle w:val="rynqvb"/>
          <w:lang w:val="en"/>
        </w:rPr>
      </w:pPr>
      <w:r>
        <w:rPr>
          <w:rStyle w:val="rynqvb"/>
          <w:lang w:val="en"/>
        </w:rPr>
        <w:t>In the accumulated result for the year, the increase in Brasilprev's equity income is mainly due to the improvement in the financial result, impacted by the expansion in the average balance of earning assets and by the lower magnitude of the opening of the futures interest curve, which reduced the</w:t>
      </w:r>
      <w:r>
        <w:rPr>
          <w:rStyle w:val="hwtze"/>
          <w:lang w:val="en"/>
        </w:rPr>
        <w:t xml:space="preserve"> </w:t>
      </w:r>
      <w:r>
        <w:rPr>
          <w:rStyle w:val="rynqvb"/>
          <w:lang w:val="en"/>
        </w:rPr>
        <w:t>negative mark-to-market impact;</w:t>
      </w:r>
      <w:r>
        <w:rPr>
          <w:rStyle w:val="hwtze"/>
          <w:lang w:val="en"/>
        </w:rPr>
        <w:t xml:space="preserve"> </w:t>
      </w:r>
      <w:r>
        <w:rPr>
          <w:rStyle w:val="rynqvb"/>
          <w:lang w:val="en"/>
        </w:rPr>
        <w:t>and the increase in revenues from management fees.</w:t>
      </w:r>
    </w:p>
    <w:p w14:paraId="2E77A7CA" w14:textId="77777777" w:rsidR="005357C6" w:rsidRDefault="005357C6" w:rsidP="00D372BE">
      <w:pPr>
        <w:pStyle w:val="05-Textonormal"/>
        <w:spacing w:before="0" w:after="80" w:line="240" w:lineRule="auto"/>
        <w:rPr>
          <w:rFonts w:cs="Arial"/>
          <w:lang w:val="en-US"/>
        </w:rPr>
      </w:pPr>
      <w:r w:rsidRPr="00E6648E">
        <w:rPr>
          <w:rFonts w:cs="Arial"/>
          <w:lang w:val="en-US"/>
        </w:rPr>
        <w:lastRenderedPageBreak/>
        <w:t>The book balance</w:t>
      </w:r>
      <w:r>
        <w:rPr>
          <w:rFonts w:cs="Arial"/>
          <w:lang w:val="en-US"/>
        </w:rPr>
        <w:t>,</w:t>
      </w:r>
      <w:r w:rsidRPr="00E6648E">
        <w:rPr>
          <w:rFonts w:cs="Arial"/>
          <w:lang w:val="en-US"/>
        </w:rPr>
        <w:t xml:space="preserve"> on </w:t>
      </w:r>
      <w:r>
        <w:rPr>
          <w:rFonts w:cs="Arial"/>
          <w:lang w:val="en-US"/>
        </w:rPr>
        <w:t xml:space="preserve">December </w:t>
      </w:r>
      <w:r w:rsidRPr="00E6648E">
        <w:rPr>
          <w:rFonts w:cs="Arial"/>
          <w:lang w:val="en-US"/>
        </w:rPr>
        <w:t>3</w:t>
      </w:r>
      <w:r>
        <w:rPr>
          <w:rFonts w:cs="Arial"/>
          <w:lang w:val="en-US"/>
        </w:rPr>
        <w:t xml:space="preserve">1, </w:t>
      </w:r>
      <w:r w:rsidRPr="00E6648E">
        <w:rPr>
          <w:rFonts w:cs="Arial"/>
          <w:lang w:val="en-US"/>
        </w:rPr>
        <w:t>202</w:t>
      </w:r>
      <w:r>
        <w:rPr>
          <w:rFonts w:cs="Arial"/>
          <w:lang w:val="en-US"/>
        </w:rPr>
        <w:t>2,</w:t>
      </w:r>
      <w:r w:rsidRPr="00E6648E">
        <w:rPr>
          <w:rFonts w:cs="Arial"/>
          <w:lang w:val="en-US"/>
        </w:rPr>
        <w:t xml:space="preserve"> of the investment in Brasilcap of R$</w:t>
      </w:r>
      <w:r>
        <w:rPr>
          <w:rFonts w:cs="Arial"/>
          <w:lang w:val="en-US"/>
        </w:rPr>
        <w:t xml:space="preserve"> </w:t>
      </w:r>
      <w:r w:rsidRPr="00DC3495">
        <w:rPr>
          <w:rFonts w:cs="Arial"/>
          <w:lang w:val="en-US"/>
        </w:rPr>
        <w:t xml:space="preserve">544.590 </w:t>
      </w:r>
      <w:r w:rsidRPr="00E6648E">
        <w:rPr>
          <w:rFonts w:cs="Arial"/>
          <w:lang w:val="en-US"/>
        </w:rPr>
        <w:t xml:space="preserve">thousand, includes the goodwill of R$ 110,749 thousand, in the acquisition of equity interest in the company Sulacap by BB Seguros, which occurred on </w:t>
      </w:r>
      <w:r>
        <w:rPr>
          <w:rFonts w:cs="Arial"/>
          <w:lang w:val="en-US"/>
        </w:rPr>
        <w:t>07.</w:t>
      </w:r>
      <w:r w:rsidRPr="00E6648E">
        <w:rPr>
          <w:rFonts w:cs="Arial"/>
          <w:lang w:val="en-US"/>
        </w:rPr>
        <w:t>22</w:t>
      </w:r>
      <w:r>
        <w:rPr>
          <w:rFonts w:cs="Arial"/>
          <w:lang w:val="en-US"/>
        </w:rPr>
        <w:t>.</w:t>
      </w:r>
      <w:r w:rsidRPr="00E6648E">
        <w:rPr>
          <w:rFonts w:cs="Arial"/>
          <w:lang w:val="en-US"/>
        </w:rPr>
        <w:t>2011</w:t>
      </w:r>
      <w:r>
        <w:rPr>
          <w:rFonts w:cs="Arial"/>
          <w:lang w:val="en-US"/>
        </w:rPr>
        <w:t>.</w:t>
      </w:r>
    </w:p>
    <w:p w14:paraId="3F6CBA0A" w14:textId="77777777" w:rsidR="005357C6" w:rsidRDefault="005357C6" w:rsidP="00D372BE">
      <w:pPr>
        <w:pStyle w:val="05-Textonormal"/>
        <w:spacing w:before="0" w:after="80" w:line="240" w:lineRule="auto"/>
        <w:rPr>
          <w:rFonts w:cs="Arial"/>
          <w:lang w:val="en-US"/>
        </w:rPr>
      </w:pPr>
      <w:r>
        <w:rPr>
          <w:rStyle w:val="rynqvb"/>
          <w:lang w:val="en"/>
        </w:rPr>
        <w:t>The amount of R$ 632 thousand in Other Events at Brasilcap refers to the increase in the equity interest of BB Seguros.</w:t>
      </w:r>
    </w:p>
    <w:p w14:paraId="4929DA50" w14:textId="77777777" w:rsidR="005357C6" w:rsidRDefault="005357C6" w:rsidP="00D372BE">
      <w:pPr>
        <w:pStyle w:val="05-Textonormal"/>
        <w:spacing w:before="0" w:after="80" w:line="240" w:lineRule="auto"/>
        <w:rPr>
          <w:rStyle w:val="rynqvb"/>
          <w:lang w:val="en"/>
        </w:rPr>
      </w:pPr>
      <w:r>
        <w:rPr>
          <w:rStyle w:val="rynqvb"/>
          <w:lang w:val="en"/>
        </w:rPr>
        <w:t>In the accumulated result for the year, the increase in Brasilcap's equity income is mainly due to the increase in the financial result provided by the expansion of the average balance of earning assets and the increase in the average Selic rate and by the increase in collection with savings bonds.</w:t>
      </w:r>
    </w:p>
    <w:p w14:paraId="65A9103E" w14:textId="77777777" w:rsidR="005357C6" w:rsidRPr="00E22381" w:rsidRDefault="005357C6" w:rsidP="00D372BE">
      <w:pPr>
        <w:pStyle w:val="05-Textonormal"/>
        <w:spacing w:before="0" w:after="80" w:line="240" w:lineRule="auto"/>
        <w:rPr>
          <w:rFonts w:cs="Arial"/>
          <w:lang w:val="en-US"/>
        </w:rPr>
      </w:pPr>
      <w:r w:rsidRPr="00F14E39">
        <w:rPr>
          <w:rFonts w:cs="Arial"/>
          <w:lang w:val="en-US"/>
        </w:rPr>
        <w:t>There was</w:t>
      </w:r>
      <w:r>
        <w:rPr>
          <w:rFonts w:cs="Arial"/>
          <w:lang w:val="en-US"/>
        </w:rPr>
        <w:t>,</w:t>
      </w:r>
      <w:r w:rsidRPr="00F14E39">
        <w:rPr>
          <w:rFonts w:cs="Arial"/>
          <w:lang w:val="en-US"/>
        </w:rPr>
        <w:t xml:space="preserve">no need for adjustments for the purpose of standardizing the accounting practices adopted by the investee </w:t>
      </w:r>
      <w:r>
        <w:rPr>
          <w:rFonts w:cs="Arial"/>
          <w:lang w:val="en-US"/>
        </w:rPr>
        <w:t xml:space="preserve">Brasilprev, Brasilcap </w:t>
      </w:r>
      <w:r w:rsidRPr="00F14E39">
        <w:rPr>
          <w:rFonts w:cs="Arial"/>
          <w:lang w:val="en-US"/>
        </w:rPr>
        <w:t>Brasildental</w:t>
      </w:r>
      <w:r>
        <w:rPr>
          <w:rFonts w:cs="Arial"/>
          <w:lang w:val="en-US"/>
        </w:rPr>
        <w:t xml:space="preserve"> and Ciclic</w:t>
      </w:r>
      <w:r w:rsidRPr="00F14E39">
        <w:rPr>
          <w:rFonts w:cs="Arial"/>
          <w:lang w:val="en-US"/>
        </w:rPr>
        <w:t>, considering that there was no effect caused by any difference in practice during the year.</w:t>
      </w:r>
      <w:r w:rsidRPr="00E22381">
        <w:rPr>
          <w:rFonts w:cs="Arial"/>
          <w:lang w:val="en-US"/>
        </w:rPr>
        <w:t xml:space="preserve"> </w:t>
      </w:r>
    </w:p>
    <w:p w14:paraId="21E10AEB" w14:textId="77777777" w:rsidR="005357C6" w:rsidRDefault="005357C6" w:rsidP="00D372BE">
      <w:pPr>
        <w:pStyle w:val="05-Textonormal"/>
        <w:spacing w:before="0" w:after="80" w:line="240" w:lineRule="auto"/>
        <w:rPr>
          <w:rFonts w:cs="Arial"/>
          <w:lang w:val="en-US"/>
        </w:rPr>
      </w:pPr>
      <w:r w:rsidRPr="00E22381">
        <w:rPr>
          <w:rFonts w:cs="Arial"/>
          <w:lang w:val="en-US"/>
        </w:rPr>
        <w:t xml:space="preserve">BB </w:t>
      </w:r>
      <w:r>
        <w:rPr>
          <w:rFonts w:cs="Arial"/>
          <w:lang w:val="en-US"/>
        </w:rPr>
        <w:t>MAPFRE</w:t>
      </w:r>
      <w:r w:rsidRPr="00E22381">
        <w:rPr>
          <w:rFonts w:cs="Arial"/>
          <w:lang w:val="en-US"/>
        </w:rPr>
        <w:t xml:space="preserve"> adopts BRGAAP in its accounting information. Therefore, it makes the necessary adjustments to standardize the practices adopted by its subsidiaries, Brasilseg and Aliança do Brasil, which adopt the accounting standards defined by SUSEP</w:t>
      </w:r>
      <w:r>
        <w:rPr>
          <w:rFonts w:cs="Arial"/>
          <w:lang w:val="en-US"/>
        </w:rPr>
        <w:t xml:space="preserve"> (SUSEPGAAP)</w:t>
      </w:r>
      <w:r w:rsidRPr="00E22381">
        <w:rPr>
          <w:rFonts w:cs="Arial"/>
          <w:lang w:val="en-US"/>
        </w:rPr>
        <w:t>.</w:t>
      </w:r>
    </w:p>
    <w:p w14:paraId="516C9E87" w14:textId="77777777" w:rsidR="005357C6" w:rsidRDefault="005357C6" w:rsidP="00D372BE">
      <w:pPr>
        <w:pStyle w:val="05-Textonormal"/>
        <w:spacing w:line="240" w:lineRule="auto"/>
        <w:rPr>
          <w:rFonts w:cs="Arial"/>
          <w:spacing w:val="0"/>
          <w:szCs w:val="20"/>
          <w:lang w:val="en-US" w:eastAsia="zh-CN"/>
        </w:rPr>
      </w:pPr>
      <w:r w:rsidRPr="00E22381">
        <w:rPr>
          <w:rFonts w:cs="Arial"/>
          <w:spacing w:val="0"/>
          <w:szCs w:val="20"/>
          <w:lang w:val="en-US" w:eastAsia="zh-CN"/>
        </w:rPr>
        <w:t>Dividends/Interest on equity capital receivable and</w:t>
      </w:r>
      <w:r>
        <w:rPr>
          <w:rFonts w:cs="Arial"/>
          <w:spacing w:val="0"/>
          <w:szCs w:val="20"/>
          <w:lang w:val="en-US" w:eastAsia="zh-CN"/>
        </w:rPr>
        <w:t xml:space="preserve"> </w:t>
      </w:r>
      <w:r w:rsidRPr="00E22381">
        <w:rPr>
          <w:rFonts w:cs="Arial"/>
          <w:spacing w:val="0"/>
          <w:szCs w:val="20"/>
          <w:lang w:val="en-US" w:eastAsia="zh-CN"/>
        </w:rPr>
        <w:t xml:space="preserve">interest on equity received from investments in Parent were R$ </w:t>
      </w:r>
      <w:r w:rsidRPr="00944050">
        <w:rPr>
          <w:rFonts w:cs="Arial"/>
          <w:lang w:val="en-US"/>
        </w:rPr>
        <w:t xml:space="preserve">3,629,262 </w:t>
      </w:r>
      <w:r w:rsidRPr="00E22381">
        <w:rPr>
          <w:rFonts w:cs="Arial"/>
          <w:spacing w:val="0"/>
          <w:szCs w:val="20"/>
          <w:lang w:val="en-US" w:eastAsia="zh-CN"/>
        </w:rPr>
        <w:t>thousand (R$</w:t>
      </w:r>
      <w:r>
        <w:rPr>
          <w:rFonts w:cs="Arial"/>
          <w:spacing w:val="0"/>
          <w:szCs w:val="20"/>
          <w:lang w:val="en-US" w:eastAsia="zh-CN"/>
        </w:rPr>
        <w:t xml:space="preserve"> </w:t>
      </w:r>
      <w:r w:rsidRPr="00944050">
        <w:rPr>
          <w:rFonts w:eastAsiaTheme="minorHAnsi" w:cs="Arial"/>
          <w:lang w:val="en-US"/>
        </w:rPr>
        <w:t xml:space="preserve">2,093,213 </w:t>
      </w:r>
      <w:r w:rsidRPr="00E22381">
        <w:rPr>
          <w:rFonts w:cs="Arial"/>
          <w:spacing w:val="0"/>
          <w:szCs w:val="20"/>
          <w:lang w:val="en-US" w:eastAsia="zh-CN"/>
        </w:rPr>
        <w:t xml:space="preserve">thousand in </w:t>
      </w:r>
      <w:r>
        <w:rPr>
          <w:rFonts w:cs="Arial"/>
          <w:spacing w:val="0"/>
          <w:szCs w:val="20"/>
          <w:lang w:val="en-US" w:eastAsia="zh-CN"/>
        </w:rPr>
        <w:t>2021</w:t>
      </w:r>
      <w:r w:rsidRPr="00E22381">
        <w:rPr>
          <w:rFonts w:cs="Arial"/>
          <w:spacing w:val="0"/>
          <w:szCs w:val="20"/>
          <w:lang w:val="en-US" w:eastAsia="zh-CN"/>
        </w:rPr>
        <w:t xml:space="preserve">) and in consolidated R$ </w:t>
      </w:r>
      <w:r>
        <w:rPr>
          <w:rFonts w:cs="Arial"/>
          <w:lang w:val="en-US"/>
        </w:rPr>
        <w:t>2,984,374</w:t>
      </w:r>
      <w:r w:rsidRPr="00944050">
        <w:rPr>
          <w:rFonts w:cs="Arial"/>
          <w:lang w:val="en-US"/>
        </w:rPr>
        <w:t xml:space="preserve"> </w:t>
      </w:r>
      <w:r w:rsidRPr="00E22381">
        <w:rPr>
          <w:rFonts w:cs="Arial"/>
          <w:spacing w:val="0"/>
          <w:szCs w:val="20"/>
          <w:lang w:val="en-US" w:eastAsia="zh-CN"/>
        </w:rPr>
        <w:t xml:space="preserve">thousand (R$ </w:t>
      </w:r>
      <w:r>
        <w:rPr>
          <w:rFonts w:eastAsiaTheme="minorHAnsi" w:cs="Arial"/>
          <w:lang w:val="en-US"/>
        </w:rPr>
        <w:t>1,121,096</w:t>
      </w:r>
      <w:r w:rsidRPr="00944050">
        <w:rPr>
          <w:rFonts w:eastAsiaTheme="minorHAnsi" w:cs="Arial"/>
          <w:lang w:val="en-US"/>
        </w:rPr>
        <w:t xml:space="preserve"> </w:t>
      </w:r>
      <w:r w:rsidRPr="00E22381">
        <w:rPr>
          <w:rFonts w:cs="Arial"/>
          <w:spacing w:val="0"/>
          <w:szCs w:val="20"/>
          <w:lang w:val="en-US" w:eastAsia="zh-CN"/>
        </w:rPr>
        <w:t xml:space="preserve">thousand </w:t>
      </w:r>
      <w:r>
        <w:rPr>
          <w:rFonts w:cs="Arial"/>
          <w:spacing w:val="0"/>
          <w:szCs w:val="20"/>
          <w:lang w:val="en-US" w:eastAsia="zh-CN"/>
        </w:rPr>
        <w:t>in 2021</w:t>
      </w:r>
      <w:r w:rsidRPr="00E22381">
        <w:rPr>
          <w:rFonts w:cs="Arial"/>
          <w:spacing w:val="0"/>
          <w:szCs w:val="20"/>
          <w:lang w:val="en-US" w:eastAsia="zh-CN"/>
        </w:rPr>
        <w:t>).</w:t>
      </w:r>
    </w:p>
    <w:p w14:paraId="4F0A93FB" w14:textId="77777777" w:rsidR="005357C6" w:rsidRPr="00944050" w:rsidRDefault="005357C6" w:rsidP="00FE09B9">
      <w:pPr>
        <w:pStyle w:val="01-TtulodeNota"/>
        <w:rPr>
          <w:color w:val="1F4E79" w:themeColor="accent1" w:themeShade="80"/>
          <w:sz w:val="18"/>
          <w:szCs w:val="18"/>
          <w:lang w:val="en-US"/>
        </w:rPr>
      </w:pPr>
      <w:r w:rsidRPr="00944050">
        <w:rPr>
          <w:color w:val="1F4E79" w:themeColor="accent1" w:themeShade="80"/>
          <w:sz w:val="18"/>
          <w:szCs w:val="18"/>
          <w:lang w:val="en-US"/>
        </w:rPr>
        <w:t>Capital refund from BB Corretora to BB Seguridade</w:t>
      </w:r>
    </w:p>
    <w:p w14:paraId="63DBF673" w14:textId="77777777" w:rsidR="005357C6" w:rsidRPr="00FE09B9" w:rsidRDefault="005357C6" w:rsidP="00FE09B9">
      <w:pPr>
        <w:pStyle w:val="05-Textonormal"/>
        <w:spacing w:before="0" w:after="80" w:line="240" w:lineRule="auto"/>
        <w:rPr>
          <w:rFonts w:cs="Arial"/>
          <w:lang w:val="en-US"/>
        </w:rPr>
      </w:pPr>
      <w:r w:rsidRPr="00FE09B9">
        <w:rPr>
          <w:rFonts w:cs="Arial"/>
          <w:lang w:val="en-US"/>
        </w:rPr>
        <w:t>After deliberation of the general meeting and with the favorable opinion of the fiscal council, BB Corretora de Seguros e Administradora de Bens SA refunded, on December 29, 2021, R$ 40,899 thousand of its capital stock to its shareholder, based on the excess of capital. After the refund, the company remains with R$ 1,000 thousand in its capital stock, divided into 1,000,000 (one million) registered common shares, with no par value.</w:t>
      </w:r>
    </w:p>
    <w:p w14:paraId="088A73B2" w14:textId="77777777" w:rsidR="005357C6" w:rsidRPr="00FE09B9" w:rsidRDefault="005357C6" w:rsidP="00CF49A3">
      <w:pPr>
        <w:pStyle w:val="05-Textonormal"/>
        <w:spacing w:line="240" w:lineRule="auto"/>
        <w:rPr>
          <w:rFonts w:cs="Arial"/>
          <w:lang w:val="en-US"/>
        </w:rPr>
      </w:pPr>
      <w:r w:rsidRPr="00FE09B9">
        <w:rPr>
          <w:rFonts w:cs="Arial"/>
          <w:lang w:val="en-US"/>
        </w:rPr>
        <w:t>It is worth mentioning that there is no regulatory requirement for minimum levels of liquidity and/or capital at BB Corretora and that it has sufficient financial resources to maintain its operating activities.</w:t>
      </w:r>
    </w:p>
    <w:p w14:paraId="428525F1" w14:textId="77777777" w:rsidR="005357C6" w:rsidRPr="00CF49A3" w:rsidRDefault="005357C6" w:rsidP="00CF49A3">
      <w:pPr>
        <w:pStyle w:val="01-TtulodeNota"/>
        <w:rPr>
          <w:color w:val="1F4E79" w:themeColor="accent1" w:themeShade="80"/>
          <w:lang w:val="en-US"/>
        </w:rPr>
      </w:pPr>
      <w:r w:rsidRPr="00CF49A3">
        <w:rPr>
          <w:color w:val="1F4E79" w:themeColor="accent1" w:themeShade="80"/>
          <w:lang w:val="en-US"/>
        </w:rPr>
        <w:t>Issue of Debentures by Brasilprev</w:t>
      </w:r>
    </w:p>
    <w:p w14:paraId="090D63D3" w14:textId="77777777" w:rsidR="005357C6" w:rsidRDefault="005357C6" w:rsidP="00CF49A3">
      <w:pPr>
        <w:pStyle w:val="05-Textonormal"/>
        <w:spacing w:line="240" w:lineRule="auto"/>
        <w:rPr>
          <w:rFonts w:cs="Arial"/>
          <w:spacing w:val="0"/>
          <w:szCs w:val="20"/>
          <w:lang w:val="en-US" w:eastAsia="zh-CN"/>
        </w:rPr>
      </w:pPr>
      <w:r w:rsidRPr="00FA196C">
        <w:rPr>
          <w:rFonts w:cs="Arial"/>
          <w:spacing w:val="0"/>
          <w:szCs w:val="20"/>
          <w:lang w:val="en-US" w:eastAsia="zh-CN"/>
        </w:rPr>
        <w:t>On June 7, 2021, Brasilprev issued subordinated debentures, not convertible into shares, in a single series, in the amount of R$ 550,000 thousand, pursuant to CVM Instruction 476/09. The funding consisted of 550,000 (five hundred and fifty thousand) debentures, with a unit face value of R$1,000.00, term of 5 (five) years and interest rate corresponding to 100% of the accumulated variation of the average daily rates of the DI - Financial Deposit of one day, exponentially increased by a 2% surcharge per year.</w:t>
      </w:r>
    </w:p>
    <w:p w14:paraId="61BB3DE3" w14:textId="77777777" w:rsidR="005357C6" w:rsidRPr="009D62B0" w:rsidRDefault="005357C6" w:rsidP="00CF49A3">
      <w:pPr>
        <w:pStyle w:val="05-Textonormal"/>
        <w:spacing w:line="240" w:lineRule="auto"/>
        <w:rPr>
          <w:rFonts w:cs="Arial"/>
          <w:szCs w:val="20"/>
          <w:lang w:val="en-US" w:eastAsia="zh-CN"/>
        </w:rPr>
      </w:pPr>
      <w:r w:rsidRPr="009D62B0">
        <w:rPr>
          <w:rFonts w:cs="Arial"/>
          <w:szCs w:val="20"/>
          <w:lang w:val="en-US" w:eastAsia="zh-CN"/>
        </w:rPr>
        <w:t>The funds raised through the issuance are used by Brasilprev as necessary to cover the minimum capital required by SUSEP rules.</w:t>
      </w:r>
    </w:p>
    <w:p w14:paraId="67421C0F" w14:textId="77777777" w:rsidR="005357C6" w:rsidRPr="00CF49A3" w:rsidRDefault="005357C6" w:rsidP="00CF49A3">
      <w:pPr>
        <w:pStyle w:val="01-TtulodeNota"/>
        <w:rPr>
          <w:color w:val="1F4E79" w:themeColor="accent1" w:themeShade="80"/>
          <w:lang w:val="en-US"/>
        </w:rPr>
      </w:pPr>
      <w:r w:rsidRPr="00CF49A3">
        <w:rPr>
          <w:color w:val="1F4E79" w:themeColor="accent1" w:themeShade="80"/>
          <w:lang w:val="en-US"/>
        </w:rPr>
        <w:t>Capital contribution to Brasilprev</w:t>
      </w:r>
    </w:p>
    <w:p w14:paraId="6E3B492F" w14:textId="77777777" w:rsidR="005357C6" w:rsidRDefault="005357C6" w:rsidP="00CF49A3">
      <w:pPr>
        <w:pStyle w:val="05-Textonormal"/>
        <w:spacing w:line="240" w:lineRule="auto"/>
        <w:rPr>
          <w:rFonts w:cs="Arial"/>
          <w:spacing w:val="0"/>
          <w:szCs w:val="20"/>
          <w:lang w:val="en-US" w:eastAsia="zh-CN"/>
        </w:rPr>
      </w:pPr>
      <w:r w:rsidRPr="00FA196C">
        <w:rPr>
          <w:rFonts w:cs="Arial"/>
          <w:spacing w:val="0"/>
          <w:szCs w:val="20"/>
          <w:lang w:val="en-US" w:eastAsia="zh-CN"/>
        </w:rPr>
        <w:t>In addition to the funds raised by subordinated debentures, on June 22, 2021, the Board of Directors of BB Seguridade approved a capital increase of up to R$</w:t>
      </w:r>
      <w:r>
        <w:rPr>
          <w:rFonts w:cs="Arial"/>
          <w:spacing w:val="0"/>
          <w:szCs w:val="20"/>
          <w:lang w:val="en-US" w:eastAsia="zh-CN"/>
        </w:rPr>
        <w:t xml:space="preserve"> </w:t>
      </w:r>
      <w:r w:rsidRPr="00FA196C">
        <w:rPr>
          <w:rFonts w:cs="Arial"/>
          <w:spacing w:val="0"/>
          <w:szCs w:val="20"/>
          <w:lang w:val="en-US" w:eastAsia="zh-CN"/>
        </w:rPr>
        <w:t xml:space="preserve">600,000 thousand in Brasilprev. The capital increase was fully subscribed by the partners in June 2021, maintaining the shareholding structure among the shareholders (shareholding in BB Seguros of 74.995%). </w:t>
      </w:r>
      <w:r w:rsidRPr="00805DF2">
        <w:rPr>
          <w:rFonts w:cs="Arial"/>
          <w:spacing w:val="0"/>
          <w:szCs w:val="20"/>
          <w:lang w:val="en-US" w:eastAsia="zh-CN"/>
        </w:rPr>
        <w:t>On June 28, 2021, the capital was paid in by BB Seguros and PFG do Brasil, in the amounts of R$</w:t>
      </w:r>
      <w:r>
        <w:rPr>
          <w:rFonts w:cs="Arial"/>
          <w:spacing w:val="0"/>
          <w:szCs w:val="20"/>
          <w:lang w:val="en-US" w:eastAsia="zh-CN"/>
        </w:rPr>
        <w:t xml:space="preserve"> </w:t>
      </w:r>
      <w:r w:rsidRPr="00805DF2">
        <w:rPr>
          <w:rFonts w:cs="Arial"/>
          <w:spacing w:val="0"/>
          <w:szCs w:val="20"/>
          <w:lang w:val="en-US" w:eastAsia="zh-CN"/>
        </w:rPr>
        <w:t>449,969 thousand and R$</w:t>
      </w:r>
      <w:r>
        <w:rPr>
          <w:rFonts w:cs="Arial"/>
          <w:spacing w:val="0"/>
          <w:szCs w:val="20"/>
          <w:lang w:val="en-US" w:eastAsia="zh-CN"/>
        </w:rPr>
        <w:t xml:space="preserve"> </w:t>
      </w:r>
      <w:r w:rsidRPr="00805DF2">
        <w:rPr>
          <w:rFonts w:cs="Arial"/>
          <w:spacing w:val="0"/>
          <w:szCs w:val="20"/>
          <w:lang w:val="en-US" w:eastAsia="zh-CN"/>
        </w:rPr>
        <w:t>150,031 thousand, respectively.</w:t>
      </w:r>
    </w:p>
    <w:p w14:paraId="737372D4" w14:textId="77777777" w:rsidR="005357C6" w:rsidRPr="00CF49A3" w:rsidRDefault="005357C6" w:rsidP="00CF49A3">
      <w:pPr>
        <w:pStyle w:val="01-TtulodeNota"/>
        <w:rPr>
          <w:color w:val="1F4E79" w:themeColor="accent1" w:themeShade="80"/>
          <w:lang w:val="en-US"/>
        </w:rPr>
      </w:pPr>
      <w:r w:rsidRPr="00CF49A3">
        <w:rPr>
          <w:color w:val="1F4E79" w:themeColor="accent1" w:themeShade="80"/>
          <w:lang w:val="en-US"/>
        </w:rPr>
        <w:t>Increase in Equity Interest in Brasilcap</w:t>
      </w:r>
    </w:p>
    <w:p w14:paraId="2F091871" w14:textId="77777777" w:rsidR="005357C6" w:rsidRPr="00DC3495" w:rsidRDefault="005357C6" w:rsidP="00CF49A3">
      <w:pPr>
        <w:pStyle w:val="05-Textonormal"/>
        <w:spacing w:line="240" w:lineRule="auto"/>
        <w:rPr>
          <w:rFonts w:cs="Arial"/>
          <w:spacing w:val="0"/>
          <w:szCs w:val="20"/>
          <w:lang w:val="en-US" w:eastAsia="zh-CN"/>
        </w:rPr>
      </w:pPr>
      <w:r w:rsidRPr="00DC3495">
        <w:rPr>
          <w:rFonts w:cs="Arial"/>
          <w:spacing w:val="0"/>
          <w:szCs w:val="20"/>
          <w:lang w:val="en-US" w:eastAsia="zh-CN"/>
        </w:rPr>
        <w:t xml:space="preserve">In November 2022, the increase in the shareholding of BB Seguros Participações S.A. was completed. (“BB Seguros”) in the subsidiary Brasilcap Capitalização S.A. (“Brasilcap”), through the exercise of the option to purchase 430,635 preferred shares owned by shareholders Companhia de Seguros Aliança da Bahia (“Aliança da Bahia”) and Icatu Seguros S.A. (“Icatu”), corresponding to 0.11 percentage points of the total capital of the subsidiary, pursuant to the Private Instrument of Commitment for Subscription of Equity Interest and Other Covenants (“Subscription Instrument”), entered into on </w:t>
      </w:r>
      <w:r>
        <w:rPr>
          <w:rFonts w:cs="Arial"/>
          <w:spacing w:val="0"/>
          <w:szCs w:val="20"/>
          <w:lang w:val="en-US" w:eastAsia="zh-CN"/>
        </w:rPr>
        <w:t xml:space="preserve">December </w:t>
      </w:r>
      <w:r w:rsidRPr="00DC3495">
        <w:rPr>
          <w:rFonts w:cs="Arial"/>
          <w:spacing w:val="0"/>
          <w:szCs w:val="20"/>
          <w:lang w:val="en-US" w:eastAsia="zh-CN"/>
        </w:rPr>
        <w:t>12</w:t>
      </w:r>
      <w:r>
        <w:rPr>
          <w:rFonts w:cs="Arial"/>
          <w:spacing w:val="0"/>
          <w:szCs w:val="20"/>
          <w:lang w:val="en-US" w:eastAsia="zh-CN"/>
        </w:rPr>
        <w:t>, 2</w:t>
      </w:r>
      <w:r w:rsidRPr="00DC3495">
        <w:rPr>
          <w:rFonts w:cs="Arial"/>
          <w:spacing w:val="0"/>
          <w:szCs w:val="20"/>
          <w:lang w:val="en-US" w:eastAsia="zh-CN"/>
        </w:rPr>
        <w:t>021.</w:t>
      </w:r>
    </w:p>
    <w:p w14:paraId="0AFB7069" w14:textId="77777777" w:rsidR="005357C6" w:rsidRPr="0085237D" w:rsidRDefault="005357C6" w:rsidP="00AB6DC3">
      <w:pPr>
        <w:keepNext/>
        <w:keepLines/>
        <w:pageBreakBefore/>
        <w:spacing w:before="120" w:after="120" w:line="240" w:lineRule="auto"/>
        <w:jc w:val="both"/>
        <w:outlineLvl w:val="1"/>
        <w:rPr>
          <w:rFonts w:eastAsia="Times New Roman" w:cs="Times New Roman"/>
          <w:b/>
          <w:color w:val="1F4E79" w:themeColor="accent1" w:themeShade="80"/>
          <w:spacing w:val="-2"/>
          <w:szCs w:val="18"/>
          <w:lang w:val="en-US" w:eastAsia="pt-BR"/>
        </w:rPr>
      </w:pPr>
      <w:r w:rsidRPr="0085237D">
        <w:rPr>
          <w:rFonts w:eastAsia="Times New Roman" w:cs="Times New Roman"/>
          <w:b/>
          <w:color w:val="1F4E79" w:themeColor="accent1" w:themeShade="80"/>
          <w:spacing w:val="-2"/>
          <w:szCs w:val="18"/>
          <w:lang w:val="en-US" w:eastAsia="pt-BR"/>
        </w:rPr>
        <w:lastRenderedPageBreak/>
        <w:t xml:space="preserve">c) </w:t>
      </w:r>
      <w:r w:rsidRPr="0085237D">
        <w:rPr>
          <w:rFonts w:eastAsia="Times New Roman" w:cs="Arial"/>
          <w:b/>
          <w:color w:val="1F4E79" w:themeColor="accent1" w:themeShade="80"/>
          <w:spacing w:val="-2"/>
          <w:szCs w:val="18"/>
          <w:lang w:val="en-US" w:eastAsia="pt-BR"/>
        </w:rPr>
        <w:t>Summary financial information on Investments in Equity Holdings</w:t>
      </w:r>
    </w:p>
    <w:p w14:paraId="6B1418F3" w14:textId="77777777" w:rsidR="005357C6" w:rsidRPr="008C30D1" w:rsidRDefault="005357C6" w:rsidP="00D44604">
      <w:pPr>
        <w:spacing w:after="0" w:line="240" w:lineRule="auto"/>
        <w:rPr>
          <w:rFonts w:eastAsia="Times New Roman" w:cs="Arial"/>
          <w:szCs w:val="20"/>
          <w:lang w:val="en-US" w:eastAsia="zh-CN"/>
        </w:rPr>
      </w:pPr>
      <w:r w:rsidRPr="008C30D1">
        <w:rPr>
          <w:rFonts w:eastAsia="Times New Roman" w:cs="Arial"/>
          <w:szCs w:val="20"/>
          <w:lang w:val="en-US" w:eastAsia="zh-CN"/>
        </w:rPr>
        <w:t>The amounts presented below refer to the interim financial statements of the investees with the respective original accounting practices and, when applicable, adjustments are made to harmonize the accounting practice in the line “Difference in accounting practice”.</w:t>
      </w:r>
    </w:p>
    <w:p w14:paraId="7D0E13F1" w14:textId="77777777" w:rsidR="005357C6" w:rsidRPr="00D44604" w:rsidRDefault="005357C6" w:rsidP="00D44604">
      <w:pPr>
        <w:spacing w:after="0" w:line="240" w:lineRule="auto"/>
        <w:rPr>
          <w:rFonts w:eastAsia="Times New Roman" w:cs="Times New Roman"/>
          <w:b/>
          <w:color w:val="1F4E79" w:themeColor="accent1" w:themeShade="80"/>
          <w:spacing w:val="-2"/>
          <w:szCs w:val="20"/>
          <w:lang w:val="en-US" w:eastAsia="pt-BR"/>
        </w:rPr>
      </w:pPr>
    </w:p>
    <w:p w14:paraId="201FF386" w14:textId="77777777" w:rsidR="005357C6" w:rsidRPr="00D44604" w:rsidRDefault="005357C6" w:rsidP="00D44604">
      <w:pPr>
        <w:keepNext/>
        <w:keepLines/>
        <w:spacing w:after="0" w:line="240" w:lineRule="auto"/>
        <w:rPr>
          <w:rFonts w:eastAsia="Times New Roman" w:cs="Times New Roman"/>
          <w:b/>
          <w:color w:val="1F4E79" w:themeColor="accent1" w:themeShade="80"/>
          <w:spacing w:val="-2"/>
          <w:szCs w:val="20"/>
          <w:lang w:eastAsia="pt-BR"/>
        </w:rPr>
      </w:pPr>
      <w:r w:rsidRPr="00D44604">
        <w:rPr>
          <w:rFonts w:eastAsia="Times New Roman" w:cs="Times New Roman"/>
          <w:b/>
          <w:color w:val="1F4E79" w:themeColor="accent1" w:themeShade="80"/>
          <w:spacing w:val="-2"/>
          <w:szCs w:val="20"/>
          <w:lang w:eastAsia="pt-BR"/>
        </w:rPr>
        <w:t xml:space="preserve">c.1) BB </w:t>
      </w:r>
      <w:r>
        <w:rPr>
          <w:rFonts w:eastAsia="Times New Roman" w:cs="Times New Roman"/>
          <w:b/>
          <w:color w:val="1F4E79" w:themeColor="accent1" w:themeShade="80"/>
          <w:spacing w:val="-2"/>
          <w:szCs w:val="20"/>
          <w:lang w:eastAsia="pt-BR"/>
        </w:rPr>
        <w:t>MAPFRE</w:t>
      </w:r>
      <w:r w:rsidRPr="00D44604">
        <w:rPr>
          <w:rFonts w:eastAsia="Times New Roman" w:cs="Times New Roman"/>
          <w:b/>
          <w:color w:val="1F4E79" w:themeColor="accent1" w:themeShade="80"/>
          <w:spacing w:val="-2"/>
          <w:szCs w:val="20"/>
          <w:lang w:eastAsia="pt-BR"/>
        </w:rPr>
        <w:t xml:space="preserve"> Participações</w:t>
      </w:r>
    </w:p>
    <w:p w14:paraId="04CE0F9C" w14:textId="77777777" w:rsidR="005357C6" w:rsidRPr="00D44604" w:rsidRDefault="005357C6" w:rsidP="00D44604">
      <w:pPr>
        <w:spacing w:after="0" w:line="240" w:lineRule="auto"/>
        <w:rPr>
          <w:rFonts w:eastAsia="Times New Roman" w:cs="Times New Roman"/>
          <w:b/>
          <w:color w:val="1F4E79" w:themeColor="accent1" w:themeShade="80"/>
          <w:spacing w:val="-2"/>
          <w:szCs w:val="20"/>
          <w:lang w:eastAsia="pt-BR"/>
        </w:rPr>
      </w:pPr>
    </w:p>
    <w:p w14:paraId="7039826D" w14:textId="77777777" w:rsidR="005357C6" w:rsidRPr="00D44604" w:rsidRDefault="005357C6" w:rsidP="00D44604">
      <w:pPr>
        <w:spacing w:after="0" w:line="240" w:lineRule="auto"/>
        <w:rPr>
          <w:rFonts w:eastAsia="Times New Roman" w:cs="Times New Roman"/>
          <w:b/>
          <w:color w:val="1F4E79" w:themeColor="accent1" w:themeShade="80"/>
          <w:spacing w:val="-2"/>
          <w:szCs w:val="20"/>
          <w:lang w:eastAsia="pt-BR"/>
        </w:rPr>
      </w:pPr>
      <w:r w:rsidRPr="00D44604">
        <w:rPr>
          <w:rFonts w:eastAsia="Times New Roman" w:cs="Times New Roman"/>
          <w:b/>
          <w:color w:val="1F4E79" w:themeColor="accent1" w:themeShade="80"/>
          <w:spacing w:val="-2"/>
          <w:szCs w:val="20"/>
          <w:lang w:eastAsia="pt-BR"/>
        </w:rPr>
        <w:t>Result Information</w:t>
      </w:r>
    </w:p>
    <w:p w14:paraId="694D769F" w14:textId="77777777" w:rsidR="005357C6" w:rsidRPr="00D44604" w:rsidRDefault="005357C6" w:rsidP="00D44604">
      <w:pPr>
        <w:spacing w:after="0" w:line="240" w:lineRule="auto"/>
        <w:rPr>
          <w:rFonts w:eastAsia="Times New Roman" w:cs="Times New Roman"/>
          <w:b/>
          <w:color w:val="1F4E79" w:themeColor="accent1" w:themeShade="80"/>
          <w:spacing w:val="-2"/>
          <w:szCs w:val="20"/>
          <w:lang w:eastAsia="pt-BR"/>
        </w:rPr>
      </w:pPr>
    </w:p>
    <w:p w14:paraId="5BCCA8AC" w14:textId="77777777" w:rsidR="005357C6" w:rsidRPr="00D44604" w:rsidRDefault="005357C6" w:rsidP="00D44604">
      <w:pPr>
        <w:keepNext/>
        <w:keepLines/>
        <w:spacing w:after="0"/>
        <w:jc w:val="right"/>
        <w:rPr>
          <w:rFonts w:cs="Arial"/>
          <w:b/>
          <w:sz w:val="14"/>
          <w:szCs w:val="18"/>
        </w:rPr>
      </w:pPr>
      <w:r w:rsidRPr="00FC6C4B">
        <w:rPr>
          <w:rFonts w:cs="Arial"/>
          <w:b/>
          <w:sz w:val="14"/>
          <w:szCs w:val="18"/>
        </w:rPr>
        <w:t>R$ thousand</w:t>
      </w:r>
    </w:p>
    <w:tbl>
      <w:tblPr>
        <w:tblW w:w="9639" w:type="dxa"/>
        <w:jc w:val="center"/>
        <w:tblBorders>
          <w:top w:val="single" w:sz="2" w:space="0" w:color="1F4E79" w:themeColor="accent1" w:themeShade="80"/>
          <w:bottom w:val="single" w:sz="2" w:space="0" w:color="1F4E79" w:themeColor="accent1" w:themeShade="80"/>
        </w:tblBorders>
        <w:tblLayout w:type="fixed"/>
        <w:tblLook w:val="04A0" w:firstRow="1" w:lastRow="0" w:firstColumn="1" w:lastColumn="0" w:noHBand="0" w:noVBand="1"/>
      </w:tblPr>
      <w:tblGrid>
        <w:gridCol w:w="2269"/>
        <w:gridCol w:w="1087"/>
        <w:gridCol w:w="1087"/>
        <w:gridCol w:w="1087"/>
        <w:gridCol w:w="283"/>
        <w:gridCol w:w="1275"/>
        <w:gridCol w:w="1275"/>
        <w:gridCol w:w="1276"/>
      </w:tblGrid>
      <w:tr w:rsidR="005357C6" w:rsidRPr="00D44604" w14:paraId="35D3D448" w14:textId="77777777" w:rsidTr="00FE6393">
        <w:trPr>
          <w:trHeight w:val="238"/>
          <w:jc w:val="center"/>
        </w:trPr>
        <w:tc>
          <w:tcPr>
            <w:tcW w:w="2269" w:type="dxa"/>
            <w:tcBorders>
              <w:top w:val="single" w:sz="2" w:space="0" w:color="1F4E79" w:themeColor="accent1" w:themeShade="80"/>
              <w:bottom w:val="single" w:sz="2" w:space="0" w:color="1F4E79" w:themeColor="accent1" w:themeShade="80"/>
            </w:tcBorders>
            <w:shd w:val="clear" w:color="auto" w:fill="auto"/>
            <w:vAlign w:val="center"/>
          </w:tcPr>
          <w:p w14:paraId="556FB270" w14:textId="77777777" w:rsidR="005357C6" w:rsidRPr="00D44604" w:rsidRDefault="005357C6" w:rsidP="00FE6393">
            <w:pPr>
              <w:spacing w:after="0"/>
              <w:jc w:val="center"/>
              <w:rPr>
                <w:rFonts w:cs="Arial"/>
                <w:b/>
                <w:sz w:val="14"/>
                <w:szCs w:val="14"/>
              </w:rPr>
            </w:pPr>
            <w:r w:rsidRPr="00D44604">
              <w:rPr>
                <w:rFonts w:cs="Arial"/>
                <w:b/>
                <w:sz w:val="14"/>
                <w:szCs w:val="14"/>
              </w:rPr>
              <w:t>Segment</w:t>
            </w:r>
          </w:p>
        </w:tc>
        <w:tc>
          <w:tcPr>
            <w:tcW w:w="7370" w:type="dxa"/>
            <w:gridSpan w:val="7"/>
            <w:tcBorders>
              <w:top w:val="single" w:sz="2" w:space="0" w:color="1F4E79" w:themeColor="accent1" w:themeShade="80"/>
              <w:bottom w:val="single" w:sz="2" w:space="0" w:color="1F4E79" w:themeColor="accent1" w:themeShade="80"/>
            </w:tcBorders>
            <w:shd w:val="clear" w:color="auto" w:fill="auto"/>
            <w:vAlign w:val="center"/>
          </w:tcPr>
          <w:p w14:paraId="391D585E" w14:textId="77777777" w:rsidR="005357C6" w:rsidRPr="00D44604" w:rsidRDefault="005357C6" w:rsidP="00FE6393">
            <w:pPr>
              <w:spacing w:after="0"/>
              <w:jc w:val="center"/>
              <w:rPr>
                <w:rFonts w:cs="Arial"/>
                <w:b/>
                <w:sz w:val="14"/>
                <w:szCs w:val="14"/>
              </w:rPr>
            </w:pPr>
            <w:r w:rsidRPr="00D44604">
              <w:rPr>
                <w:rFonts w:cs="Arial"/>
                <w:b/>
                <w:sz w:val="14"/>
                <w:szCs w:val="14"/>
              </w:rPr>
              <w:t>Insurance</w:t>
            </w:r>
          </w:p>
        </w:tc>
      </w:tr>
      <w:tr w:rsidR="005357C6" w:rsidRPr="00960237" w14:paraId="1EAF0637" w14:textId="77777777" w:rsidTr="00FE6393">
        <w:trPr>
          <w:trHeight w:val="238"/>
          <w:jc w:val="center"/>
        </w:trPr>
        <w:tc>
          <w:tcPr>
            <w:tcW w:w="2269" w:type="dxa"/>
            <w:tcBorders>
              <w:top w:val="single" w:sz="2" w:space="0" w:color="1F4E79" w:themeColor="accent1" w:themeShade="80"/>
              <w:bottom w:val="single" w:sz="2" w:space="0" w:color="1F4E79" w:themeColor="accent1" w:themeShade="80"/>
            </w:tcBorders>
            <w:shd w:val="clear" w:color="auto" w:fill="auto"/>
            <w:vAlign w:val="center"/>
          </w:tcPr>
          <w:p w14:paraId="1A83A899" w14:textId="77777777" w:rsidR="005357C6" w:rsidRPr="00D44604" w:rsidRDefault="005357C6" w:rsidP="00FE6393">
            <w:pPr>
              <w:spacing w:after="0"/>
              <w:jc w:val="center"/>
              <w:rPr>
                <w:rFonts w:cs="Arial"/>
                <w:b/>
                <w:sz w:val="14"/>
                <w:szCs w:val="14"/>
              </w:rPr>
            </w:pPr>
            <w:r w:rsidRPr="00D44604">
              <w:rPr>
                <w:rFonts w:cs="Arial"/>
                <w:b/>
                <w:sz w:val="14"/>
                <w:szCs w:val="14"/>
              </w:rPr>
              <w:t>Line of business</w:t>
            </w:r>
          </w:p>
        </w:tc>
        <w:tc>
          <w:tcPr>
            <w:tcW w:w="7370" w:type="dxa"/>
            <w:gridSpan w:val="7"/>
            <w:tcBorders>
              <w:top w:val="single" w:sz="2" w:space="0" w:color="1F4E79" w:themeColor="accent1" w:themeShade="80"/>
              <w:bottom w:val="single" w:sz="2" w:space="0" w:color="1F4E79" w:themeColor="accent1" w:themeShade="80"/>
            </w:tcBorders>
            <w:shd w:val="clear" w:color="auto" w:fill="auto"/>
            <w:vAlign w:val="center"/>
          </w:tcPr>
          <w:p w14:paraId="47E7B246" w14:textId="77777777" w:rsidR="005357C6" w:rsidRPr="00D44604" w:rsidRDefault="005357C6" w:rsidP="00FE6393">
            <w:pPr>
              <w:spacing w:after="0"/>
              <w:jc w:val="center"/>
              <w:rPr>
                <w:rFonts w:cs="Arial"/>
                <w:b/>
                <w:sz w:val="14"/>
                <w:szCs w:val="14"/>
                <w:lang w:val="en-US"/>
              </w:rPr>
            </w:pPr>
            <w:r w:rsidRPr="00D44604">
              <w:rPr>
                <w:rFonts w:cs="Arial"/>
                <w:b/>
                <w:sz w:val="14"/>
                <w:szCs w:val="14"/>
                <w:lang w:val="en-US"/>
              </w:rPr>
              <w:t>Insurance – Life, Mortgage Life, Rural and Propety</w:t>
            </w:r>
          </w:p>
        </w:tc>
      </w:tr>
      <w:tr w:rsidR="005357C6" w:rsidRPr="00D44604" w14:paraId="56920DB5" w14:textId="77777777" w:rsidTr="00FE6393">
        <w:trPr>
          <w:trHeight w:val="238"/>
          <w:jc w:val="center"/>
        </w:trPr>
        <w:tc>
          <w:tcPr>
            <w:tcW w:w="2269" w:type="dxa"/>
            <w:tcBorders>
              <w:top w:val="single" w:sz="2" w:space="0" w:color="1F4E79" w:themeColor="accent1" w:themeShade="80"/>
              <w:bottom w:val="nil"/>
            </w:tcBorders>
            <w:shd w:val="clear" w:color="auto" w:fill="auto"/>
            <w:vAlign w:val="center"/>
          </w:tcPr>
          <w:p w14:paraId="3B8E3D34" w14:textId="77777777" w:rsidR="005357C6" w:rsidRPr="00D44604" w:rsidRDefault="005357C6" w:rsidP="00FE6393">
            <w:pPr>
              <w:spacing w:after="0"/>
              <w:jc w:val="center"/>
              <w:rPr>
                <w:rFonts w:cs="Arial"/>
                <w:b/>
                <w:szCs w:val="18"/>
                <w:lang w:val="en-US"/>
              </w:rPr>
            </w:pPr>
          </w:p>
        </w:tc>
        <w:tc>
          <w:tcPr>
            <w:tcW w:w="3261" w:type="dxa"/>
            <w:gridSpan w:val="3"/>
            <w:tcBorders>
              <w:top w:val="single" w:sz="2" w:space="0" w:color="1F4E79" w:themeColor="accent1" w:themeShade="80"/>
              <w:bottom w:val="single" w:sz="2" w:space="0" w:color="222A35" w:themeColor="text2" w:themeShade="80"/>
            </w:tcBorders>
            <w:shd w:val="clear" w:color="auto" w:fill="auto"/>
            <w:vAlign w:val="center"/>
          </w:tcPr>
          <w:p w14:paraId="5ACEC9D5" w14:textId="77777777" w:rsidR="005357C6" w:rsidRPr="00D44604" w:rsidRDefault="005357C6" w:rsidP="00FE6393">
            <w:pPr>
              <w:spacing w:after="0"/>
              <w:jc w:val="center"/>
              <w:rPr>
                <w:rFonts w:cs="Arial"/>
                <w:b/>
                <w:sz w:val="14"/>
                <w:szCs w:val="14"/>
              </w:rPr>
            </w:pPr>
            <w:r w:rsidRPr="001756D2">
              <w:rPr>
                <w:rFonts w:cs="Arial"/>
                <w:b/>
                <w:sz w:val="14"/>
                <w:szCs w:val="14"/>
              </w:rPr>
              <w:t>2022</w:t>
            </w:r>
          </w:p>
        </w:tc>
        <w:tc>
          <w:tcPr>
            <w:tcW w:w="283" w:type="dxa"/>
            <w:tcBorders>
              <w:top w:val="single" w:sz="2" w:space="0" w:color="1F4E79" w:themeColor="accent1" w:themeShade="80"/>
              <w:bottom w:val="nil"/>
            </w:tcBorders>
            <w:shd w:val="clear" w:color="auto" w:fill="auto"/>
            <w:vAlign w:val="center"/>
          </w:tcPr>
          <w:p w14:paraId="4A21D755" w14:textId="77777777" w:rsidR="005357C6" w:rsidRPr="00D44604" w:rsidRDefault="005357C6" w:rsidP="00FE6393">
            <w:pPr>
              <w:spacing w:after="0"/>
              <w:jc w:val="center"/>
              <w:rPr>
                <w:rFonts w:cs="Arial"/>
                <w:b/>
                <w:sz w:val="14"/>
                <w:szCs w:val="14"/>
              </w:rPr>
            </w:pPr>
          </w:p>
        </w:tc>
        <w:tc>
          <w:tcPr>
            <w:tcW w:w="3826" w:type="dxa"/>
            <w:gridSpan w:val="3"/>
            <w:tcBorders>
              <w:top w:val="single" w:sz="2" w:space="0" w:color="1F4E79" w:themeColor="accent1" w:themeShade="80"/>
              <w:bottom w:val="single" w:sz="2" w:space="0" w:color="222A35" w:themeColor="text2" w:themeShade="80"/>
            </w:tcBorders>
            <w:shd w:val="clear" w:color="auto" w:fill="auto"/>
            <w:vAlign w:val="center"/>
          </w:tcPr>
          <w:p w14:paraId="0F4EA163" w14:textId="77777777" w:rsidR="005357C6" w:rsidRPr="00D44604" w:rsidRDefault="005357C6" w:rsidP="00FE6393">
            <w:pPr>
              <w:spacing w:after="0"/>
              <w:jc w:val="center"/>
              <w:rPr>
                <w:rFonts w:cs="Arial"/>
                <w:b/>
                <w:sz w:val="14"/>
                <w:szCs w:val="14"/>
              </w:rPr>
            </w:pPr>
            <w:r w:rsidRPr="001756D2">
              <w:rPr>
                <w:rFonts w:cs="Arial"/>
                <w:b/>
                <w:sz w:val="14"/>
                <w:szCs w:val="14"/>
              </w:rPr>
              <w:t>202</w:t>
            </w:r>
            <w:r>
              <w:rPr>
                <w:rFonts w:cs="Arial"/>
                <w:b/>
                <w:sz w:val="14"/>
                <w:szCs w:val="14"/>
              </w:rPr>
              <w:t>1</w:t>
            </w:r>
          </w:p>
        </w:tc>
      </w:tr>
      <w:tr w:rsidR="005357C6" w:rsidRPr="00D44604" w14:paraId="02220BF8" w14:textId="77777777" w:rsidTr="00FE6393">
        <w:trPr>
          <w:trHeight w:val="238"/>
          <w:jc w:val="center"/>
        </w:trPr>
        <w:tc>
          <w:tcPr>
            <w:tcW w:w="2269" w:type="dxa"/>
            <w:tcBorders>
              <w:top w:val="nil"/>
              <w:bottom w:val="single" w:sz="2" w:space="0" w:color="222A35" w:themeColor="text2" w:themeShade="80"/>
            </w:tcBorders>
            <w:shd w:val="clear" w:color="auto" w:fill="auto"/>
            <w:vAlign w:val="center"/>
          </w:tcPr>
          <w:p w14:paraId="3C24C22E" w14:textId="77777777" w:rsidR="005357C6" w:rsidRPr="00D44604" w:rsidRDefault="005357C6" w:rsidP="00FE6393">
            <w:pPr>
              <w:keepNext/>
              <w:keepLines/>
              <w:spacing w:before="40" w:after="40" w:line="240" w:lineRule="auto"/>
              <w:jc w:val="center"/>
              <w:rPr>
                <w:rFonts w:eastAsia="Times New Roman" w:cs="Arial"/>
                <w:b/>
                <w:spacing w:val="-2"/>
                <w:sz w:val="14"/>
                <w:szCs w:val="18"/>
                <w:lang w:eastAsia="pt-BR"/>
              </w:rPr>
            </w:pPr>
          </w:p>
        </w:tc>
        <w:tc>
          <w:tcPr>
            <w:tcW w:w="1087" w:type="dxa"/>
            <w:tcBorders>
              <w:top w:val="single" w:sz="2" w:space="0" w:color="222A35" w:themeColor="text2" w:themeShade="80"/>
              <w:bottom w:val="single" w:sz="2" w:space="0" w:color="222A35" w:themeColor="text2" w:themeShade="80"/>
            </w:tcBorders>
            <w:shd w:val="clear" w:color="auto" w:fill="auto"/>
            <w:vAlign w:val="center"/>
          </w:tcPr>
          <w:p w14:paraId="693A27FD" w14:textId="77777777" w:rsidR="005357C6" w:rsidRPr="00D44604" w:rsidRDefault="005357C6" w:rsidP="00FE6393">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Aliança do Brasil</w:t>
            </w:r>
          </w:p>
        </w:tc>
        <w:tc>
          <w:tcPr>
            <w:tcW w:w="1087" w:type="dxa"/>
            <w:tcBorders>
              <w:top w:val="single" w:sz="2" w:space="0" w:color="222A35" w:themeColor="text2" w:themeShade="80"/>
              <w:bottom w:val="single" w:sz="2" w:space="0" w:color="222A35" w:themeColor="text2" w:themeShade="80"/>
            </w:tcBorders>
            <w:shd w:val="clear" w:color="auto" w:fill="auto"/>
            <w:vAlign w:val="center"/>
          </w:tcPr>
          <w:p w14:paraId="771D0779" w14:textId="77777777" w:rsidR="005357C6" w:rsidRPr="00D44604" w:rsidRDefault="005357C6" w:rsidP="00FE6393">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Brasilseg</w:t>
            </w:r>
          </w:p>
        </w:tc>
        <w:tc>
          <w:tcPr>
            <w:tcW w:w="1087" w:type="dxa"/>
            <w:tcBorders>
              <w:top w:val="single" w:sz="2" w:space="0" w:color="222A35" w:themeColor="text2" w:themeShade="80"/>
              <w:bottom w:val="single" w:sz="2" w:space="0" w:color="222A35" w:themeColor="text2" w:themeShade="80"/>
            </w:tcBorders>
            <w:shd w:val="clear" w:color="auto" w:fill="auto"/>
            <w:vAlign w:val="center"/>
          </w:tcPr>
          <w:p w14:paraId="2FB4A2BF" w14:textId="77777777" w:rsidR="005357C6" w:rsidRPr="00D44604" w:rsidRDefault="005357C6" w:rsidP="00FE6393">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 xml:space="preserve">BB </w:t>
            </w:r>
            <w:r>
              <w:rPr>
                <w:rFonts w:eastAsia="Times New Roman" w:cs="Arial"/>
                <w:b/>
                <w:spacing w:val="-2"/>
                <w:sz w:val="14"/>
                <w:szCs w:val="14"/>
                <w:lang w:eastAsia="pt-BR"/>
              </w:rPr>
              <w:t>MAPFRE (Holding)</w:t>
            </w:r>
          </w:p>
        </w:tc>
        <w:tc>
          <w:tcPr>
            <w:tcW w:w="283" w:type="dxa"/>
            <w:tcBorders>
              <w:top w:val="nil"/>
              <w:bottom w:val="single" w:sz="2" w:space="0" w:color="222A35" w:themeColor="text2" w:themeShade="80"/>
            </w:tcBorders>
            <w:shd w:val="clear" w:color="auto" w:fill="auto"/>
            <w:vAlign w:val="center"/>
          </w:tcPr>
          <w:p w14:paraId="3FD4418B" w14:textId="77777777" w:rsidR="005357C6" w:rsidRPr="00D44604" w:rsidRDefault="005357C6" w:rsidP="00FE6393">
            <w:pPr>
              <w:keepNext/>
              <w:keepLines/>
              <w:spacing w:before="40" w:after="40" w:line="240" w:lineRule="auto"/>
              <w:jc w:val="center"/>
              <w:rPr>
                <w:rFonts w:eastAsia="Times New Roman" w:cs="Arial"/>
                <w:b/>
                <w:spacing w:val="-2"/>
                <w:sz w:val="14"/>
                <w:szCs w:val="14"/>
                <w:lang w:eastAsia="pt-BR"/>
              </w:rPr>
            </w:pPr>
          </w:p>
        </w:tc>
        <w:tc>
          <w:tcPr>
            <w:tcW w:w="1275" w:type="dxa"/>
            <w:tcBorders>
              <w:top w:val="single" w:sz="2" w:space="0" w:color="222A35" w:themeColor="text2" w:themeShade="80"/>
              <w:bottom w:val="single" w:sz="2" w:space="0" w:color="222A35" w:themeColor="text2" w:themeShade="80"/>
            </w:tcBorders>
            <w:shd w:val="clear" w:color="auto" w:fill="auto"/>
            <w:vAlign w:val="center"/>
          </w:tcPr>
          <w:p w14:paraId="4CE34843" w14:textId="77777777" w:rsidR="005357C6" w:rsidRPr="00D44604" w:rsidRDefault="005357C6" w:rsidP="00FE6393">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Aliança do Brasil</w:t>
            </w:r>
          </w:p>
        </w:tc>
        <w:tc>
          <w:tcPr>
            <w:tcW w:w="1275" w:type="dxa"/>
            <w:tcBorders>
              <w:top w:val="single" w:sz="2" w:space="0" w:color="222A35" w:themeColor="text2" w:themeShade="80"/>
              <w:bottom w:val="single" w:sz="2" w:space="0" w:color="222A35" w:themeColor="text2" w:themeShade="80"/>
            </w:tcBorders>
            <w:shd w:val="clear" w:color="auto" w:fill="auto"/>
            <w:vAlign w:val="center"/>
          </w:tcPr>
          <w:p w14:paraId="46581937" w14:textId="77777777" w:rsidR="005357C6" w:rsidRPr="00D44604" w:rsidRDefault="005357C6" w:rsidP="00FE6393">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Brasilseg</w:t>
            </w:r>
          </w:p>
        </w:tc>
        <w:tc>
          <w:tcPr>
            <w:tcW w:w="1276" w:type="dxa"/>
            <w:tcBorders>
              <w:top w:val="single" w:sz="2" w:space="0" w:color="222A35" w:themeColor="text2" w:themeShade="80"/>
              <w:bottom w:val="single" w:sz="2" w:space="0" w:color="222A35" w:themeColor="text2" w:themeShade="80"/>
            </w:tcBorders>
            <w:shd w:val="clear" w:color="auto" w:fill="auto"/>
            <w:vAlign w:val="center"/>
          </w:tcPr>
          <w:p w14:paraId="3CCC3BE1" w14:textId="77777777" w:rsidR="005357C6" w:rsidRPr="00D44604" w:rsidRDefault="005357C6" w:rsidP="00FE6393">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 xml:space="preserve">BB </w:t>
            </w:r>
            <w:r>
              <w:rPr>
                <w:rFonts w:eastAsia="Times New Roman" w:cs="Arial"/>
                <w:b/>
                <w:spacing w:val="-2"/>
                <w:sz w:val="14"/>
                <w:szCs w:val="14"/>
                <w:lang w:eastAsia="pt-BR"/>
              </w:rPr>
              <w:t>MAPFRE (Holding)</w:t>
            </w:r>
          </w:p>
        </w:tc>
      </w:tr>
      <w:tr w:rsidR="005357C6" w:rsidRPr="00475564" w14:paraId="3A42CCEB" w14:textId="77777777" w:rsidTr="00FE6393">
        <w:trPr>
          <w:trHeight w:val="238"/>
          <w:jc w:val="center"/>
        </w:trPr>
        <w:tc>
          <w:tcPr>
            <w:tcW w:w="2269" w:type="dxa"/>
            <w:tcBorders>
              <w:top w:val="single" w:sz="2" w:space="0" w:color="222A35" w:themeColor="text2" w:themeShade="80"/>
            </w:tcBorders>
            <w:shd w:val="clear" w:color="auto" w:fill="auto"/>
            <w:vAlign w:val="center"/>
          </w:tcPr>
          <w:p w14:paraId="6F31EBC7" w14:textId="77777777" w:rsidR="005357C6" w:rsidRPr="00FE6393" w:rsidRDefault="005357C6" w:rsidP="00475564">
            <w:pPr>
              <w:keepNext/>
              <w:keepLines/>
              <w:spacing w:before="40" w:after="40" w:line="240" w:lineRule="auto"/>
              <w:rPr>
                <w:rFonts w:eastAsia="Times New Roman" w:cs="Arial"/>
                <w:b/>
                <w:spacing w:val="-2"/>
                <w:sz w:val="14"/>
                <w:szCs w:val="14"/>
                <w:lang w:val="en-US" w:eastAsia="pt-BR"/>
              </w:rPr>
            </w:pPr>
            <w:r w:rsidRPr="00FE6393">
              <w:rPr>
                <w:rFonts w:eastAsia="Times New Roman" w:cs="Arial"/>
                <w:b/>
                <w:spacing w:val="-2"/>
                <w:sz w:val="14"/>
                <w:szCs w:val="14"/>
                <w:lang w:val="en-US" w:eastAsia="pt-BR"/>
              </w:rPr>
              <w:t>Net income from operations / premiums</w:t>
            </w:r>
          </w:p>
        </w:tc>
        <w:tc>
          <w:tcPr>
            <w:tcW w:w="1087" w:type="dxa"/>
            <w:tcBorders>
              <w:top w:val="single" w:sz="2" w:space="0" w:color="222A35" w:themeColor="text2" w:themeShade="80"/>
            </w:tcBorders>
            <w:shd w:val="clear" w:color="auto" w:fill="auto"/>
            <w:vAlign w:val="center"/>
          </w:tcPr>
          <w:p w14:paraId="692F2475"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475564">
              <w:rPr>
                <w:rFonts w:cs="Arial"/>
                <w:b/>
                <w:sz w:val="14"/>
                <w:szCs w:val="14"/>
                <w:lang w:val="en-US"/>
              </w:rPr>
              <w:t xml:space="preserve">  </w:t>
            </w:r>
            <w:r w:rsidRPr="00C05F1D">
              <w:rPr>
                <w:rFonts w:cs="Arial"/>
                <w:b/>
                <w:sz w:val="14"/>
                <w:szCs w:val="14"/>
              </w:rPr>
              <w:t>112</w:t>
            </w:r>
            <w:r>
              <w:rPr>
                <w:rFonts w:cs="Arial"/>
                <w:b/>
                <w:sz w:val="14"/>
                <w:szCs w:val="14"/>
              </w:rPr>
              <w:t>,</w:t>
            </w:r>
            <w:r w:rsidRPr="00C05F1D">
              <w:rPr>
                <w:rFonts w:cs="Arial"/>
                <w:b/>
                <w:sz w:val="14"/>
                <w:szCs w:val="14"/>
              </w:rPr>
              <w:t xml:space="preserve">231 </w:t>
            </w:r>
          </w:p>
        </w:tc>
        <w:tc>
          <w:tcPr>
            <w:tcW w:w="1087" w:type="dxa"/>
            <w:tcBorders>
              <w:top w:val="single" w:sz="2" w:space="0" w:color="222A35" w:themeColor="text2" w:themeShade="80"/>
            </w:tcBorders>
            <w:shd w:val="clear" w:color="auto" w:fill="auto"/>
            <w:vAlign w:val="center"/>
          </w:tcPr>
          <w:p w14:paraId="50969450"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C05F1D">
              <w:rPr>
                <w:rFonts w:cs="Arial"/>
                <w:b/>
                <w:sz w:val="14"/>
                <w:szCs w:val="14"/>
              </w:rPr>
              <w:t xml:space="preserve">  4</w:t>
            </w:r>
            <w:r>
              <w:rPr>
                <w:rFonts w:cs="Arial"/>
                <w:b/>
                <w:sz w:val="14"/>
                <w:szCs w:val="14"/>
              </w:rPr>
              <w:t>,</w:t>
            </w:r>
            <w:r w:rsidRPr="00C05F1D">
              <w:rPr>
                <w:rFonts w:cs="Arial"/>
                <w:b/>
                <w:sz w:val="14"/>
                <w:szCs w:val="14"/>
              </w:rPr>
              <w:t>012</w:t>
            </w:r>
            <w:r>
              <w:rPr>
                <w:rFonts w:cs="Arial"/>
                <w:b/>
                <w:sz w:val="14"/>
                <w:szCs w:val="14"/>
              </w:rPr>
              <w:t>,</w:t>
            </w:r>
            <w:r w:rsidRPr="00C05F1D">
              <w:rPr>
                <w:rFonts w:cs="Arial"/>
                <w:b/>
                <w:sz w:val="14"/>
                <w:szCs w:val="14"/>
              </w:rPr>
              <w:t xml:space="preserve">817 </w:t>
            </w:r>
          </w:p>
        </w:tc>
        <w:tc>
          <w:tcPr>
            <w:tcW w:w="1087" w:type="dxa"/>
            <w:tcBorders>
              <w:top w:val="single" w:sz="2" w:space="0" w:color="222A35" w:themeColor="text2" w:themeShade="80"/>
            </w:tcBorders>
            <w:shd w:val="clear" w:color="auto" w:fill="auto"/>
            <w:vAlign w:val="center"/>
          </w:tcPr>
          <w:p w14:paraId="3BC4ABE9"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C05F1D">
              <w:rPr>
                <w:rFonts w:cs="Arial"/>
                <w:b/>
                <w:sz w:val="14"/>
                <w:szCs w:val="14"/>
              </w:rPr>
              <w:t xml:space="preserve">  -- </w:t>
            </w:r>
          </w:p>
        </w:tc>
        <w:tc>
          <w:tcPr>
            <w:tcW w:w="283" w:type="dxa"/>
            <w:tcBorders>
              <w:top w:val="single" w:sz="2" w:space="0" w:color="222A35" w:themeColor="text2" w:themeShade="80"/>
            </w:tcBorders>
            <w:shd w:val="clear" w:color="auto" w:fill="auto"/>
            <w:vAlign w:val="center"/>
          </w:tcPr>
          <w:p w14:paraId="0303E43D"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p>
        </w:tc>
        <w:tc>
          <w:tcPr>
            <w:tcW w:w="1275" w:type="dxa"/>
            <w:tcBorders>
              <w:top w:val="single" w:sz="2" w:space="0" w:color="222A35" w:themeColor="text2" w:themeShade="80"/>
            </w:tcBorders>
            <w:shd w:val="clear" w:color="auto" w:fill="auto"/>
            <w:vAlign w:val="center"/>
          </w:tcPr>
          <w:p w14:paraId="47579C6D"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6B2B70">
              <w:rPr>
                <w:rFonts w:cs="Arial"/>
                <w:b/>
                <w:bCs/>
                <w:sz w:val="14"/>
                <w:szCs w:val="14"/>
              </w:rPr>
              <w:t>142</w:t>
            </w:r>
            <w:r>
              <w:rPr>
                <w:rFonts w:cs="Arial"/>
                <w:b/>
                <w:bCs/>
                <w:sz w:val="14"/>
                <w:szCs w:val="14"/>
              </w:rPr>
              <w:t>,</w:t>
            </w:r>
            <w:r w:rsidRPr="006B2B70">
              <w:rPr>
                <w:rFonts w:cs="Arial"/>
                <w:b/>
                <w:bCs/>
                <w:sz w:val="14"/>
                <w:szCs w:val="14"/>
              </w:rPr>
              <w:t>666</w:t>
            </w:r>
          </w:p>
        </w:tc>
        <w:tc>
          <w:tcPr>
            <w:tcW w:w="1275" w:type="dxa"/>
            <w:tcBorders>
              <w:top w:val="single" w:sz="2" w:space="0" w:color="222A35" w:themeColor="text2" w:themeShade="80"/>
            </w:tcBorders>
            <w:shd w:val="clear" w:color="auto" w:fill="auto"/>
            <w:vAlign w:val="center"/>
          </w:tcPr>
          <w:p w14:paraId="0718D825"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6B2B70">
              <w:rPr>
                <w:rFonts w:cs="Arial"/>
                <w:b/>
                <w:bCs/>
                <w:sz w:val="14"/>
                <w:szCs w:val="14"/>
              </w:rPr>
              <w:t>2</w:t>
            </w:r>
            <w:r>
              <w:rPr>
                <w:rFonts w:cs="Arial"/>
                <w:b/>
                <w:bCs/>
                <w:sz w:val="14"/>
                <w:szCs w:val="14"/>
              </w:rPr>
              <w:t>,</w:t>
            </w:r>
            <w:r w:rsidRPr="006B2B70">
              <w:rPr>
                <w:rFonts w:cs="Arial"/>
                <w:b/>
                <w:bCs/>
                <w:sz w:val="14"/>
                <w:szCs w:val="14"/>
              </w:rPr>
              <w:t>334</w:t>
            </w:r>
            <w:r>
              <w:rPr>
                <w:rFonts w:cs="Arial"/>
                <w:b/>
                <w:bCs/>
                <w:sz w:val="14"/>
                <w:szCs w:val="14"/>
              </w:rPr>
              <w:t>,</w:t>
            </w:r>
            <w:r w:rsidRPr="006B2B70">
              <w:rPr>
                <w:rFonts w:cs="Arial"/>
                <w:b/>
                <w:bCs/>
                <w:sz w:val="14"/>
                <w:szCs w:val="14"/>
              </w:rPr>
              <w:t>700</w:t>
            </w:r>
          </w:p>
        </w:tc>
        <w:tc>
          <w:tcPr>
            <w:tcW w:w="1276" w:type="dxa"/>
            <w:tcBorders>
              <w:top w:val="single" w:sz="2" w:space="0" w:color="222A35" w:themeColor="text2" w:themeShade="80"/>
            </w:tcBorders>
            <w:shd w:val="clear" w:color="auto" w:fill="auto"/>
            <w:vAlign w:val="center"/>
          </w:tcPr>
          <w:p w14:paraId="5F28C60D"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6B2B70">
              <w:rPr>
                <w:rFonts w:cs="Arial"/>
                <w:b/>
                <w:bCs/>
                <w:sz w:val="14"/>
                <w:szCs w:val="14"/>
              </w:rPr>
              <w:t>--</w:t>
            </w:r>
          </w:p>
        </w:tc>
      </w:tr>
      <w:tr w:rsidR="005357C6" w:rsidRPr="00D44604" w14:paraId="02965790" w14:textId="77777777" w:rsidTr="00FE6393">
        <w:trPr>
          <w:trHeight w:val="238"/>
          <w:jc w:val="center"/>
        </w:trPr>
        <w:tc>
          <w:tcPr>
            <w:tcW w:w="2269" w:type="dxa"/>
            <w:shd w:val="clear" w:color="auto" w:fill="auto"/>
            <w:vAlign w:val="center"/>
          </w:tcPr>
          <w:p w14:paraId="2FBC384D" w14:textId="77777777" w:rsidR="005357C6" w:rsidRPr="00D44604" w:rsidRDefault="005357C6" w:rsidP="00475564">
            <w:pPr>
              <w:keepNext/>
              <w:keepLines/>
              <w:spacing w:before="40" w:after="40" w:line="240" w:lineRule="auto"/>
              <w:ind w:left="113"/>
              <w:rPr>
                <w:rFonts w:eastAsia="Times New Roman" w:cs="Arial"/>
                <w:bCs/>
                <w:spacing w:val="-2"/>
                <w:sz w:val="14"/>
                <w:szCs w:val="14"/>
                <w:lang w:eastAsia="pt-BR"/>
              </w:rPr>
            </w:pPr>
            <w:r w:rsidRPr="00D44604">
              <w:rPr>
                <w:rFonts w:eastAsia="Times New Roman" w:cs="Arial"/>
                <w:bCs/>
                <w:spacing w:val="-2"/>
                <w:sz w:val="14"/>
                <w:szCs w:val="14"/>
                <w:lang w:eastAsia="pt-BR"/>
              </w:rPr>
              <w:t>Insurance</w:t>
            </w:r>
          </w:p>
        </w:tc>
        <w:tc>
          <w:tcPr>
            <w:tcW w:w="1087" w:type="dxa"/>
            <w:shd w:val="clear" w:color="auto" w:fill="auto"/>
            <w:vAlign w:val="center"/>
          </w:tcPr>
          <w:p w14:paraId="62C8AF26"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965</w:t>
            </w:r>
            <w:r>
              <w:rPr>
                <w:rFonts w:cs="Arial"/>
                <w:bCs/>
                <w:sz w:val="14"/>
                <w:szCs w:val="14"/>
              </w:rPr>
              <w:t>,</w:t>
            </w:r>
            <w:r w:rsidRPr="00C05F1D">
              <w:rPr>
                <w:rFonts w:cs="Arial"/>
                <w:bCs/>
                <w:sz w:val="14"/>
                <w:szCs w:val="14"/>
              </w:rPr>
              <w:t xml:space="preserve">868 </w:t>
            </w:r>
          </w:p>
        </w:tc>
        <w:tc>
          <w:tcPr>
            <w:tcW w:w="1087" w:type="dxa"/>
            <w:shd w:val="clear" w:color="auto" w:fill="auto"/>
            <w:vAlign w:val="center"/>
          </w:tcPr>
          <w:p w14:paraId="47F42217"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12</w:t>
            </w:r>
            <w:r>
              <w:rPr>
                <w:rFonts w:cs="Arial"/>
                <w:bCs/>
                <w:sz w:val="14"/>
                <w:szCs w:val="14"/>
              </w:rPr>
              <w:t>,</w:t>
            </w:r>
            <w:r w:rsidRPr="00C05F1D">
              <w:rPr>
                <w:rFonts w:cs="Arial"/>
                <w:bCs/>
                <w:sz w:val="14"/>
                <w:szCs w:val="14"/>
              </w:rPr>
              <w:t>311</w:t>
            </w:r>
            <w:r>
              <w:rPr>
                <w:rFonts w:cs="Arial"/>
                <w:bCs/>
                <w:sz w:val="14"/>
                <w:szCs w:val="14"/>
              </w:rPr>
              <w:t>,</w:t>
            </w:r>
            <w:r w:rsidRPr="00C05F1D">
              <w:rPr>
                <w:rFonts w:cs="Arial"/>
                <w:bCs/>
                <w:sz w:val="14"/>
                <w:szCs w:val="14"/>
              </w:rPr>
              <w:t xml:space="preserve">057 </w:t>
            </w:r>
          </w:p>
        </w:tc>
        <w:tc>
          <w:tcPr>
            <w:tcW w:w="1087" w:type="dxa"/>
            <w:shd w:val="clear" w:color="auto" w:fill="auto"/>
            <w:vAlign w:val="center"/>
          </w:tcPr>
          <w:p w14:paraId="7BCCABA9"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75E27464"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p>
        </w:tc>
        <w:tc>
          <w:tcPr>
            <w:tcW w:w="1275" w:type="dxa"/>
            <w:shd w:val="clear" w:color="auto" w:fill="auto"/>
            <w:vAlign w:val="center"/>
          </w:tcPr>
          <w:p w14:paraId="0B98263A"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781</w:t>
            </w:r>
            <w:r>
              <w:rPr>
                <w:rFonts w:cs="Arial"/>
                <w:sz w:val="14"/>
                <w:szCs w:val="14"/>
              </w:rPr>
              <w:t>,</w:t>
            </w:r>
            <w:r w:rsidRPr="006B2B70">
              <w:rPr>
                <w:rFonts w:cs="Arial"/>
                <w:sz w:val="14"/>
                <w:szCs w:val="14"/>
              </w:rPr>
              <w:t>468</w:t>
            </w:r>
          </w:p>
        </w:tc>
        <w:tc>
          <w:tcPr>
            <w:tcW w:w="1275" w:type="dxa"/>
            <w:shd w:val="clear" w:color="auto" w:fill="auto"/>
            <w:vAlign w:val="center"/>
          </w:tcPr>
          <w:p w14:paraId="66FF4952"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9</w:t>
            </w:r>
            <w:r>
              <w:rPr>
                <w:rFonts w:cs="Arial"/>
                <w:sz w:val="14"/>
                <w:szCs w:val="14"/>
              </w:rPr>
              <w:t>,</w:t>
            </w:r>
            <w:r w:rsidRPr="006B2B70">
              <w:rPr>
                <w:rFonts w:cs="Arial"/>
                <w:sz w:val="14"/>
                <w:szCs w:val="14"/>
              </w:rPr>
              <w:t>778</w:t>
            </w:r>
            <w:r>
              <w:rPr>
                <w:rFonts w:cs="Arial"/>
                <w:sz w:val="14"/>
                <w:szCs w:val="14"/>
              </w:rPr>
              <w:t>,</w:t>
            </w:r>
            <w:r w:rsidRPr="006B2B70">
              <w:rPr>
                <w:rFonts w:cs="Arial"/>
                <w:sz w:val="14"/>
                <w:szCs w:val="14"/>
              </w:rPr>
              <w:t>619</w:t>
            </w:r>
          </w:p>
        </w:tc>
        <w:tc>
          <w:tcPr>
            <w:tcW w:w="1276" w:type="dxa"/>
            <w:shd w:val="clear" w:color="auto" w:fill="auto"/>
            <w:vAlign w:val="center"/>
          </w:tcPr>
          <w:p w14:paraId="6AACCF37"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w:t>
            </w:r>
          </w:p>
        </w:tc>
      </w:tr>
      <w:tr w:rsidR="005357C6" w:rsidRPr="00D44604" w14:paraId="30F2AF8D" w14:textId="77777777" w:rsidTr="00FE6393">
        <w:trPr>
          <w:trHeight w:val="238"/>
          <w:jc w:val="center"/>
        </w:trPr>
        <w:tc>
          <w:tcPr>
            <w:tcW w:w="2269" w:type="dxa"/>
            <w:shd w:val="clear" w:color="auto" w:fill="auto"/>
            <w:vAlign w:val="center"/>
          </w:tcPr>
          <w:p w14:paraId="5CA9D5F9" w14:textId="77777777" w:rsidR="005357C6" w:rsidRPr="00D44604"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D44604">
              <w:rPr>
                <w:rFonts w:eastAsia="Times New Roman" w:cs="Arial"/>
                <w:bCs/>
                <w:color w:val="000000"/>
                <w:spacing w:val="-2"/>
                <w:sz w:val="14"/>
                <w:szCs w:val="14"/>
                <w:lang w:eastAsia="pt-BR"/>
              </w:rPr>
              <w:t>Reinsurance</w:t>
            </w:r>
          </w:p>
        </w:tc>
        <w:tc>
          <w:tcPr>
            <w:tcW w:w="1087" w:type="dxa"/>
            <w:shd w:val="clear" w:color="auto" w:fill="auto"/>
            <w:vAlign w:val="center"/>
          </w:tcPr>
          <w:p w14:paraId="7A82A72B"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104</w:t>
            </w:r>
            <w:r>
              <w:rPr>
                <w:rFonts w:cs="Arial"/>
                <w:bCs/>
                <w:sz w:val="14"/>
                <w:szCs w:val="14"/>
              </w:rPr>
              <w:t>,</w:t>
            </w:r>
            <w:r w:rsidRPr="00C05F1D">
              <w:rPr>
                <w:rFonts w:cs="Arial"/>
                <w:bCs/>
                <w:sz w:val="14"/>
                <w:szCs w:val="14"/>
              </w:rPr>
              <w:t xml:space="preserve">253 </w:t>
            </w:r>
          </w:p>
        </w:tc>
        <w:tc>
          <w:tcPr>
            <w:tcW w:w="1087" w:type="dxa"/>
            <w:shd w:val="clear" w:color="auto" w:fill="auto"/>
            <w:vAlign w:val="center"/>
          </w:tcPr>
          <w:p w14:paraId="01541B2E"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504</w:t>
            </w:r>
            <w:r>
              <w:rPr>
                <w:rFonts w:cs="Arial"/>
                <w:bCs/>
                <w:sz w:val="14"/>
                <w:szCs w:val="14"/>
              </w:rPr>
              <w:t>,</w:t>
            </w:r>
            <w:r w:rsidRPr="00C05F1D">
              <w:rPr>
                <w:rFonts w:cs="Arial"/>
                <w:bCs/>
                <w:sz w:val="14"/>
                <w:szCs w:val="14"/>
              </w:rPr>
              <w:t xml:space="preserve">011 </w:t>
            </w:r>
          </w:p>
        </w:tc>
        <w:tc>
          <w:tcPr>
            <w:tcW w:w="1087" w:type="dxa"/>
            <w:shd w:val="clear" w:color="auto" w:fill="auto"/>
            <w:vAlign w:val="center"/>
          </w:tcPr>
          <w:p w14:paraId="12A35F3F"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2089BBD2"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p>
        </w:tc>
        <w:tc>
          <w:tcPr>
            <w:tcW w:w="1275" w:type="dxa"/>
            <w:shd w:val="clear" w:color="auto" w:fill="auto"/>
            <w:vAlign w:val="center"/>
          </w:tcPr>
          <w:p w14:paraId="5EF734A7"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55</w:t>
            </w:r>
            <w:r>
              <w:rPr>
                <w:rFonts w:cs="Arial"/>
                <w:sz w:val="14"/>
                <w:szCs w:val="14"/>
              </w:rPr>
              <w:t>,</w:t>
            </w:r>
            <w:r w:rsidRPr="006B2B70">
              <w:rPr>
                <w:rFonts w:cs="Arial"/>
                <w:sz w:val="14"/>
                <w:szCs w:val="14"/>
              </w:rPr>
              <w:t>799</w:t>
            </w:r>
          </w:p>
        </w:tc>
        <w:tc>
          <w:tcPr>
            <w:tcW w:w="1275" w:type="dxa"/>
            <w:shd w:val="clear" w:color="auto" w:fill="auto"/>
            <w:vAlign w:val="center"/>
          </w:tcPr>
          <w:p w14:paraId="4CABC631"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(40</w:t>
            </w:r>
            <w:r>
              <w:rPr>
                <w:rFonts w:cs="Arial"/>
                <w:sz w:val="14"/>
                <w:szCs w:val="14"/>
              </w:rPr>
              <w:t>,</w:t>
            </w:r>
            <w:r w:rsidRPr="006B2B70">
              <w:rPr>
                <w:rFonts w:cs="Arial"/>
                <w:sz w:val="14"/>
                <w:szCs w:val="14"/>
              </w:rPr>
              <w:t>375)</w:t>
            </w:r>
          </w:p>
        </w:tc>
        <w:tc>
          <w:tcPr>
            <w:tcW w:w="1276" w:type="dxa"/>
            <w:shd w:val="clear" w:color="auto" w:fill="auto"/>
            <w:vAlign w:val="center"/>
          </w:tcPr>
          <w:p w14:paraId="74DF2DF3"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w:t>
            </w:r>
          </w:p>
        </w:tc>
      </w:tr>
      <w:tr w:rsidR="005357C6" w:rsidRPr="00D44604" w14:paraId="743C3F12" w14:textId="77777777" w:rsidTr="00FE6393">
        <w:trPr>
          <w:trHeight w:val="238"/>
          <w:jc w:val="center"/>
        </w:trPr>
        <w:tc>
          <w:tcPr>
            <w:tcW w:w="2269" w:type="dxa"/>
            <w:shd w:val="clear" w:color="auto" w:fill="auto"/>
            <w:vAlign w:val="center"/>
          </w:tcPr>
          <w:p w14:paraId="694579D4" w14:textId="77777777" w:rsidR="005357C6" w:rsidRPr="00D44604"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D44604">
              <w:rPr>
                <w:rFonts w:eastAsia="Times New Roman" w:cs="Arial"/>
                <w:bCs/>
                <w:color w:val="000000"/>
                <w:spacing w:val="-2"/>
                <w:sz w:val="14"/>
                <w:szCs w:val="14"/>
                <w:lang w:eastAsia="pt-BR"/>
              </w:rPr>
              <w:t>Costs / Expenses</w:t>
            </w:r>
          </w:p>
        </w:tc>
        <w:tc>
          <w:tcPr>
            <w:tcW w:w="1087" w:type="dxa"/>
            <w:shd w:val="clear" w:color="auto" w:fill="auto"/>
            <w:vAlign w:val="center"/>
          </w:tcPr>
          <w:p w14:paraId="295FB067"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(957</w:t>
            </w:r>
            <w:r>
              <w:rPr>
                <w:rFonts w:cs="Arial"/>
                <w:bCs/>
                <w:sz w:val="14"/>
                <w:szCs w:val="14"/>
              </w:rPr>
              <w:t>,</w:t>
            </w:r>
            <w:r w:rsidRPr="00C05F1D">
              <w:rPr>
                <w:rFonts w:cs="Arial"/>
                <w:bCs/>
                <w:sz w:val="14"/>
                <w:szCs w:val="14"/>
              </w:rPr>
              <w:t>890)</w:t>
            </w:r>
          </w:p>
        </w:tc>
        <w:tc>
          <w:tcPr>
            <w:tcW w:w="1087" w:type="dxa"/>
            <w:shd w:val="clear" w:color="auto" w:fill="auto"/>
            <w:vAlign w:val="center"/>
          </w:tcPr>
          <w:p w14:paraId="56FF38F5"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(8</w:t>
            </w:r>
            <w:r>
              <w:rPr>
                <w:rFonts w:cs="Arial"/>
                <w:bCs/>
                <w:sz w:val="14"/>
                <w:szCs w:val="14"/>
              </w:rPr>
              <w:t>,</w:t>
            </w:r>
            <w:r w:rsidRPr="00C05F1D">
              <w:rPr>
                <w:rFonts w:cs="Arial"/>
                <w:bCs/>
                <w:sz w:val="14"/>
                <w:szCs w:val="14"/>
              </w:rPr>
              <w:t>802</w:t>
            </w:r>
            <w:r>
              <w:rPr>
                <w:rFonts w:cs="Arial"/>
                <w:bCs/>
                <w:sz w:val="14"/>
                <w:szCs w:val="14"/>
              </w:rPr>
              <w:t>,</w:t>
            </w:r>
            <w:r w:rsidRPr="00C05F1D">
              <w:rPr>
                <w:rFonts w:cs="Arial"/>
                <w:bCs/>
                <w:sz w:val="14"/>
                <w:szCs w:val="14"/>
              </w:rPr>
              <w:t>251)</w:t>
            </w:r>
          </w:p>
        </w:tc>
        <w:tc>
          <w:tcPr>
            <w:tcW w:w="1087" w:type="dxa"/>
            <w:shd w:val="clear" w:color="auto" w:fill="auto"/>
            <w:vAlign w:val="center"/>
          </w:tcPr>
          <w:p w14:paraId="1838EB2B"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5AA29421"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p>
        </w:tc>
        <w:tc>
          <w:tcPr>
            <w:tcW w:w="1275" w:type="dxa"/>
            <w:shd w:val="clear" w:color="auto" w:fill="auto"/>
            <w:vAlign w:val="center"/>
          </w:tcPr>
          <w:p w14:paraId="2A19A914"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(694</w:t>
            </w:r>
            <w:r>
              <w:rPr>
                <w:rFonts w:cs="Arial"/>
                <w:sz w:val="14"/>
                <w:szCs w:val="14"/>
              </w:rPr>
              <w:t>,</w:t>
            </w:r>
            <w:r w:rsidRPr="006B2B70">
              <w:rPr>
                <w:rFonts w:cs="Arial"/>
                <w:sz w:val="14"/>
                <w:szCs w:val="14"/>
              </w:rPr>
              <w:t>601)</w:t>
            </w:r>
          </w:p>
        </w:tc>
        <w:tc>
          <w:tcPr>
            <w:tcW w:w="1275" w:type="dxa"/>
            <w:shd w:val="clear" w:color="auto" w:fill="auto"/>
            <w:vAlign w:val="center"/>
          </w:tcPr>
          <w:p w14:paraId="35783E1B"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(7</w:t>
            </w:r>
            <w:r>
              <w:rPr>
                <w:rFonts w:cs="Arial"/>
                <w:sz w:val="14"/>
                <w:szCs w:val="14"/>
              </w:rPr>
              <w:t>,</w:t>
            </w:r>
            <w:r w:rsidRPr="006B2B70">
              <w:rPr>
                <w:rFonts w:cs="Arial"/>
                <w:sz w:val="14"/>
                <w:szCs w:val="14"/>
              </w:rPr>
              <w:t>403</w:t>
            </w:r>
            <w:r>
              <w:rPr>
                <w:rFonts w:cs="Arial"/>
                <w:sz w:val="14"/>
                <w:szCs w:val="14"/>
              </w:rPr>
              <w:t>,</w:t>
            </w:r>
            <w:r w:rsidRPr="006B2B70">
              <w:rPr>
                <w:rFonts w:cs="Arial"/>
                <w:sz w:val="14"/>
                <w:szCs w:val="14"/>
              </w:rPr>
              <w:t>544)</w:t>
            </w:r>
          </w:p>
        </w:tc>
        <w:tc>
          <w:tcPr>
            <w:tcW w:w="1276" w:type="dxa"/>
            <w:shd w:val="clear" w:color="auto" w:fill="auto"/>
            <w:vAlign w:val="center"/>
          </w:tcPr>
          <w:p w14:paraId="60F3637B"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w:t>
            </w:r>
          </w:p>
        </w:tc>
      </w:tr>
      <w:tr w:rsidR="005357C6" w:rsidRPr="00FE6393" w14:paraId="097CD5B7" w14:textId="77777777" w:rsidTr="00FE6393">
        <w:trPr>
          <w:trHeight w:val="238"/>
          <w:jc w:val="center"/>
        </w:trPr>
        <w:tc>
          <w:tcPr>
            <w:tcW w:w="2269" w:type="dxa"/>
            <w:shd w:val="clear" w:color="auto" w:fill="auto"/>
            <w:vAlign w:val="center"/>
          </w:tcPr>
          <w:p w14:paraId="464C8A21" w14:textId="77777777" w:rsidR="005357C6" w:rsidRPr="00FE6393" w:rsidRDefault="005357C6" w:rsidP="00475564">
            <w:pPr>
              <w:keepNext/>
              <w:keepLines/>
              <w:spacing w:before="40" w:after="40" w:line="240" w:lineRule="auto"/>
              <w:rPr>
                <w:rFonts w:eastAsia="Times New Roman" w:cs="Arial"/>
                <w:b/>
                <w:color w:val="000000"/>
                <w:spacing w:val="-2"/>
                <w:sz w:val="14"/>
                <w:szCs w:val="14"/>
                <w:lang w:eastAsia="pt-BR"/>
              </w:rPr>
            </w:pPr>
            <w:r w:rsidRPr="00FE6393">
              <w:rPr>
                <w:rFonts w:eastAsia="Times New Roman" w:cs="Arial"/>
                <w:b/>
                <w:spacing w:val="-2"/>
                <w:sz w:val="14"/>
                <w:szCs w:val="14"/>
                <w:lang w:eastAsia="pt-BR"/>
              </w:rPr>
              <w:t>Financial result</w:t>
            </w:r>
          </w:p>
        </w:tc>
        <w:tc>
          <w:tcPr>
            <w:tcW w:w="1087" w:type="dxa"/>
            <w:shd w:val="clear" w:color="auto" w:fill="auto"/>
            <w:vAlign w:val="center"/>
          </w:tcPr>
          <w:p w14:paraId="015BDFBF"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50</w:t>
            </w:r>
            <w:r>
              <w:rPr>
                <w:rFonts w:cs="Arial"/>
                <w:b/>
                <w:sz w:val="14"/>
                <w:szCs w:val="14"/>
              </w:rPr>
              <w:t>,</w:t>
            </w:r>
            <w:r w:rsidRPr="00C05F1D">
              <w:rPr>
                <w:rFonts w:cs="Arial"/>
                <w:b/>
                <w:sz w:val="14"/>
                <w:szCs w:val="14"/>
              </w:rPr>
              <w:t xml:space="preserve">847 </w:t>
            </w:r>
          </w:p>
        </w:tc>
        <w:tc>
          <w:tcPr>
            <w:tcW w:w="1087" w:type="dxa"/>
            <w:shd w:val="clear" w:color="auto" w:fill="auto"/>
            <w:vAlign w:val="center"/>
          </w:tcPr>
          <w:p w14:paraId="3CA34800"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719</w:t>
            </w:r>
            <w:r>
              <w:rPr>
                <w:rFonts w:cs="Arial"/>
                <w:b/>
                <w:sz w:val="14"/>
                <w:szCs w:val="14"/>
              </w:rPr>
              <w:t>,</w:t>
            </w:r>
            <w:r w:rsidRPr="00C05F1D">
              <w:rPr>
                <w:rFonts w:cs="Arial"/>
                <w:b/>
                <w:sz w:val="14"/>
                <w:szCs w:val="14"/>
              </w:rPr>
              <w:t xml:space="preserve">467 </w:t>
            </w:r>
          </w:p>
        </w:tc>
        <w:tc>
          <w:tcPr>
            <w:tcW w:w="1087" w:type="dxa"/>
            <w:shd w:val="clear" w:color="auto" w:fill="auto"/>
            <w:vAlign w:val="center"/>
          </w:tcPr>
          <w:p w14:paraId="5F0E08E2"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885 </w:t>
            </w:r>
          </w:p>
        </w:tc>
        <w:tc>
          <w:tcPr>
            <w:tcW w:w="283" w:type="dxa"/>
            <w:shd w:val="clear" w:color="auto" w:fill="auto"/>
            <w:vAlign w:val="center"/>
          </w:tcPr>
          <w:p w14:paraId="3877A616"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612B679E"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sz w:val="14"/>
                <w:szCs w:val="14"/>
              </w:rPr>
              <w:t>41</w:t>
            </w:r>
            <w:r>
              <w:rPr>
                <w:rFonts w:cs="Arial"/>
                <w:b/>
                <w:sz w:val="14"/>
                <w:szCs w:val="14"/>
              </w:rPr>
              <w:t>,</w:t>
            </w:r>
            <w:r w:rsidRPr="006B2B70">
              <w:rPr>
                <w:rFonts w:cs="Arial"/>
                <w:b/>
                <w:sz w:val="14"/>
                <w:szCs w:val="14"/>
              </w:rPr>
              <w:t>891</w:t>
            </w:r>
          </w:p>
        </w:tc>
        <w:tc>
          <w:tcPr>
            <w:tcW w:w="1275" w:type="dxa"/>
            <w:shd w:val="clear" w:color="auto" w:fill="auto"/>
            <w:vAlign w:val="center"/>
          </w:tcPr>
          <w:p w14:paraId="5932F921"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sz w:val="14"/>
                <w:szCs w:val="14"/>
              </w:rPr>
              <w:t>221</w:t>
            </w:r>
            <w:r>
              <w:rPr>
                <w:rFonts w:cs="Arial"/>
                <w:b/>
                <w:sz w:val="14"/>
                <w:szCs w:val="14"/>
              </w:rPr>
              <w:t>,</w:t>
            </w:r>
            <w:r w:rsidRPr="006B2B70">
              <w:rPr>
                <w:rFonts w:cs="Arial"/>
                <w:b/>
                <w:sz w:val="14"/>
                <w:szCs w:val="14"/>
              </w:rPr>
              <w:t>222</w:t>
            </w:r>
          </w:p>
        </w:tc>
        <w:tc>
          <w:tcPr>
            <w:tcW w:w="1276" w:type="dxa"/>
            <w:shd w:val="clear" w:color="auto" w:fill="auto"/>
            <w:vAlign w:val="center"/>
          </w:tcPr>
          <w:p w14:paraId="138C53F0"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sz w:val="14"/>
                <w:szCs w:val="14"/>
              </w:rPr>
              <w:t>3</w:t>
            </w:r>
            <w:r>
              <w:rPr>
                <w:rFonts w:cs="Arial"/>
                <w:b/>
                <w:sz w:val="14"/>
                <w:szCs w:val="14"/>
              </w:rPr>
              <w:t>,</w:t>
            </w:r>
            <w:r w:rsidRPr="006B2B70">
              <w:rPr>
                <w:rFonts w:cs="Arial"/>
                <w:b/>
                <w:sz w:val="14"/>
                <w:szCs w:val="14"/>
              </w:rPr>
              <w:t>318</w:t>
            </w:r>
          </w:p>
        </w:tc>
      </w:tr>
      <w:tr w:rsidR="005357C6" w:rsidRPr="00D44604" w14:paraId="2155CA9F" w14:textId="77777777" w:rsidTr="00FE6393">
        <w:trPr>
          <w:trHeight w:val="238"/>
          <w:jc w:val="center"/>
        </w:trPr>
        <w:tc>
          <w:tcPr>
            <w:tcW w:w="2269" w:type="dxa"/>
            <w:shd w:val="clear" w:color="auto" w:fill="auto"/>
            <w:vAlign w:val="center"/>
          </w:tcPr>
          <w:p w14:paraId="151F7173" w14:textId="77777777" w:rsidR="005357C6" w:rsidRPr="00D44604" w:rsidRDefault="005357C6" w:rsidP="00475564">
            <w:pPr>
              <w:keepNext/>
              <w:keepLines/>
              <w:spacing w:before="40" w:after="40" w:line="240" w:lineRule="auto"/>
              <w:ind w:left="113"/>
              <w:rPr>
                <w:rFonts w:eastAsia="Times New Roman" w:cs="Arial"/>
                <w:b/>
                <w:bCs/>
                <w:spacing w:val="-2"/>
                <w:sz w:val="14"/>
                <w:szCs w:val="14"/>
                <w:lang w:eastAsia="pt-BR"/>
              </w:rPr>
            </w:pPr>
            <w:r w:rsidRPr="00D44604">
              <w:rPr>
                <w:rFonts w:eastAsia="Times New Roman" w:cs="Arial"/>
                <w:bCs/>
                <w:spacing w:val="-2"/>
                <w:sz w:val="14"/>
                <w:szCs w:val="14"/>
                <w:lang w:eastAsia="pt-BR"/>
              </w:rPr>
              <w:t>Interest income</w:t>
            </w:r>
          </w:p>
        </w:tc>
        <w:tc>
          <w:tcPr>
            <w:tcW w:w="1087" w:type="dxa"/>
            <w:shd w:val="clear" w:color="auto" w:fill="auto"/>
            <w:vAlign w:val="center"/>
          </w:tcPr>
          <w:p w14:paraId="72500372"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9</w:t>
            </w:r>
            <w:r>
              <w:rPr>
                <w:rFonts w:cs="Arial"/>
                <w:bCs/>
                <w:sz w:val="14"/>
                <w:szCs w:val="14"/>
              </w:rPr>
              <w:t>,</w:t>
            </w:r>
            <w:r w:rsidRPr="00C05F1D">
              <w:rPr>
                <w:rFonts w:cs="Arial"/>
                <w:bCs/>
                <w:sz w:val="14"/>
                <w:szCs w:val="14"/>
              </w:rPr>
              <w:t xml:space="preserve">842 </w:t>
            </w:r>
          </w:p>
        </w:tc>
        <w:tc>
          <w:tcPr>
            <w:tcW w:w="1087" w:type="dxa"/>
            <w:shd w:val="clear" w:color="auto" w:fill="auto"/>
            <w:vAlign w:val="center"/>
          </w:tcPr>
          <w:p w14:paraId="02A10EE0"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100</w:t>
            </w:r>
            <w:r>
              <w:rPr>
                <w:rFonts w:cs="Arial"/>
                <w:bCs/>
                <w:sz w:val="14"/>
                <w:szCs w:val="14"/>
              </w:rPr>
              <w:t>,</w:t>
            </w:r>
            <w:r w:rsidRPr="00C05F1D">
              <w:rPr>
                <w:rFonts w:cs="Arial"/>
                <w:bCs/>
                <w:sz w:val="14"/>
                <w:szCs w:val="14"/>
              </w:rPr>
              <w:t xml:space="preserve">128 </w:t>
            </w:r>
          </w:p>
        </w:tc>
        <w:tc>
          <w:tcPr>
            <w:tcW w:w="1087" w:type="dxa"/>
            <w:shd w:val="clear" w:color="auto" w:fill="auto"/>
            <w:vAlign w:val="center"/>
          </w:tcPr>
          <w:p w14:paraId="77C44E8F"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4106C414"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3B9D150C"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5</w:t>
            </w:r>
            <w:r>
              <w:rPr>
                <w:rFonts w:cs="Arial"/>
                <w:sz w:val="14"/>
                <w:szCs w:val="14"/>
              </w:rPr>
              <w:t>,</w:t>
            </w:r>
            <w:r w:rsidRPr="006B2B70">
              <w:rPr>
                <w:rFonts w:cs="Arial"/>
                <w:sz w:val="14"/>
                <w:szCs w:val="14"/>
              </w:rPr>
              <w:t>863</w:t>
            </w:r>
          </w:p>
        </w:tc>
        <w:tc>
          <w:tcPr>
            <w:tcW w:w="1275" w:type="dxa"/>
            <w:shd w:val="clear" w:color="auto" w:fill="auto"/>
            <w:vAlign w:val="center"/>
          </w:tcPr>
          <w:p w14:paraId="143D48C6"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21</w:t>
            </w:r>
            <w:r>
              <w:rPr>
                <w:rFonts w:cs="Arial"/>
                <w:sz w:val="14"/>
                <w:szCs w:val="14"/>
              </w:rPr>
              <w:t>,</w:t>
            </w:r>
            <w:r w:rsidRPr="006B2B70">
              <w:rPr>
                <w:rFonts w:cs="Arial"/>
                <w:sz w:val="14"/>
                <w:szCs w:val="14"/>
              </w:rPr>
              <w:t>719</w:t>
            </w:r>
          </w:p>
        </w:tc>
        <w:tc>
          <w:tcPr>
            <w:tcW w:w="1276" w:type="dxa"/>
            <w:shd w:val="clear" w:color="auto" w:fill="auto"/>
            <w:vAlign w:val="center"/>
          </w:tcPr>
          <w:p w14:paraId="0E1D9E7D"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w:t>
            </w:r>
          </w:p>
        </w:tc>
      </w:tr>
      <w:tr w:rsidR="005357C6" w:rsidRPr="00D44604" w14:paraId="15CEA263" w14:textId="77777777" w:rsidTr="00FE6393">
        <w:trPr>
          <w:trHeight w:val="238"/>
          <w:jc w:val="center"/>
        </w:trPr>
        <w:tc>
          <w:tcPr>
            <w:tcW w:w="2269" w:type="dxa"/>
            <w:shd w:val="clear" w:color="auto" w:fill="auto"/>
            <w:vAlign w:val="center"/>
          </w:tcPr>
          <w:p w14:paraId="734B0BDA" w14:textId="77777777" w:rsidR="005357C6" w:rsidRPr="00D44604" w:rsidRDefault="005357C6" w:rsidP="00475564">
            <w:pPr>
              <w:keepNext/>
              <w:keepLines/>
              <w:spacing w:before="40" w:after="40" w:line="240" w:lineRule="auto"/>
              <w:ind w:left="113"/>
              <w:rPr>
                <w:rFonts w:eastAsia="Times New Roman" w:cs="Arial"/>
                <w:bCs/>
                <w:spacing w:val="-2"/>
                <w:sz w:val="14"/>
                <w:szCs w:val="14"/>
                <w:lang w:eastAsia="pt-BR"/>
              </w:rPr>
            </w:pPr>
            <w:r w:rsidRPr="00D44604">
              <w:rPr>
                <w:rFonts w:eastAsia="Times New Roman" w:cs="Arial"/>
                <w:bCs/>
                <w:spacing w:val="-2"/>
                <w:sz w:val="14"/>
                <w:szCs w:val="14"/>
                <w:lang w:eastAsia="pt-BR"/>
              </w:rPr>
              <w:t>Other financial income</w:t>
            </w:r>
          </w:p>
        </w:tc>
        <w:tc>
          <w:tcPr>
            <w:tcW w:w="1087" w:type="dxa"/>
            <w:shd w:val="clear" w:color="auto" w:fill="auto"/>
            <w:vAlign w:val="center"/>
          </w:tcPr>
          <w:p w14:paraId="21129F16"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49</w:t>
            </w:r>
            <w:r>
              <w:rPr>
                <w:rFonts w:cs="Arial"/>
                <w:bCs/>
                <w:sz w:val="14"/>
                <w:szCs w:val="14"/>
              </w:rPr>
              <w:t>,</w:t>
            </w:r>
            <w:r w:rsidRPr="00C05F1D">
              <w:rPr>
                <w:rFonts w:cs="Arial"/>
                <w:bCs/>
                <w:sz w:val="14"/>
                <w:szCs w:val="14"/>
              </w:rPr>
              <w:t xml:space="preserve">769 </w:t>
            </w:r>
          </w:p>
        </w:tc>
        <w:tc>
          <w:tcPr>
            <w:tcW w:w="1087" w:type="dxa"/>
            <w:shd w:val="clear" w:color="auto" w:fill="auto"/>
            <w:vAlign w:val="center"/>
          </w:tcPr>
          <w:p w14:paraId="626DD041"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828</w:t>
            </w:r>
            <w:r>
              <w:rPr>
                <w:rFonts w:cs="Arial"/>
                <w:bCs/>
                <w:sz w:val="14"/>
                <w:szCs w:val="14"/>
              </w:rPr>
              <w:t>,</w:t>
            </w:r>
            <w:r w:rsidRPr="00C05F1D">
              <w:rPr>
                <w:rFonts w:cs="Arial"/>
                <w:bCs/>
                <w:sz w:val="14"/>
                <w:szCs w:val="14"/>
              </w:rPr>
              <w:t xml:space="preserve">237 </w:t>
            </w:r>
          </w:p>
        </w:tc>
        <w:tc>
          <w:tcPr>
            <w:tcW w:w="1087" w:type="dxa"/>
            <w:shd w:val="clear" w:color="auto" w:fill="auto"/>
            <w:vAlign w:val="center"/>
          </w:tcPr>
          <w:p w14:paraId="29DB2F79"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898 </w:t>
            </w:r>
          </w:p>
        </w:tc>
        <w:tc>
          <w:tcPr>
            <w:tcW w:w="283" w:type="dxa"/>
            <w:shd w:val="clear" w:color="auto" w:fill="auto"/>
            <w:vAlign w:val="center"/>
          </w:tcPr>
          <w:p w14:paraId="58B8F0F9"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4A016D41"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23</w:t>
            </w:r>
            <w:r>
              <w:rPr>
                <w:rFonts w:cs="Arial"/>
                <w:sz w:val="14"/>
                <w:szCs w:val="14"/>
              </w:rPr>
              <w:t>,</w:t>
            </w:r>
            <w:r w:rsidRPr="006B2B70">
              <w:rPr>
                <w:rFonts w:cs="Arial"/>
                <w:sz w:val="14"/>
                <w:szCs w:val="14"/>
              </w:rPr>
              <w:t>088</w:t>
            </w:r>
          </w:p>
        </w:tc>
        <w:tc>
          <w:tcPr>
            <w:tcW w:w="1275" w:type="dxa"/>
            <w:shd w:val="clear" w:color="auto" w:fill="auto"/>
            <w:vAlign w:val="center"/>
          </w:tcPr>
          <w:p w14:paraId="33C92690"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308</w:t>
            </w:r>
            <w:r>
              <w:rPr>
                <w:rFonts w:cs="Arial"/>
                <w:sz w:val="14"/>
                <w:szCs w:val="14"/>
              </w:rPr>
              <w:t>,</w:t>
            </w:r>
            <w:r w:rsidRPr="006B2B70">
              <w:rPr>
                <w:rFonts w:cs="Arial"/>
                <w:sz w:val="14"/>
                <w:szCs w:val="14"/>
              </w:rPr>
              <w:t>321</w:t>
            </w:r>
          </w:p>
        </w:tc>
        <w:tc>
          <w:tcPr>
            <w:tcW w:w="1276" w:type="dxa"/>
            <w:shd w:val="clear" w:color="auto" w:fill="auto"/>
            <w:vAlign w:val="center"/>
          </w:tcPr>
          <w:p w14:paraId="46D934E2"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3</w:t>
            </w:r>
            <w:r>
              <w:rPr>
                <w:rFonts w:cs="Arial"/>
                <w:sz w:val="14"/>
                <w:szCs w:val="14"/>
              </w:rPr>
              <w:t>,</w:t>
            </w:r>
            <w:r w:rsidRPr="006B2B70">
              <w:rPr>
                <w:rFonts w:cs="Arial"/>
                <w:sz w:val="14"/>
                <w:szCs w:val="14"/>
              </w:rPr>
              <w:t>318</w:t>
            </w:r>
          </w:p>
        </w:tc>
      </w:tr>
      <w:tr w:rsidR="005357C6" w:rsidRPr="00D44604" w14:paraId="5D89423C" w14:textId="77777777" w:rsidTr="00FE6393">
        <w:trPr>
          <w:trHeight w:val="238"/>
          <w:jc w:val="center"/>
        </w:trPr>
        <w:tc>
          <w:tcPr>
            <w:tcW w:w="2269" w:type="dxa"/>
            <w:shd w:val="clear" w:color="auto" w:fill="auto"/>
            <w:vAlign w:val="center"/>
          </w:tcPr>
          <w:p w14:paraId="3338731A" w14:textId="77777777" w:rsidR="005357C6" w:rsidRPr="00D44604" w:rsidRDefault="005357C6" w:rsidP="00475564">
            <w:pPr>
              <w:keepNext/>
              <w:keepLines/>
              <w:spacing w:before="40" w:after="40" w:line="240" w:lineRule="auto"/>
              <w:ind w:left="113"/>
              <w:rPr>
                <w:rFonts w:eastAsia="Times New Roman" w:cs="Arial"/>
                <w:bCs/>
                <w:spacing w:val="-2"/>
                <w:sz w:val="14"/>
                <w:szCs w:val="14"/>
                <w:lang w:eastAsia="pt-BR"/>
              </w:rPr>
            </w:pPr>
            <w:r w:rsidRPr="00D44604">
              <w:rPr>
                <w:rFonts w:eastAsia="Times New Roman" w:cs="Arial"/>
                <w:bCs/>
                <w:spacing w:val="-2"/>
                <w:sz w:val="14"/>
                <w:szCs w:val="14"/>
                <w:lang w:eastAsia="pt-BR"/>
              </w:rPr>
              <w:t>Interest expense</w:t>
            </w:r>
          </w:p>
        </w:tc>
        <w:tc>
          <w:tcPr>
            <w:tcW w:w="1087" w:type="dxa"/>
            <w:shd w:val="clear" w:color="auto" w:fill="auto"/>
            <w:vAlign w:val="center"/>
          </w:tcPr>
          <w:p w14:paraId="17A47CB2"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(3</w:t>
            </w:r>
            <w:r>
              <w:rPr>
                <w:rFonts w:cs="Arial"/>
                <w:bCs/>
                <w:sz w:val="14"/>
                <w:szCs w:val="14"/>
              </w:rPr>
              <w:t>,</w:t>
            </w:r>
            <w:r w:rsidRPr="00C05F1D">
              <w:rPr>
                <w:rFonts w:cs="Arial"/>
                <w:bCs/>
                <w:sz w:val="14"/>
                <w:szCs w:val="14"/>
              </w:rPr>
              <w:t>460)</w:t>
            </w:r>
          </w:p>
        </w:tc>
        <w:tc>
          <w:tcPr>
            <w:tcW w:w="1087" w:type="dxa"/>
            <w:shd w:val="clear" w:color="auto" w:fill="auto"/>
            <w:vAlign w:val="center"/>
          </w:tcPr>
          <w:p w14:paraId="1C5080BF"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(107</w:t>
            </w:r>
            <w:r>
              <w:rPr>
                <w:rFonts w:cs="Arial"/>
                <w:bCs/>
                <w:sz w:val="14"/>
                <w:szCs w:val="14"/>
              </w:rPr>
              <w:t>,</w:t>
            </w:r>
            <w:r w:rsidRPr="00C05F1D">
              <w:rPr>
                <w:rFonts w:cs="Arial"/>
                <w:bCs/>
                <w:sz w:val="14"/>
                <w:szCs w:val="14"/>
              </w:rPr>
              <w:t>842)</w:t>
            </w:r>
          </w:p>
        </w:tc>
        <w:tc>
          <w:tcPr>
            <w:tcW w:w="1087" w:type="dxa"/>
            <w:shd w:val="clear" w:color="auto" w:fill="auto"/>
            <w:vAlign w:val="center"/>
          </w:tcPr>
          <w:p w14:paraId="5767EF2F"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494FC912"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14E1A011"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14</w:t>
            </w:r>
            <w:r>
              <w:rPr>
                <w:rFonts w:cs="Arial"/>
                <w:sz w:val="14"/>
                <w:szCs w:val="14"/>
              </w:rPr>
              <w:t>,</w:t>
            </w:r>
            <w:r w:rsidRPr="006B2B70">
              <w:rPr>
                <w:rFonts w:cs="Arial"/>
                <w:sz w:val="14"/>
                <w:szCs w:val="14"/>
              </w:rPr>
              <w:t>708</w:t>
            </w:r>
          </w:p>
        </w:tc>
        <w:tc>
          <w:tcPr>
            <w:tcW w:w="1275" w:type="dxa"/>
            <w:shd w:val="clear" w:color="auto" w:fill="auto"/>
            <w:vAlign w:val="center"/>
          </w:tcPr>
          <w:p w14:paraId="2EC66E90"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(42</w:t>
            </w:r>
            <w:r>
              <w:rPr>
                <w:rFonts w:cs="Arial"/>
                <w:sz w:val="14"/>
                <w:szCs w:val="14"/>
              </w:rPr>
              <w:t>,</w:t>
            </w:r>
            <w:r w:rsidRPr="006B2B70">
              <w:rPr>
                <w:rFonts w:cs="Arial"/>
                <w:sz w:val="14"/>
                <w:szCs w:val="14"/>
              </w:rPr>
              <w:t>161)</w:t>
            </w:r>
          </w:p>
        </w:tc>
        <w:tc>
          <w:tcPr>
            <w:tcW w:w="1276" w:type="dxa"/>
            <w:shd w:val="clear" w:color="auto" w:fill="auto"/>
            <w:vAlign w:val="center"/>
          </w:tcPr>
          <w:p w14:paraId="0D8C619B"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w:t>
            </w:r>
          </w:p>
        </w:tc>
      </w:tr>
      <w:tr w:rsidR="005357C6" w:rsidRPr="00D44604" w14:paraId="47C911EF" w14:textId="77777777" w:rsidTr="00FE6393">
        <w:trPr>
          <w:trHeight w:val="238"/>
          <w:jc w:val="center"/>
        </w:trPr>
        <w:tc>
          <w:tcPr>
            <w:tcW w:w="2269" w:type="dxa"/>
            <w:shd w:val="clear" w:color="auto" w:fill="auto"/>
            <w:vAlign w:val="center"/>
          </w:tcPr>
          <w:p w14:paraId="75BEEA36" w14:textId="77777777" w:rsidR="005357C6" w:rsidRPr="00D44604" w:rsidRDefault="005357C6" w:rsidP="00475564">
            <w:pPr>
              <w:keepNext/>
              <w:keepLines/>
              <w:spacing w:before="40" w:after="40" w:line="240" w:lineRule="auto"/>
              <w:ind w:left="113"/>
              <w:rPr>
                <w:rFonts w:eastAsia="Times New Roman" w:cs="Arial"/>
                <w:bCs/>
                <w:spacing w:val="-2"/>
                <w:sz w:val="14"/>
                <w:szCs w:val="14"/>
                <w:lang w:eastAsia="pt-BR"/>
              </w:rPr>
            </w:pPr>
            <w:r w:rsidRPr="00D44604">
              <w:rPr>
                <w:rFonts w:eastAsia="Times New Roman" w:cs="Arial"/>
                <w:bCs/>
                <w:spacing w:val="-2"/>
                <w:sz w:val="14"/>
                <w:szCs w:val="14"/>
                <w:lang w:eastAsia="pt-BR"/>
              </w:rPr>
              <w:t>Other financial expenses</w:t>
            </w:r>
          </w:p>
        </w:tc>
        <w:tc>
          <w:tcPr>
            <w:tcW w:w="1087" w:type="dxa"/>
            <w:shd w:val="clear" w:color="auto" w:fill="auto"/>
            <w:vAlign w:val="center"/>
          </w:tcPr>
          <w:p w14:paraId="382C0178"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(5</w:t>
            </w:r>
            <w:r>
              <w:rPr>
                <w:rFonts w:cs="Arial"/>
                <w:bCs/>
                <w:sz w:val="14"/>
                <w:szCs w:val="14"/>
              </w:rPr>
              <w:t>,</w:t>
            </w:r>
            <w:r w:rsidRPr="00C05F1D">
              <w:rPr>
                <w:rFonts w:cs="Arial"/>
                <w:bCs/>
                <w:sz w:val="14"/>
                <w:szCs w:val="14"/>
              </w:rPr>
              <w:t>304)</w:t>
            </w:r>
          </w:p>
        </w:tc>
        <w:tc>
          <w:tcPr>
            <w:tcW w:w="1087" w:type="dxa"/>
            <w:shd w:val="clear" w:color="auto" w:fill="auto"/>
            <w:vAlign w:val="center"/>
          </w:tcPr>
          <w:p w14:paraId="0B412925"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(101</w:t>
            </w:r>
            <w:r>
              <w:rPr>
                <w:rFonts w:cs="Arial"/>
                <w:bCs/>
                <w:sz w:val="14"/>
                <w:szCs w:val="14"/>
              </w:rPr>
              <w:t>,</w:t>
            </w:r>
            <w:r w:rsidRPr="00C05F1D">
              <w:rPr>
                <w:rFonts w:cs="Arial"/>
                <w:bCs/>
                <w:sz w:val="14"/>
                <w:szCs w:val="14"/>
              </w:rPr>
              <w:t>056)</w:t>
            </w:r>
          </w:p>
        </w:tc>
        <w:tc>
          <w:tcPr>
            <w:tcW w:w="1087" w:type="dxa"/>
            <w:shd w:val="clear" w:color="auto" w:fill="auto"/>
            <w:vAlign w:val="center"/>
          </w:tcPr>
          <w:p w14:paraId="5DD42E08"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(13)</w:t>
            </w:r>
          </w:p>
        </w:tc>
        <w:tc>
          <w:tcPr>
            <w:tcW w:w="283" w:type="dxa"/>
            <w:shd w:val="clear" w:color="auto" w:fill="auto"/>
            <w:vAlign w:val="center"/>
          </w:tcPr>
          <w:p w14:paraId="2FF6CE96"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2A6016A0"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(1</w:t>
            </w:r>
            <w:r>
              <w:rPr>
                <w:rFonts w:cs="Arial"/>
                <w:sz w:val="14"/>
                <w:szCs w:val="14"/>
              </w:rPr>
              <w:t>,</w:t>
            </w:r>
            <w:r w:rsidRPr="006B2B70">
              <w:rPr>
                <w:rFonts w:cs="Arial"/>
                <w:sz w:val="14"/>
                <w:szCs w:val="14"/>
              </w:rPr>
              <w:t>768)</w:t>
            </w:r>
          </w:p>
        </w:tc>
        <w:tc>
          <w:tcPr>
            <w:tcW w:w="1275" w:type="dxa"/>
            <w:shd w:val="clear" w:color="auto" w:fill="auto"/>
            <w:vAlign w:val="center"/>
          </w:tcPr>
          <w:p w14:paraId="4350D290"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(66</w:t>
            </w:r>
            <w:r>
              <w:rPr>
                <w:rFonts w:cs="Arial"/>
                <w:sz w:val="14"/>
                <w:szCs w:val="14"/>
              </w:rPr>
              <w:t>,</w:t>
            </w:r>
            <w:r w:rsidRPr="006B2B70">
              <w:rPr>
                <w:rFonts w:cs="Arial"/>
                <w:sz w:val="14"/>
                <w:szCs w:val="14"/>
              </w:rPr>
              <w:t>657)</w:t>
            </w:r>
          </w:p>
        </w:tc>
        <w:tc>
          <w:tcPr>
            <w:tcW w:w="1276" w:type="dxa"/>
            <w:shd w:val="clear" w:color="auto" w:fill="auto"/>
            <w:vAlign w:val="center"/>
          </w:tcPr>
          <w:p w14:paraId="0EAAC15F"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w:t>
            </w:r>
          </w:p>
        </w:tc>
      </w:tr>
      <w:tr w:rsidR="005357C6" w:rsidRPr="00FE6393" w14:paraId="7B499B96" w14:textId="77777777" w:rsidTr="00FE6393">
        <w:trPr>
          <w:trHeight w:val="238"/>
          <w:jc w:val="center"/>
        </w:trPr>
        <w:tc>
          <w:tcPr>
            <w:tcW w:w="2269" w:type="dxa"/>
            <w:shd w:val="clear" w:color="auto" w:fill="auto"/>
            <w:vAlign w:val="center"/>
          </w:tcPr>
          <w:p w14:paraId="07C1CF0D" w14:textId="77777777" w:rsidR="005357C6" w:rsidRPr="00FE6393" w:rsidRDefault="005357C6" w:rsidP="00475564">
            <w:pPr>
              <w:keepNext/>
              <w:keepLines/>
              <w:spacing w:before="40" w:after="40" w:line="240" w:lineRule="auto"/>
              <w:rPr>
                <w:rFonts w:eastAsia="Times New Roman" w:cs="Arial"/>
                <w:b/>
                <w:spacing w:val="-2"/>
                <w:sz w:val="14"/>
                <w:szCs w:val="14"/>
                <w:lang w:eastAsia="pt-BR"/>
              </w:rPr>
            </w:pPr>
            <w:r w:rsidRPr="00FE6393">
              <w:rPr>
                <w:rFonts w:eastAsia="Times New Roman" w:cs="Arial"/>
                <w:b/>
                <w:color w:val="000000"/>
                <w:spacing w:val="-2"/>
                <w:sz w:val="14"/>
                <w:szCs w:val="14"/>
                <w:lang w:eastAsia="pt-BR"/>
              </w:rPr>
              <w:t>Equity result</w:t>
            </w:r>
          </w:p>
        </w:tc>
        <w:tc>
          <w:tcPr>
            <w:tcW w:w="1087" w:type="dxa"/>
            <w:shd w:val="clear" w:color="auto" w:fill="auto"/>
            <w:vAlign w:val="center"/>
          </w:tcPr>
          <w:p w14:paraId="3130D54E"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(4</w:t>
            </w:r>
            <w:r>
              <w:rPr>
                <w:rFonts w:cs="Arial"/>
                <w:b/>
                <w:sz w:val="14"/>
                <w:szCs w:val="14"/>
              </w:rPr>
              <w:t>,</w:t>
            </w:r>
            <w:r w:rsidRPr="00C05F1D">
              <w:rPr>
                <w:rFonts w:cs="Arial"/>
                <w:b/>
                <w:sz w:val="14"/>
                <w:szCs w:val="14"/>
              </w:rPr>
              <w:t>055)</w:t>
            </w:r>
          </w:p>
        </w:tc>
        <w:tc>
          <w:tcPr>
            <w:tcW w:w="1087" w:type="dxa"/>
            <w:shd w:val="clear" w:color="auto" w:fill="auto"/>
            <w:vAlign w:val="center"/>
          </w:tcPr>
          <w:p w14:paraId="3973D1ED"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(35</w:t>
            </w:r>
            <w:r>
              <w:rPr>
                <w:rFonts w:cs="Arial"/>
                <w:b/>
                <w:sz w:val="14"/>
                <w:szCs w:val="14"/>
              </w:rPr>
              <w:t>,</w:t>
            </w:r>
            <w:r w:rsidRPr="00C05F1D">
              <w:rPr>
                <w:rFonts w:cs="Arial"/>
                <w:b/>
                <w:sz w:val="14"/>
                <w:szCs w:val="14"/>
              </w:rPr>
              <w:t>090)</w:t>
            </w:r>
          </w:p>
        </w:tc>
        <w:tc>
          <w:tcPr>
            <w:tcW w:w="1087" w:type="dxa"/>
            <w:shd w:val="clear" w:color="auto" w:fill="auto"/>
            <w:vAlign w:val="center"/>
          </w:tcPr>
          <w:p w14:paraId="2B493A9B"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w:t>
            </w:r>
            <w:r>
              <w:rPr>
                <w:rFonts w:cs="Arial"/>
                <w:b/>
                <w:sz w:val="14"/>
                <w:szCs w:val="14"/>
              </w:rPr>
              <w:t>,</w:t>
            </w:r>
            <w:r w:rsidRPr="00C05F1D">
              <w:rPr>
                <w:rFonts w:cs="Arial"/>
                <w:b/>
                <w:sz w:val="14"/>
                <w:szCs w:val="14"/>
              </w:rPr>
              <w:t>795</w:t>
            </w:r>
            <w:r>
              <w:rPr>
                <w:rFonts w:cs="Arial"/>
                <w:b/>
                <w:sz w:val="14"/>
                <w:szCs w:val="14"/>
              </w:rPr>
              <w:t>,</w:t>
            </w:r>
            <w:r w:rsidRPr="00C05F1D">
              <w:rPr>
                <w:rFonts w:cs="Arial"/>
                <w:b/>
                <w:sz w:val="14"/>
                <w:szCs w:val="14"/>
              </w:rPr>
              <w:t xml:space="preserve">536 </w:t>
            </w:r>
          </w:p>
        </w:tc>
        <w:tc>
          <w:tcPr>
            <w:tcW w:w="283" w:type="dxa"/>
            <w:shd w:val="clear" w:color="auto" w:fill="auto"/>
            <w:vAlign w:val="center"/>
          </w:tcPr>
          <w:p w14:paraId="335A070E"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1FCD6726"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(4</w:t>
            </w:r>
            <w:r>
              <w:rPr>
                <w:rFonts w:cs="Arial"/>
                <w:b/>
                <w:bCs/>
                <w:sz w:val="14"/>
                <w:szCs w:val="14"/>
              </w:rPr>
              <w:t>,</w:t>
            </w:r>
            <w:r w:rsidRPr="006B2B70">
              <w:rPr>
                <w:rFonts w:cs="Arial"/>
                <w:b/>
                <w:bCs/>
                <w:sz w:val="14"/>
                <w:szCs w:val="14"/>
              </w:rPr>
              <w:t>933)</w:t>
            </w:r>
          </w:p>
        </w:tc>
        <w:tc>
          <w:tcPr>
            <w:tcW w:w="1275" w:type="dxa"/>
            <w:shd w:val="clear" w:color="auto" w:fill="auto"/>
            <w:vAlign w:val="center"/>
          </w:tcPr>
          <w:p w14:paraId="25FAE616"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(35</w:t>
            </w:r>
            <w:r>
              <w:rPr>
                <w:rFonts w:cs="Arial"/>
                <w:b/>
                <w:bCs/>
                <w:sz w:val="14"/>
                <w:szCs w:val="14"/>
              </w:rPr>
              <w:t>,</w:t>
            </w:r>
            <w:r w:rsidRPr="006B2B70">
              <w:rPr>
                <w:rFonts w:cs="Arial"/>
                <w:b/>
                <w:bCs/>
                <w:sz w:val="14"/>
                <w:szCs w:val="14"/>
              </w:rPr>
              <w:t>160)</w:t>
            </w:r>
          </w:p>
        </w:tc>
        <w:tc>
          <w:tcPr>
            <w:tcW w:w="1276" w:type="dxa"/>
            <w:shd w:val="clear" w:color="auto" w:fill="auto"/>
            <w:vAlign w:val="center"/>
          </w:tcPr>
          <w:p w14:paraId="2559A632"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w:t>
            </w:r>
            <w:r>
              <w:rPr>
                <w:rFonts w:cs="Arial"/>
                <w:b/>
                <w:bCs/>
                <w:sz w:val="14"/>
                <w:szCs w:val="14"/>
              </w:rPr>
              <w:t>,</w:t>
            </w:r>
            <w:r w:rsidRPr="006B2B70">
              <w:rPr>
                <w:rFonts w:cs="Arial"/>
                <w:b/>
                <w:bCs/>
                <w:sz w:val="14"/>
                <w:szCs w:val="14"/>
              </w:rPr>
              <w:t>441</w:t>
            </w:r>
            <w:r>
              <w:rPr>
                <w:rFonts w:cs="Arial"/>
                <w:b/>
                <w:bCs/>
                <w:sz w:val="14"/>
                <w:szCs w:val="14"/>
              </w:rPr>
              <w:t>,</w:t>
            </w:r>
            <w:r w:rsidRPr="006B2B70">
              <w:rPr>
                <w:rFonts w:cs="Arial"/>
                <w:b/>
                <w:bCs/>
                <w:sz w:val="14"/>
                <w:szCs w:val="14"/>
              </w:rPr>
              <w:t>444</w:t>
            </w:r>
          </w:p>
        </w:tc>
      </w:tr>
      <w:tr w:rsidR="005357C6" w:rsidRPr="000052B7" w14:paraId="3D09E84A" w14:textId="77777777" w:rsidTr="00FE6393">
        <w:trPr>
          <w:trHeight w:val="238"/>
          <w:jc w:val="center"/>
        </w:trPr>
        <w:tc>
          <w:tcPr>
            <w:tcW w:w="2269" w:type="dxa"/>
            <w:shd w:val="clear" w:color="auto" w:fill="auto"/>
            <w:vAlign w:val="center"/>
          </w:tcPr>
          <w:p w14:paraId="51E2B803" w14:textId="77777777" w:rsidR="005357C6" w:rsidRPr="000052B7"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0052B7">
              <w:rPr>
                <w:rFonts w:eastAsia="Times New Roman" w:cs="Arial"/>
                <w:bCs/>
                <w:color w:val="000000"/>
                <w:spacing w:val="-2"/>
                <w:sz w:val="14"/>
                <w:szCs w:val="14"/>
                <w:lang w:eastAsia="pt-BR"/>
              </w:rPr>
              <w:t>Depreciation and amortization</w:t>
            </w:r>
          </w:p>
        </w:tc>
        <w:tc>
          <w:tcPr>
            <w:tcW w:w="1087" w:type="dxa"/>
            <w:shd w:val="clear" w:color="auto" w:fill="auto"/>
            <w:vAlign w:val="center"/>
          </w:tcPr>
          <w:p w14:paraId="01BA21F0" w14:textId="77777777" w:rsidR="005357C6" w:rsidRPr="000052B7"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C05F1D">
              <w:rPr>
                <w:rFonts w:cs="Arial"/>
                <w:bCs/>
                <w:sz w:val="14"/>
                <w:szCs w:val="14"/>
              </w:rPr>
              <w:t xml:space="preserve">  (4</w:t>
            </w:r>
            <w:r>
              <w:rPr>
                <w:rFonts w:cs="Arial"/>
                <w:bCs/>
                <w:sz w:val="14"/>
                <w:szCs w:val="14"/>
              </w:rPr>
              <w:t>,</w:t>
            </w:r>
            <w:r w:rsidRPr="00C05F1D">
              <w:rPr>
                <w:rFonts w:cs="Arial"/>
                <w:bCs/>
                <w:sz w:val="14"/>
                <w:szCs w:val="14"/>
              </w:rPr>
              <w:t>056)</w:t>
            </w:r>
          </w:p>
        </w:tc>
        <w:tc>
          <w:tcPr>
            <w:tcW w:w="1087" w:type="dxa"/>
            <w:shd w:val="clear" w:color="auto" w:fill="auto"/>
            <w:vAlign w:val="center"/>
          </w:tcPr>
          <w:p w14:paraId="5CB4954E" w14:textId="77777777" w:rsidR="005357C6" w:rsidRPr="000052B7"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C05F1D">
              <w:rPr>
                <w:rFonts w:cs="Arial"/>
                <w:bCs/>
                <w:sz w:val="14"/>
                <w:szCs w:val="14"/>
              </w:rPr>
              <w:t xml:space="preserve">  (35</w:t>
            </w:r>
            <w:r>
              <w:rPr>
                <w:rFonts w:cs="Arial"/>
                <w:bCs/>
                <w:sz w:val="14"/>
                <w:szCs w:val="14"/>
              </w:rPr>
              <w:t>,</w:t>
            </w:r>
            <w:r w:rsidRPr="00C05F1D">
              <w:rPr>
                <w:rFonts w:cs="Arial"/>
                <w:bCs/>
                <w:sz w:val="14"/>
                <w:szCs w:val="14"/>
              </w:rPr>
              <w:t>139)</w:t>
            </w:r>
          </w:p>
        </w:tc>
        <w:tc>
          <w:tcPr>
            <w:tcW w:w="1087" w:type="dxa"/>
            <w:shd w:val="clear" w:color="auto" w:fill="auto"/>
            <w:vAlign w:val="center"/>
          </w:tcPr>
          <w:p w14:paraId="16D0B61F" w14:textId="77777777" w:rsidR="005357C6" w:rsidRPr="000052B7"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5FE77324" w14:textId="77777777" w:rsidR="005357C6" w:rsidRPr="000052B7"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p>
        </w:tc>
        <w:tc>
          <w:tcPr>
            <w:tcW w:w="1275" w:type="dxa"/>
            <w:shd w:val="clear" w:color="auto" w:fill="auto"/>
            <w:vAlign w:val="center"/>
          </w:tcPr>
          <w:p w14:paraId="4D39088A" w14:textId="77777777" w:rsidR="005357C6" w:rsidRPr="000052B7"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6B2B70">
              <w:rPr>
                <w:rFonts w:cs="Arial"/>
                <w:sz w:val="14"/>
                <w:szCs w:val="14"/>
              </w:rPr>
              <w:t>(4</w:t>
            </w:r>
            <w:r>
              <w:rPr>
                <w:rFonts w:cs="Arial"/>
                <w:sz w:val="14"/>
                <w:szCs w:val="14"/>
              </w:rPr>
              <w:t>,</w:t>
            </w:r>
            <w:r w:rsidRPr="006B2B70">
              <w:rPr>
                <w:rFonts w:cs="Arial"/>
                <w:sz w:val="14"/>
                <w:szCs w:val="14"/>
              </w:rPr>
              <w:t>933)</w:t>
            </w:r>
          </w:p>
        </w:tc>
        <w:tc>
          <w:tcPr>
            <w:tcW w:w="1275" w:type="dxa"/>
            <w:shd w:val="clear" w:color="auto" w:fill="auto"/>
            <w:vAlign w:val="center"/>
          </w:tcPr>
          <w:p w14:paraId="20097585" w14:textId="77777777" w:rsidR="005357C6" w:rsidRPr="000052B7"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6B2B70">
              <w:rPr>
                <w:rFonts w:cs="Arial"/>
                <w:sz w:val="14"/>
                <w:szCs w:val="14"/>
              </w:rPr>
              <w:t>(36</w:t>
            </w:r>
            <w:r>
              <w:rPr>
                <w:rFonts w:cs="Arial"/>
                <w:sz w:val="14"/>
                <w:szCs w:val="14"/>
              </w:rPr>
              <w:t>,</w:t>
            </w:r>
            <w:r w:rsidRPr="006B2B70">
              <w:rPr>
                <w:rFonts w:cs="Arial"/>
                <w:sz w:val="14"/>
                <w:szCs w:val="14"/>
              </w:rPr>
              <w:t>826)</w:t>
            </w:r>
          </w:p>
        </w:tc>
        <w:tc>
          <w:tcPr>
            <w:tcW w:w="1276" w:type="dxa"/>
            <w:shd w:val="clear" w:color="auto" w:fill="auto"/>
            <w:vAlign w:val="center"/>
          </w:tcPr>
          <w:p w14:paraId="25EE2B90" w14:textId="77777777" w:rsidR="005357C6" w:rsidRPr="000052B7"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6B2B70">
              <w:rPr>
                <w:rFonts w:cs="Arial"/>
                <w:sz w:val="14"/>
                <w:szCs w:val="14"/>
              </w:rPr>
              <w:t>--</w:t>
            </w:r>
          </w:p>
        </w:tc>
      </w:tr>
      <w:tr w:rsidR="005357C6" w:rsidRPr="00D44604" w14:paraId="149C58B6" w14:textId="77777777" w:rsidTr="00FE6393">
        <w:trPr>
          <w:trHeight w:val="238"/>
          <w:jc w:val="center"/>
        </w:trPr>
        <w:tc>
          <w:tcPr>
            <w:tcW w:w="2269" w:type="dxa"/>
            <w:shd w:val="clear" w:color="auto" w:fill="auto"/>
            <w:vAlign w:val="center"/>
          </w:tcPr>
          <w:p w14:paraId="40212278" w14:textId="77777777" w:rsidR="005357C6" w:rsidRPr="00D44604"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D44604">
              <w:rPr>
                <w:rFonts w:eastAsia="Times New Roman" w:cs="Arial"/>
                <w:bCs/>
                <w:color w:val="000000"/>
                <w:spacing w:val="-2"/>
                <w:sz w:val="14"/>
                <w:szCs w:val="14"/>
                <w:lang w:eastAsia="pt-BR"/>
              </w:rPr>
              <w:t>Other equity income / expenses</w:t>
            </w:r>
          </w:p>
        </w:tc>
        <w:tc>
          <w:tcPr>
            <w:tcW w:w="1087" w:type="dxa"/>
            <w:shd w:val="clear" w:color="auto" w:fill="auto"/>
            <w:vAlign w:val="center"/>
          </w:tcPr>
          <w:p w14:paraId="5234294A"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 </w:t>
            </w:r>
          </w:p>
        </w:tc>
        <w:tc>
          <w:tcPr>
            <w:tcW w:w="1087" w:type="dxa"/>
            <w:shd w:val="clear" w:color="auto" w:fill="auto"/>
            <w:vAlign w:val="center"/>
          </w:tcPr>
          <w:p w14:paraId="3620D19A"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49 </w:t>
            </w:r>
          </w:p>
        </w:tc>
        <w:tc>
          <w:tcPr>
            <w:tcW w:w="1087" w:type="dxa"/>
            <w:shd w:val="clear" w:color="auto" w:fill="auto"/>
            <w:vAlign w:val="center"/>
          </w:tcPr>
          <w:p w14:paraId="2415D2FE"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2</w:t>
            </w:r>
            <w:r>
              <w:rPr>
                <w:rFonts w:cs="Arial"/>
                <w:bCs/>
                <w:sz w:val="14"/>
                <w:szCs w:val="14"/>
              </w:rPr>
              <w:t>,</w:t>
            </w:r>
            <w:r w:rsidRPr="00C05F1D">
              <w:rPr>
                <w:rFonts w:cs="Arial"/>
                <w:bCs/>
                <w:sz w:val="14"/>
                <w:szCs w:val="14"/>
              </w:rPr>
              <w:t>795</w:t>
            </w:r>
            <w:r>
              <w:rPr>
                <w:rFonts w:cs="Arial"/>
                <w:bCs/>
                <w:sz w:val="14"/>
                <w:szCs w:val="14"/>
              </w:rPr>
              <w:t>,</w:t>
            </w:r>
            <w:r w:rsidRPr="00C05F1D">
              <w:rPr>
                <w:rFonts w:cs="Arial"/>
                <w:bCs/>
                <w:sz w:val="14"/>
                <w:szCs w:val="14"/>
              </w:rPr>
              <w:t xml:space="preserve">536 </w:t>
            </w:r>
          </w:p>
        </w:tc>
        <w:tc>
          <w:tcPr>
            <w:tcW w:w="283" w:type="dxa"/>
            <w:shd w:val="clear" w:color="auto" w:fill="auto"/>
            <w:vAlign w:val="center"/>
          </w:tcPr>
          <w:p w14:paraId="744C3023"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29DFB510"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w:t>
            </w:r>
          </w:p>
        </w:tc>
        <w:tc>
          <w:tcPr>
            <w:tcW w:w="1275" w:type="dxa"/>
            <w:shd w:val="clear" w:color="auto" w:fill="auto"/>
            <w:vAlign w:val="center"/>
          </w:tcPr>
          <w:p w14:paraId="0631F484"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1</w:t>
            </w:r>
            <w:r>
              <w:rPr>
                <w:rFonts w:cs="Arial"/>
                <w:sz w:val="14"/>
                <w:szCs w:val="14"/>
              </w:rPr>
              <w:t>,</w:t>
            </w:r>
            <w:r w:rsidRPr="006B2B70">
              <w:rPr>
                <w:rFonts w:cs="Arial"/>
                <w:sz w:val="14"/>
                <w:szCs w:val="14"/>
              </w:rPr>
              <w:t>666</w:t>
            </w:r>
          </w:p>
        </w:tc>
        <w:tc>
          <w:tcPr>
            <w:tcW w:w="1276" w:type="dxa"/>
            <w:shd w:val="clear" w:color="auto" w:fill="auto"/>
            <w:vAlign w:val="center"/>
          </w:tcPr>
          <w:p w14:paraId="457E2D4A"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1</w:t>
            </w:r>
            <w:r>
              <w:rPr>
                <w:rFonts w:cs="Arial"/>
                <w:sz w:val="14"/>
                <w:szCs w:val="14"/>
              </w:rPr>
              <w:t>,</w:t>
            </w:r>
            <w:r w:rsidRPr="006B2B70">
              <w:rPr>
                <w:rFonts w:cs="Arial"/>
                <w:sz w:val="14"/>
                <w:szCs w:val="14"/>
              </w:rPr>
              <w:t>441</w:t>
            </w:r>
            <w:r>
              <w:rPr>
                <w:rFonts w:cs="Arial"/>
                <w:sz w:val="14"/>
                <w:szCs w:val="14"/>
              </w:rPr>
              <w:t>,</w:t>
            </w:r>
            <w:r w:rsidRPr="006B2B70">
              <w:rPr>
                <w:rFonts w:cs="Arial"/>
                <w:sz w:val="14"/>
                <w:szCs w:val="14"/>
              </w:rPr>
              <w:t>444</w:t>
            </w:r>
          </w:p>
        </w:tc>
      </w:tr>
      <w:tr w:rsidR="005357C6" w:rsidRPr="00FE6393" w14:paraId="3B378B7F" w14:textId="77777777" w:rsidTr="00FE6393">
        <w:trPr>
          <w:trHeight w:val="238"/>
          <w:jc w:val="center"/>
        </w:trPr>
        <w:tc>
          <w:tcPr>
            <w:tcW w:w="2269" w:type="dxa"/>
            <w:shd w:val="clear" w:color="auto" w:fill="auto"/>
            <w:vAlign w:val="center"/>
          </w:tcPr>
          <w:p w14:paraId="4D03F603" w14:textId="77777777" w:rsidR="005357C6" w:rsidRPr="00FE6393" w:rsidRDefault="005357C6" w:rsidP="00475564">
            <w:pPr>
              <w:keepNext/>
              <w:keepLines/>
              <w:spacing w:before="40" w:after="40" w:line="240" w:lineRule="auto"/>
              <w:rPr>
                <w:rFonts w:eastAsia="Times New Roman" w:cs="Arial"/>
                <w:b/>
                <w:color w:val="000000"/>
                <w:spacing w:val="-2"/>
                <w:sz w:val="14"/>
                <w:szCs w:val="14"/>
                <w:lang w:eastAsia="pt-BR"/>
              </w:rPr>
            </w:pPr>
            <w:r w:rsidRPr="00FE6393">
              <w:rPr>
                <w:rFonts w:eastAsia="Times New Roman" w:cs="Arial"/>
                <w:b/>
                <w:color w:val="000000"/>
                <w:spacing w:val="-2"/>
                <w:sz w:val="14"/>
                <w:szCs w:val="14"/>
                <w:lang w:eastAsia="pt-BR"/>
              </w:rPr>
              <w:t>Other income and expenses</w:t>
            </w:r>
          </w:p>
        </w:tc>
        <w:tc>
          <w:tcPr>
            <w:tcW w:w="1087" w:type="dxa"/>
            <w:shd w:val="clear" w:color="auto" w:fill="auto"/>
            <w:vAlign w:val="center"/>
          </w:tcPr>
          <w:p w14:paraId="2C01BE43"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(81</w:t>
            </w:r>
            <w:r>
              <w:rPr>
                <w:rFonts w:cs="Arial"/>
                <w:b/>
                <w:sz w:val="14"/>
                <w:szCs w:val="14"/>
              </w:rPr>
              <w:t>,</w:t>
            </w:r>
            <w:r w:rsidRPr="00C05F1D">
              <w:rPr>
                <w:rFonts w:cs="Arial"/>
                <w:b/>
                <w:sz w:val="14"/>
                <w:szCs w:val="14"/>
              </w:rPr>
              <w:t>580)</w:t>
            </w:r>
          </w:p>
        </w:tc>
        <w:tc>
          <w:tcPr>
            <w:tcW w:w="1087" w:type="dxa"/>
            <w:shd w:val="clear" w:color="auto" w:fill="auto"/>
            <w:vAlign w:val="center"/>
          </w:tcPr>
          <w:p w14:paraId="59ECDCC4"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(893</w:t>
            </w:r>
            <w:r>
              <w:rPr>
                <w:rFonts w:cs="Arial"/>
                <w:b/>
                <w:sz w:val="14"/>
                <w:szCs w:val="14"/>
              </w:rPr>
              <w:t>,</w:t>
            </w:r>
            <w:r w:rsidRPr="00C05F1D">
              <w:rPr>
                <w:rFonts w:cs="Arial"/>
                <w:b/>
                <w:sz w:val="14"/>
                <w:szCs w:val="14"/>
              </w:rPr>
              <w:t>800)</w:t>
            </w:r>
          </w:p>
        </w:tc>
        <w:tc>
          <w:tcPr>
            <w:tcW w:w="1087" w:type="dxa"/>
            <w:shd w:val="clear" w:color="auto" w:fill="auto"/>
            <w:vAlign w:val="center"/>
          </w:tcPr>
          <w:p w14:paraId="6EDE2F88"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(1</w:t>
            </w:r>
            <w:r>
              <w:rPr>
                <w:rFonts w:cs="Arial"/>
                <w:b/>
                <w:sz w:val="14"/>
                <w:szCs w:val="14"/>
              </w:rPr>
              <w:t>,</w:t>
            </w:r>
            <w:r w:rsidRPr="00C05F1D">
              <w:rPr>
                <w:rFonts w:cs="Arial"/>
                <w:b/>
                <w:sz w:val="14"/>
                <w:szCs w:val="14"/>
              </w:rPr>
              <w:t>533)</w:t>
            </w:r>
          </w:p>
        </w:tc>
        <w:tc>
          <w:tcPr>
            <w:tcW w:w="283" w:type="dxa"/>
            <w:shd w:val="clear" w:color="auto" w:fill="auto"/>
            <w:vAlign w:val="center"/>
          </w:tcPr>
          <w:p w14:paraId="5CD25690"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0C4FAA5B"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(66</w:t>
            </w:r>
            <w:r>
              <w:rPr>
                <w:rFonts w:cs="Arial"/>
                <w:b/>
                <w:bCs/>
                <w:sz w:val="14"/>
                <w:szCs w:val="14"/>
              </w:rPr>
              <w:t>,</w:t>
            </w:r>
            <w:r w:rsidRPr="006B2B70">
              <w:rPr>
                <w:rFonts w:cs="Arial"/>
                <w:b/>
                <w:bCs/>
                <w:sz w:val="14"/>
                <w:szCs w:val="14"/>
              </w:rPr>
              <w:t>074)</w:t>
            </w:r>
          </w:p>
        </w:tc>
        <w:tc>
          <w:tcPr>
            <w:tcW w:w="1275" w:type="dxa"/>
            <w:shd w:val="clear" w:color="auto" w:fill="auto"/>
            <w:vAlign w:val="center"/>
          </w:tcPr>
          <w:p w14:paraId="674728F1"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(676</w:t>
            </w:r>
            <w:r>
              <w:rPr>
                <w:rFonts w:cs="Arial"/>
                <w:b/>
                <w:bCs/>
                <w:sz w:val="14"/>
                <w:szCs w:val="14"/>
              </w:rPr>
              <w:t>,</w:t>
            </w:r>
            <w:r w:rsidRPr="006B2B70">
              <w:rPr>
                <w:rFonts w:cs="Arial"/>
                <w:b/>
                <w:bCs/>
                <w:sz w:val="14"/>
                <w:szCs w:val="14"/>
              </w:rPr>
              <w:t>094)</w:t>
            </w:r>
          </w:p>
        </w:tc>
        <w:tc>
          <w:tcPr>
            <w:tcW w:w="1276" w:type="dxa"/>
            <w:shd w:val="clear" w:color="auto" w:fill="auto"/>
            <w:vAlign w:val="center"/>
          </w:tcPr>
          <w:p w14:paraId="2FFA951F"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(335)</w:t>
            </w:r>
          </w:p>
        </w:tc>
      </w:tr>
      <w:tr w:rsidR="005357C6" w:rsidRPr="00D44604" w14:paraId="58D84AA2" w14:textId="77777777" w:rsidTr="00FE6393">
        <w:trPr>
          <w:trHeight w:val="238"/>
          <w:jc w:val="center"/>
        </w:trPr>
        <w:tc>
          <w:tcPr>
            <w:tcW w:w="2269" w:type="dxa"/>
            <w:shd w:val="clear" w:color="auto" w:fill="auto"/>
            <w:vAlign w:val="center"/>
          </w:tcPr>
          <w:p w14:paraId="5CEF5AAE" w14:textId="77777777" w:rsidR="005357C6" w:rsidRPr="00D44604"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D44604">
              <w:rPr>
                <w:rFonts w:eastAsia="Times New Roman" w:cs="Arial"/>
                <w:bCs/>
                <w:color w:val="000000"/>
                <w:spacing w:val="-2"/>
                <w:sz w:val="14"/>
                <w:szCs w:val="14"/>
                <w:lang w:eastAsia="pt-BR"/>
              </w:rPr>
              <w:t>Other expenses</w:t>
            </w:r>
          </w:p>
        </w:tc>
        <w:tc>
          <w:tcPr>
            <w:tcW w:w="1087" w:type="dxa"/>
            <w:shd w:val="clear" w:color="auto" w:fill="auto"/>
            <w:vAlign w:val="center"/>
          </w:tcPr>
          <w:p w14:paraId="6576B35B"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(81</w:t>
            </w:r>
            <w:r>
              <w:rPr>
                <w:rFonts w:cs="Arial"/>
                <w:bCs/>
                <w:sz w:val="14"/>
                <w:szCs w:val="14"/>
              </w:rPr>
              <w:t>,</w:t>
            </w:r>
            <w:r w:rsidRPr="00C05F1D">
              <w:rPr>
                <w:rFonts w:cs="Arial"/>
                <w:bCs/>
                <w:sz w:val="14"/>
                <w:szCs w:val="14"/>
              </w:rPr>
              <w:t>580)</w:t>
            </w:r>
          </w:p>
        </w:tc>
        <w:tc>
          <w:tcPr>
            <w:tcW w:w="1087" w:type="dxa"/>
            <w:shd w:val="clear" w:color="auto" w:fill="auto"/>
            <w:vAlign w:val="center"/>
          </w:tcPr>
          <w:p w14:paraId="15CB845A"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(893</w:t>
            </w:r>
            <w:r>
              <w:rPr>
                <w:rFonts w:cs="Arial"/>
                <w:bCs/>
                <w:sz w:val="14"/>
                <w:szCs w:val="14"/>
              </w:rPr>
              <w:t>,</w:t>
            </w:r>
            <w:r w:rsidRPr="00C05F1D">
              <w:rPr>
                <w:rFonts w:cs="Arial"/>
                <w:bCs/>
                <w:sz w:val="14"/>
                <w:szCs w:val="14"/>
              </w:rPr>
              <w:t>800)</w:t>
            </w:r>
          </w:p>
        </w:tc>
        <w:tc>
          <w:tcPr>
            <w:tcW w:w="1087" w:type="dxa"/>
            <w:shd w:val="clear" w:color="auto" w:fill="auto"/>
            <w:vAlign w:val="center"/>
          </w:tcPr>
          <w:p w14:paraId="3BA11F73"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w:t>
            </w:r>
            <w:r>
              <w:rPr>
                <w:rFonts w:cs="Arial"/>
                <w:bCs/>
                <w:sz w:val="14"/>
                <w:szCs w:val="14"/>
              </w:rPr>
              <w:t>,</w:t>
            </w:r>
            <w:r w:rsidRPr="00C05F1D">
              <w:rPr>
                <w:rFonts w:cs="Arial"/>
                <w:bCs/>
                <w:sz w:val="14"/>
                <w:szCs w:val="14"/>
              </w:rPr>
              <w:t>533)</w:t>
            </w:r>
          </w:p>
        </w:tc>
        <w:tc>
          <w:tcPr>
            <w:tcW w:w="283" w:type="dxa"/>
            <w:shd w:val="clear" w:color="auto" w:fill="auto"/>
            <w:vAlign w:val="center"/>
          </w:tcPr>
          <w:p w14:paraId="2F4065CE"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548E604F"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(66</w:t>
            </w:r>
            <w:r>
              <w:rPr>
                <w:rFonts w:cs="Arial"/>
                <w:sz w:val="14"/>
                <w:szCs w:val="14"/>
              </w:rPr>
              <w:t>,</w:t>
            </w:r>
            <w:r w:rsidRPr="006B2B70">
              <w:rPr>
                <w:rFonts w:cs="Arial"/>
                <w:sz w:val="14"/>
                <w:szCs w:val="14"/>
              </w:rPr>
              <w:t>074)</w:t>
            </w:r>
          </w:p>
        </w:tc>
        <w:tc>
          <w:tcPr>
            <w:tcW w:w="1275" w:type="dxa"/>
            <w:shd w:val="clear" w:color="auto" w:fill="auto"/>
            <w:vAlign w:val="center"/>
          </w:tcPr>
          <w:p w14:paraId="751193AF"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(676</w:t>
            </w:r>
            <w:r>
              <w:rPr>
                <w:rFonts w:cs="Arial"/>
                <w:sz w:val="14"/>
                <w:szCs w:val="14"/>
              </w:rPr>
              <w:t>,</w:t>
            </w:r>
            <w:r w:rsidRPr="006B2B70">
              <w:rPr>
                <w:rFonts w:cs="Arial"/>
                <w:sz w:val="14"/>
                <w:szCs w:val="14"/>
              </w:rPr>
              <w:t>094)</w:t>
            </w:r>
          </w:p>
        </w:tc>
        <w:tc>
          <w:tcPr>
            <w:tcW w:w="1276" w:type="dxa"/>
            <w:shd w:val="clear" w:color="auto" w:fill="auto"/>
            <w:vAlign w:val="center"/>
          </w:tcPr>
          <w:p w14:paraId="3E5B8A60" w14:textId="77777777" w:rsidR="005357C6" w:rsidRPr="00D44604"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(335)</w:t>
            </w:r>
          </w:p>
        </w:tc>
      </w:tr>
      <w:tr w:rsidR="005357C6" w:rsidRPr="00FE6393" w14:paraId="2FA5C08F" w14:textId="77777777" w:rsidTr="00FE6393">
        <w:trPr>
          <w:trHeight w:val="238"/>
          <w:jc w:val="center"/>
        </w:trPr>
        <w:tc>
          <w:tcPr>
            <w:tcW w:w="2269" w:type="dxa"/>
            <w:shd w:val="clear" w:color="auto" w:fill="auto"/>
            <w:vAlign w:val="center"/>
          </w:tcPr>
          <w:p w14:paraId="7CB406CF" w14:textId="77777777" w:rsidR="005357C6" w:rsidRPr="00FE6393" w:rsidRDefault="005357C6" w:rsidP="00475564">
            <w:pPr>
              <w:keepNext/>
              <w:keepLines/>
              <w:spacing w:before="40" w:after="40" w:line="240" w:lineRule="auto"/>
              <w:rPr>
                <w:rFonts w:eastAsia="Times New Roman" w:cs="Arial"/>
                <w:b/>
                <w:color w:val="000000"/>
                <w:spacing w:val="-2"/>
                <w:sz w:val="14"/>
                <w:szCs w:val="14"/>
                <w:lang w:eastAsia="pt-BR"/>
              </w:rPr>
            </w:pPr>
            <w:r w:rsidRPr="00FE6393">
              <w:rPr>
                <w:rFonts w:eastAsia="Times New Roman" w:cs="Arial"/>
                <w:b/>
                <w:color w:val="000000"/>
                <w:spacing w:val="-2"/>
                <w:sz w:val="14"/>
                <w:szCs w:val="14"/>
                <w:lang w:eastAsia="pt-BR"/>
              </w:rPr>
              <w:t>Operational result</w:t>
            </w:r>
          </w:p>
        </w:tc>
        <w:tc>
          <w:tcPr>
            <w:tcW w:w="1087" w:type="dxa"/>
            <w:shd w:val="clear" w:color="auto" w:fill="auto"/>
            <w:vAlign w:val="center"/>
          </w:tcPr>
          <w:p w14:paraId="21762ADD"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77</w:t>
            </w:r>
            <w:r>
              <w:rPr>
                <w:rFonts w:cs="Arial"/>
                <w:b/>
                <w:sz w:val="14"/>
                <w:szCs w:val="14"/>
              </w:rPr>
              <w:t>,</w:t>
            </w:r>
            <w:r w:rsidRPr="00C05F1D">
              <w:rPr>
                <w:rFonts w:cs="Arial"/>
                <w:b/>
                <w:sz w:val="14"/>
                <w:szCs w:val="14"/>
              </w:rPr>
              <w:t xml:space="preserve">443 </w:t>
            </w:r>
          </w:p>
        </w:tc>
        <w:tc>
          <w:tcPr>
            <w:tcW w:w="1087" w:type="dxa"/>
            <w:shd w:val="clear" w:color="auto" w:fill="auto"/>
            <w:vAlign w:val="center"/>
          </w:tcPr>
          <w:p w14:paraId="4D5716E8"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3</w:t>
            </w:r>
            <w:r>
              <w:rPr>
                <w:rFonts w:cs="Arial"/>
                <w:b/>
                <w:sz w:val="14"/>
                <w:szCs w:val="14"/>
              </w:rPr>
              <w:t>,</w:t>
            </w:r>
            <w:r w:rsidRPr="00C05F1D">
              <w:rPr>
                <w:rFonts w:cs="Arial"/>
                <w:b/>
                <w:sz w:val="14"/>
                <w:szCs w:val="14"/>
              </w:rPr>
              <w:t>803</w:t>
            </w:r>
            <w:r>
              <w:rPr>
                <w:rFonts w:cs="Arial"/>
                <w:b/>
                <w:sz w:val="14"/>
                <w:szCs w:val="14"/>
              </w:rPr>
              <w:t>,</w:t>
            </w:r>
            <w:r w:rsidRPr="00C05F1D">
              <w:rPr>
                <w:rFonts w:cs="Arial"/>
                <w:b/>
                <w:sz w:val="14"/>
                <w:szCs w:val="14"/>
              </w:rPr>
              <w:t xml:space="preserve">394 </w:t>
            </w:r>
          </w:p>
        </w:tc>
        <w:tc>
          <w:tcPr>
            <w:tcW w:w="1087" w:type="dxa"/>
            <w:shd w:val="clear" w:color="auto" w:fill="auto"/>
            <w:vAlign w:val="center"/>
          </w:tcPr>
          <w:p w14:paraId="2116AC15"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w:t>
            </w:r>
            <w:r>
              <w:rPr>
                <w:rFonts w:cs="Arial"/>
                <w:b/>
                <w:sz w:val="14"/>
                <w:szCs w:val="14"/>
              </w:rPr>
              <w:t>,</w:t>
            </w:r>
            <w:r w:rsidRPr="00C05F1D">
              <w:rPr>
                <w:rFonts w:cs="Arial"/>
                <w:b/>
                <w:sz w:val="14"/>
                <w:szCs w:val="14"/>
              </w:rPr>
              <w:t>794</w:t>
            </w:r>
            <w:r>
              <w:rPr>
                <w:rFonts w:cs="Arial"/>
                <w:b/>
                <w:sz w:val="14"/>
                <w:szCs w:val="14"/>
              </w:rPr>
              <w:t>,</w:t>
            </w:r>
            <w:r w:rsidRPr="00C05F1D">
              <w:rPr>
                <w:rFonts w:cs="Arial"/>
                <w:b/>
                <w:sz w:val="14"/>
                <w:szCs w:val="14"/>
              </w:rPr>
              <w:t xml:space="preserve">888 </w:t>
            </w:r>
          </w:p>
        </w:tc>
        <w:tc>
          <w:tcPr>
            <w:tcW w:w="283" w:type="dxa"/>
            <w:shd w:val="clear" w:color="auto" w:fill="auto"/>
            <w:vAlign w:val="center"/>
          </w:tcPr>
          <w:p w14:paraId="7DD46762"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588F1EEC"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113</w:t>
            </w:r>
            <w:r>
              <w:rPr>
                <w:rFonts w:cs="Arial"/>
                <w:b/>
                <w:bCs/>
                <w:sz w:val="14"/>
                <w:szCs w:val="14"/>
              </w:rPr>
              <w:t>,</w:t>
            </w:r>
            <w:r w:rsidRPr="006B2B70">
              <w:rPr>
                <w:rFonts w:cs="Arial"/>
                <w:b/>
                <w:bCs/>
                <w:sz w:val="14"/>
                <w:szCs w:val="14"/>
              </w:rPr>
              <w:t>550</w:t>
            </w:r>
          </w:p>
        </w:tc>
        <w:tc>
          <w:tcPr>
            <w:tcW w:w="1275" w:type="dxa"/>
            <w:shd w:val="clear" w:color="auto" w:fill="auto"/>
            <w:vAlign w:val="center"/>
          </w:tcPr>
          <w:p w14:paraId="05A23B8C"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w:t>
            </w:r>
            <w:r>
              <w:rPr>
                <w:rFonts w:cs="Arial"/>
                <w:b/>
                <w:bCs/>
                <w:sz w:val="14"/>
                <w:szCs w:val="14"/>
              </w:rPr>
              <w:t>,</w:t>
            </w:r>
            <w:r w:rsidRPr="006B2B70">
              <w:rPr>
                <w:rFonts w:cs="Arial"/>
                <w:b/>
                <w:bCs/>
                <w:sz w:val="14"/>
                <w:szCs w:val="14"/>
              </w:rPr>
              <w:t>844</w:t>
            </w:r>
            <w:r>
              <w:rPr>
                <w:rFonts w:cs="Arial"/>
                <w:b/>
                <w:bCs/>
                <w:sz w:val="14"/>
                <w:szCs w:val="14"/>
              </w:rPr>
              <w:t>,</w:t>
            </w:r>
            <w:r w:rsidRPr="006B2B70">
              <w:rPr>
                <w:rFonts w:cs="Arial"/>
                <w:b/>
                <w:bCs/>
                <w:sz w:val="14"/>
                <w:szCs w:val="14"/>
              </w:rPr>
              <w:t>668</w:t>
            </w:r>
          </w:p>
        </w:tc>
        <w:tc>
          <w:tcPr>
            <w:tcW w:w="1276" w:type="dxa"/>
            <w:shd w:val="clear" w:color="auto" w:fill="auto"/>
            <w:vAlign w:val="center"/>
          </w:tcPr>
          <w:p w14:paraId="3BD32E58"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w:t>
            </w:r>
            <w:r>
              <w:rPr>
                <w:rFonts w:cs="Arial"/>
                <w:b/>
                <w:bCs/>
                <w:sz w:val="14"/>
                <w:szCs w:val="14"/>
              </w:rPr>
              <w:t>,</w:t>
            </w:r>
            <w:r w:rsidRPr="006B2B70">
              <w:rPr>
                <w:rFonts w:cs="Arial"/>
                <w:b/>
                <w:bCs/>
                <w:sz w:val="14"/>
                <w:szCs w:val="14"/>
              </w:rPr>
              <w:t>444</w:t>
            </w:r>
            <w:r>
              <w:rPr>
                <w:rFonts w:cs="Arial"/>
                <w:b/>
                <w:bCs/>
                <w:sz w:val="14"/>
                <w:szCs w:val="14"/>
              </w:rPr>
              <w:t>,</w:t>
            </w:r>
            <w:r w:rsidRPr="006B2B70">
              <w:rPr>
                <w:rFonts w:cs="Arial"/>
                <w:b/>
                <w:bCs/>
                <w:sz w:val="14"/>
                <w:szCs w:val="14"/>
              </w:rPr>
              <w:t>427</w:t>
            </w:r>
          </w:p>
        </w:tc>
      </w:tr>
      <w:tr w:rsidR="005357C6" w:rsidRPr="00475564" w14:paraId="60F14B65" w14:textId="77777777" w:rsidTr="00FE6393">
        <w:trPr>
          <w:trHeight w:val="238"/>
          <w:jc w:val="center"/>
        </w:trPr>
        <w:tc>
          <w:tcPr>
            <w:tcW w:w="2269" w:type="dxa"/>
            <w:shd w:val="clear" w:color="auto" w:fill="auto"/>
            <w:vAlign w:val="center"/>
          </w:tcPr>
          <w:p w14:paraId="04D8F895" w14:textId="77777777" w:rsidR="005357C6" w:rsidRPr="00944050" w:rsidRDefault="005357C6" w:rsidP="00475564">
            <w:pPr>
              <w:keepNext/>
              <w:keepLines/>
              <w:spacing w:before="40" w:after="40" w:line="240" w:lineRule="auto"/>
              <w:ind w:left="113"/>
              <w:rPr>
                <w:rFonts w:eastAsia="Times New Roman" w:cs="Arial"/>
                <w:bCs/>
                <w:color w:val="000000"/>
                <w:spacing w:val="-2"/>
                <w:sz w:val="14"/>
                <w:szCs w:val="14"/>
                <w:lang w:val="en-US" w:eastAsia="pt-BR"/>
              </w:rPr>
            </w:pPr>
            <w:r w:rsidRPr="00944050">
              <w:rPr>
                <w:rFonts w:eastAsia="Times New Roman" w:cs="Arial"/>
                <w:bCs/>
                <w:color w:val="000000"/>
                <w:spacing w:val="-2"/>
                <w:sz w:val="14"/>
                <w:szCs w:val="14"/>
                <w:lang w:val="en-US" w:eastAsia="pt-BR"/>
              </w:rPr>
              <w:t>Gains / losses on non-current assets</w:t>
            </w:r>
          </w:p>
        </w:tc>
        <w:tc>
          <w:tcPr>
            <w:tcW w:w="1087" w:type="dxa"/>
            <w:shd w:val="clear" w:color="auto" w:fill="auto"/>
            <w:vAlign w:val="center"/>
          </w:tcPr>
          <w:p w14:paraId="12C51C50" w14:textId="77777777" w:rsidR="005357C6" w:rsidRPr="00475564" w:rsidRDefault="005357C6" w:rsidP="00475564">
            <w:pPr>
              <w:keepNext/>
              <w:keepLines/>
              <w:spacing w:before="40" w:after="40" w:line="240" w:lineRule="auto"/>
              <w:ind w:left="113"/>
              <w:jc w:val="right"/>
              <w:rPr>
                <w:rFonts w:eastAsia="Times New Roman" w:cs="Arial"/>
                <w:bCs/>
                <w:color w:val="000000"/>
                <w:spacing w:val="-2"/>
                <w:sz w:val="14"/>
                <w:szCs w:val="14"/>
                <w:lang w:val="en-US" w:eastAsia="pt-BR"/>
              </w:rPr>
            </w:pPr>
            <w:r w:rsidRPr="00475564">
              <w:rPr>
                <w:rFonts w:cs="Arial"/>
                <w:bCs/>
                <w:sz w:val="14"/>
                <w:szCs w:val="14"/>
                <w:lang w:val="en-US"/>
              </w:rPr>
              <w:t xml:space="preserve">  </w:t>
            </w:r>
            <w:r w:rsidRPr="00C05F1D">
              <w:rPr>
                <w:rFonts w:cs="Arial"/>
                <w:bCs/>
                <w:sz w:val="14"/>
                <w:szCs w:val="14"/>
              </w:rPr>
              <w:t xml:space="preserve">143 </w:t>
            </w:r>
          </w:p>
        </w:tc>
        <w:tc>
          <w:tcPr>
            <w:tcW w:w="1087" w:type="dxa"/>
            <w:shd w:val="clear" w:color="auto" w:fill="auto"/>
            <w:vAlign w:val="center"/>
          </w:tcPr>
          <w:p w14:paraId="2EDBD4AC" w14:textId="77777777" w:rsidR="005357C6" w:rsidRPr="00475564" w:rsidRDefault="005357C6" w:rsidP="00475564">
            <w:pPr>
              <w:keepNext/>
              <w:keepLines/>
              <w:spacing w:before="40" w:after="40" w:line="240" w:lineRule="auto"/>
              <w:ind w:left="113"/>
              <w:jc w:val="right"/>
              <w:rPr>
                <w:rFonts w:eastAsia="Times New Roman" w:cs="Arial"/>
                <w:bCs/>
                <w:color w:val="000000"/>
                <w:spacing w:val="-2"/>
                <w:sz w:val="14"/>
                <w:szCs w:val="14"/>
                <w:lang w:val="en-US" w:eastAsia="pt-BR"/>
              </w:rPr>
            </w:pPr>
            <w:r w:rsidRPr="00C05F1D">
              <w:rPr>
                <w:rFonts w:cs="Arial"/>
                <w:bCs/>
                <w:sz w:val="14"/>
                <w:szCs w:val="14"/>
              </w:rPr>
              <w:t xml:space="preserve">  517 </w:t>
            </w:r>
          </w:p>
        </w:tc>
        <w:tc>
          <w:tcPr>
            <w:tcW w:w="1087" w:type="dxa"/>
            <w:shd w:val="clear" w:color="auto" w:fill="auto"/>
            <w:vAlign w:val="center"/>
          </w:tcPr>
          <w:p w14:paraId="427A9962" w14:textId="77777777" w:rsidR="005357C6" w:rsidRPr="00475564" w:rsidRDefault="005357C6" w:rsidP="00475564">
            <w:pPr>
              <w:keepNext/>
              <w:keepLines/>
              <w:spacing w:before="40" w:after="40" w:line="240" w:lineRule="auto"/>
              <w:ind w:left="113"/>
              <w:jc w:val="right"/>
              <w:rPr>
                <w:rFonts w:eastAsia="Times New Roman" w:cs="Arial"/>
                <w:bCs/>
                <w:color w:val="000000"/>
                <w:spacing w:val="-2"/>
                <w:sz w:val="14"/>
                <w:szCs w:val="14"/>
                <w:lang w:val="en-US" w:eastAsia="pt-BR"/>
              </w:rPr>
            </w:pPr>
            <w:r w:rsidRPr="00C05F1D">
              <w:rPr>
                <w:rFonts w:cs="Arial"/>
                <w:bCs/>
                <w:sz w:val="14"/>
                <w:szCs w:val="14"/>
              </w:rPr>
              <w:t xml:space="preserve">  -- </w:t>
            </w:r>
          </w:p>
        </w:tc>
        <w:tc>
          <w:tcPr>
            <w:tcW w:w="283" w:type="dxa"/>
            <w:shd w:val="clear" w:color="auto" w:fill="auto"/>
            <w:vAlign w:val="center"/>
          </w:tcPr>
          <w:p w14:paraId="745B28B4" w14:textId="77777777" w:rsidR="005357C6" w:rsidRPr="00475564" w:rsidRDefault="005357C6" w:rsidP="00475564">
            <w:pPr>
              <w:keepNext/>
              <w:keepLines/>
              <w:spacing w:before="40" w:after="40" w:line="240" w:lineRule="auto"/>
              <w:ind w:left="113"/>
              <w:jc w:val="right"/>
              <w:rPr>
                <w:rFonts w:eastAsia="Times New Roman" w:cs="Arial"/>
                <w:bCs/>
                <w:color w:val="000000"/>
                <w:spacing w:val="-2"/>
                <w:sz w:val="14"/>
                <w:szCs w:val="14"/>
                <w:lang w:val="en-US" w:eastAsia="pt-BR"/>
              </w:rPr>
            </w:pPr>
          </w:p>
        </w:tc>
        <w:tc>
          <w:tcPr>
            <w:tcW w:w="1275" w:type="dxa"/>
            <w:shd w:val="clear" w:color="auto" w:fill="auto"/>
            <w:vAlign w:val="center"/>
          </w:tcPr>
          <w:p w14:paraId="68357501" w14:textId="77777777" w:rsidR="005357C6" w:rsidRPr="00475564" w:rsidRDefault="005357C6" w:rsidP="00475564">
            <w:pPr>
              <w:keepNext/>
              <w:keepLines/>
              <w:spacing w:before="40" w:after="40" w:line="240" w:lineRule="auto"/>
              <w:ind w:left="113"/>
              <w:jc w:val="right"/>
              <w:rPr>
                <w:rFonts w:eastAsia="Times New Roman" w:cs="Arial"/>
                <w:bCs/>
                <w:color w:val="000000"/>
                <w:spacing w:val="-2"/>
                <w:sz w:val="14"/>
                <w:szCs w:val="14"/>
                <w:lang w:val="en-US" w:eastAsia="pt-BR"/>
              </w:rPr>
            </w:pPr>
            <w:r w:rsidRPr="006B2B70">
              <w:rPr>
                <w:rFonts w:cs="Arial"/>
                <w:sz w:val="14"/>
                <w:szCs w:val="14"/>
              </w:rPr>
              <w:t>(13)</w:t>
            </w:r>
          </w:p>
        </w:tc>
        <w:tc>
          <w:tcPr>
            <w:tcW w:w="1275" w:type="dxa"/>
            <w:shd w:val="clear" w:color="auto" w:fill="auto"/>
            <w:vAlign w:val="center"/>
          </w:tcPr>
          <w:p w14:paraId="65D68BB1" w14:textId="77777777" w:rsidR="005357C6" w:rsidRPr="00475564" w:rsidRDefault="005357C6" w:rsidP="00475564">
            <w:pPr>
              <w:keepNext/>
              <w:keepLines/>
              <w:spacing w:before="40" w:after="40" w:line="240" w:lineRule="auto"/>
              <w:ind w:left="113"/>
              <w:jc w:val="right"/>
              <w:rPr>
                <w:rFonts w:eastAsia="Times New Roman" w:cs="Arial"/>
                <w:bCs/>
                <w:color w:val="000000"/>
                <w:spacing w:val="-2"/>
                <w:sz w:val="14"/>
                <w:szCs w:val="14"/>
                <w:lang w:val="en-US" w:eastAsia="pt-BR"/>
              </w:rPr>
            </w:pPr>
            <w:r w:rsidRPr="006B2B70">
              <w:rPr>
                <w:rFonts w:cs="Arial"/>
                <w:sz w:val="14"/>
                <w:szCs w:val="14"/>
              </w:rPr>
              <w:t>189</w:t>
            </w:r>
          </w:p>
        </w:tc>
        <w:tc>
          <w:tcPr>
            <w:tcW w:w="1276" w:type="dxa"/>
            <w:shd w:val="clear" w:color="auto" w:fill="auto"/>
            <w:vAlign w:val="center"/>
          </w:tcPr>
          <w:p w14:paraId="72B9E774" w14:textId="77777777" w:rsidR="005357C6" w:rsidRPr="00475564" w:rsidRDefault="005357C6" w:rsidP="00475564">
            <w:pPr>
              <w:keepNext/>
              <w:keepLines/>
              <w:spacing w:before="40" w:after="40" w:line="240" w:lineRule="auto"/>
              <w:ind w:left="113"/>
              <w:jc w:val="right"/>
              <w:rPr>
                <w:rFonts w:eastAsia="Times New Roman" w:cs="Arial"/>
                <w:bCs/>
                <w:color w:val="000000"/>
                <w:spacing w:val="-2"/>
                <w:sz w:val="14"/>
                <w:szCs w:val="14"/>
                <w:lang w:val="en-US" w:eastAsia="pt-BR"/>
              </w:rPr>
            </w:pPr>
            <w:r w:rsidRPr="006B2B70">
              <w:rPr>
                <w:rFonts w:cs="Arial"/>
                <w:sz w:val="14"/>
                <w:szCs w:val="14"/>
              </w:rPr>
              <w:t>--</w:t>
            </w:r>
          </w:p>
        </w:tc>
      </w:tr>
      <w:tr w:rsidR="005357C6" w:rsidRPr="00FE6393" w14:paraId="2AAF7A15" w14:textId="77777777" w:rsidTr="00FE6393">
        <w:trPr>
          <w:trHeight w:val="238"/>
          <w:jc w:val="center"/>
        </w:trPr>
        <w:tc>
          <w:tcPr>
            <w:tcW w:w="2269" w:type="dxa"/>
            <w:shd w:val="clear" w:color="auto" w:fill="auto"/>
            <w:vAlign w:val="center"/>
          </w:tcPr>
          <w:p w14:paraId="23E63E14" w14:textId="77777777" w:rsidR="005357C6" w:rsidRPr="00FE6393" w:rsidRDefault="005357C6" w:rsidP="00475564">
            <w:pPr>
              <w:keepNext/>
              <w:keepLines/>
              <w:spacing w:before="40" w:after="40" w:line="240" w:lineRule="auto"/>
              <w:rPr>
                <w:rFonts w:eastAsia="Times New Roman" w:cs="Arial"/>
                <w:b/>
                <w:color w:val="000000"/>
                <w:spacing w:val="-2"/>
                <w:sz w:val="14"/>
                <w:szCs w:val="14"/>
                <w:lang w:eastAsia="pt-BR"/>
              </w:rPr>
            </w:pPr>
            <w:r w:rsidRPr="00FE6393">
              <w:rPr>
                <w:rFonts w:eastAsia="Times New Roman" w:cs="Arial"/>
                <w:b/>
                <w:color w:val="000000"/>
                <w:spacing w:val="-2"/>
                <w:sz w:val="14"/>
                <w:szCs w:val="14"/>
                <w:lang w:eastAsia="pt-BR"/>
              </w:rPr>
              <w:t>Income before taxes</w:t>
            </w:r>
          </w:p>
        </w:tc>
        <w:tc>
          <w:tcPr>
            <w:tcW w:w="1087" w:type="dxa"/>
            <w:shd w:val="clear" w:color="auto" w:fill="auto"/>
            <w:vAlign w:val="center"/>
          </w:tcPr>
          <w:p w14:paraId="52E85DAE"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77</w:t>
            </w:r>
            <w:r>
              <w:rPr>
                <w:rFonts w:cs="Arial"/>
                <w:b/>
                <w:sz w:val="14"/>
                <w:szCs w:val="14"/>
              </w:rPr>
              <w:t>,</w:t>
            </w:r>
            <w:r w:rsidRPr="00C05F1D">
              <w:rPr>
                <w:rFonts w:cs="Arial"/>
                <w:b/>
                <w:sz w:val="14"/>
                <w:szCs w:val="14"/>
              </w:rPr>
              <w:t xml:space="preserve">586 </w:t>
            </w:r>
          </w:p>
        </w:tc>
        <w:tc>
          <w:tcPr>
            <w:tcW w:w="1087" w:type="dxa"/>
            <w:shd w:val="clear" w:color="auto" w:fill="auto"/>
            <w:vAlign w:val="center"/>
          </w:tcPr>
          <w:p w14:paraId="375EC2F0"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3</w:t>
            </w:r>
            <w:r>
              <w:rPr>
                <w:rFonts w:cs="Arial"/>
                <w:b/>
                <w:sz w:val="14"/>
                <w:szCs w:val="14"/>
              </w:rPr>
              <w:t>,</w:t>
            </w:r>
            <w:r w:rsidRPr="00C05F1D">
              <w:rPr>
                <w:rFonts w:cs="Arial"/>
                <w:b/>
                <w:sz w:val="14"/>
                <w:szCs w:val="14"/>
              </w:rPr>
              <w:t>803</w:t>
            </w:r>
            <w:r>
              <w:rPr>
                <w:rFonts w:cs="Arial"/>
                <w:b/>
                <w:sz w:val="14"/>
                <w:szCs w:val="14"/>
              </w:rPr>
              <w:t>,</w:t>
            </w:r>
            <w:r w:rsidRPr="00C05F1D">
              <w:rPr>
                <w:rFonts w:cs="Arial"/>
                <w:b/>
                <w:sz w:val="14"/>
                <w:szCs w:val="14"/>
              </w:rPr>
              <w:t xml:space="preserve">911 </w:t>
            </w:r>
          </w:p>
        </w:tc>
        <w:tc>
          <w:tcPr>
            <w:tcW w:w="1087" w:type="dxa"/>
            <w:shd w:val="clear" w:color="auto" w:fill="auto"/>
            <w:vAlign w:val="center"/>
          </w:tcPr>
          <w:p w14:paraId="49694C26"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w:t>
            </w:r>
            <w:r>
              <w:rPr>
                <w:rFonts w:cs="Arial"/>
                <w:b/>
                <w:sz w:val="14"/>
                <w:szCs w:val="14"/>
              </w:rPr>
              <w:t>,</w:t>
            </w:r>
            <w:r w:rsidRPr="00C05F1D">
              <w:rPr>
                <w:rFonts w:cs="Arial"/>
                <w:b/>
                <w:sz w:val="14"/>
                <w:szCs w:val="14"/>
              </w:rPr>
              <w:t>794</w:t>
            </w:r>
            <w:r>
              <w:rPr>
                <w:rFonts w:cs="Arial"/>
                <w:b/>
                <w:sz w:val="14"/>
                <w:szCs w:val="14"/>
              </w:rPr>
              <w:t>,</w:t>
            </w:r>
            <w:r w:rsidRPr="00C05F1D">
              <w:rPr>
                <w:rFonts w:cs="Arial"/>
                <w:b/>
                <w:sz w:val="14"/>
                <w:szCs w:val="14"/>
              </w:rPr>
              <w:t xml:space="preserve">888 </w:t>
            </w:r>
          </w:p>
        </w:tc>
        <w:tc>
          <w:tcPr>
            <w:tcW w:w="283" w:type="dxa"/>
            <w:shd w:val="clear" w:color="auto" w:fill="auto"/>
            <w:vAlign w:val="center"/>
          </w:tcPr>
          <w:p w14:paraId="679B3B46"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493DD4BB"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113</w:t>
            </w:r>
            <w:r>
              <w:rPr>
                <w:rFonts w:cs="Arial"/>
                <w:b/>
                <w:bCs/>
                <w:sz w:val="14"/>
                <w:szCs w:val="14"/>
              </w:rPr>
              <w:t>,</w:t>
            </w:r>
            <w:r w:rsidRPr="006B2B70">
              <w:rPr>
                <w:rFonts w:cs="Arial"/>
                <w:b/>
                <w:bCs/>
                <w:sz w:val="14"/>
                <w:szCs w:val="14"/>
              </w:rPr>
              <w:t>537</w:t>
            </w:r>
          </w:p>
        </w:tc>
        <w:tc>
          <w:tcPr>
            <w:tcW w:w="1275" w:type="dxa"/>
            <w:shd w:val="clear" w:color="auto" w:fill="auto"/>
            <w:vAlign w:val="center"/>
          </w:tcPr>
          <w:p w14:paraId="6416DDC7"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w:t>
            </w:r>
            <w:r>
              <w:rPr>
                <w:rFonts w:cs="Arial"/>
                <w:b/>
                <w:bCs/>
                <w:sz w:val="14"/>
                <w:szCs w:val="14"/>
              </w:rPr>
              <w:t>,</w:t>
            </w:r>
            <w:r w:rsidRPr="006B2B70">
              <w:rPr>
                <w:rFonts w:cs="Arial"/>
                <w:b/>
                <w:bCs/>
                <w:sz w:val="14"/>
                <w:szCs w:val="14"/>
              </w:rPr>
              <w:t>844</w:t>
            </w:r>
            <w:r>
              <w:rPr>
                <w:rFonts w:cs="Arial"/>
                <w:b/>
                <w:bCs/>
                <w:sz w:val="14"/>
                <w:szCs w:val="14"/>
              </w:rPr>
              <w:t>,</w:t>
            </w:r>
            <w:r w:rsidRPr="006B2B70">
              <w:rPr>
                <w:rFonts w:cs="Arial"/>
                <w:b/>
                <w:bCs/>
                <w:sz w:val="14"/>
                <w:szCs w:val="14"/>
              </w:rPr>
              <w:t>857</w:t>
            </w:r>
          </w:p>
        </w:tc>
        <w:tc>
          <w:tcPr>
            <w:tcW w:w="1276" w:type="dxa"/>
            <w:shd w:val="clear" w:color="auto" w:fill="auto"/>
            <w:vAlign w:val="center"/>
          </w:tcPr>
          <w:p w14:paraId="5C46FEF2"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w:t>
            </w:r>
            <w:r>
              <w:rPr>
                <w:rFonts w:cs="Arial"/>
                <w:b/>
                <w:bCs/>
                <w:sz w:val="14"/>
                <w:szCs w:val="14"/>
              </w:rPr>
              <w:t>,</w:t>
            </w:r>
            <w:r w:rsidRPr="006B2B70">
              <w:rPr>
                <w:rFonts w:cs="Arial"/>
                <w:b/>
                <w:bCs/>
                <w:sz w:val="14"/>
                <w:szCs w:val="14"/>
              </w:rPr>
              <w:t>444</w:t>
            </w:r>
            <w:r>
              <w:rPr>
                <w:rFonts w:cs="Arial"/>
                <w:b/>
                <w:bCs/>
                <w:sz w:val="14"/>
                <w:szCs w:val="14"/>
              </w:rPr>
              <w:t>,</w:t>
            </w:r>
            <w:r w:rsidRPr="006B2B70">
              <w:rPr>
                <w:rFonts w:cs="Arial"/>
                <w:b/>
                <w:bCs/>
                <w:sz w:val="14"/>
                <w:szCs w:val="14"/>
              </w:rPr>
              <w:t>427</w:t>
            </w:r>
          </w:p>
        </w:tc>
      </w:tr>
      <w:tr w:rsidR="005357C6" w:rsidRPr="00D44604" w14:paraId="79E3A795" w14:textId="77777777" w:rsidTr="004B1384">
        <w:trPr>
          <w:trHeight w:val="238"/>
          <w:jc w:val="center"/>
        </w:trPr>
        <w:tc>
          <w:tcPr>
            <w:tcW w:w="2269" w:type="dxa"/>
            <w:shd w:val="clear" w:color="auto" w:fill="auto"/>
            <w:vAlign w:val="center"/>
          </w:tcPr>
          <w:p w14:paraId="28EB4E3F" w14:textId="77777777" w:rsidR="005357C6" w:rsidRPr="00D44604"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D44604">
              <w:rPr>
                <w:rFonts w:eastAsia="Times New Roman" w:cs="Arial"/>
                <w:bCs/>
                <w:color w:val="000000"/>
                <w:spacing w:val="-2"/>
                <w:sz w:val="14"/>
                <w:szCs w:val="14"/>
                <w:lang w:eastAsia="pt-BR"/>
              </w:rPr>
              <w:t>Taxes</w:t>
            </w:r>
          </w:p>
        </w:tc>
        <w:tc>
          <w:tcPr>
            <w:tcW w:w="1087" w:type="dxa"/>
            <w:shd w:val="clear" w:color="auto" w:fill="auto"/>
            <w:vAlign w:val="center"/>
          </w:tcPr>
          <w:p w14:paraId="66259FD3"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(30</w:t>
            </w:r>
            <w:r>
              <w:rPr>
                <w:rFonts w:cs="Arial"/>
                <w:bCs/>
                <w:sz w:val="14"/>
                <w:szCs w:val="14"/>
              </w:rPr>
              <w:t>,</w:t>
            </w:r>
            <w:r w:rsidRPr="00C05F1D">
              <w:rPr>
                <w:rFonts w:cs="Arial"/>
                <w:bCs/>
                <w:sz w:val="14"/>
                <w:szCs w:val="14"/>
              </w:rPr>
              <w:t>375)</w:t>
            </w:r>
          </w:p>
        </w:tc>
        <w:tc>
          <w:tcPr>
            <w:tcW w:w="1087" w:type="dxa"/>
            <w:shd w:val="clear" w:color="auto" w:fill="auto"/>
            <w:vAlign w:val="center"/>
          </w:tcPr>
          <w:p w14:paraId="4C7152CB"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(1</w:t>
            </w:r>
            <w:r>
              <w:rPr>
                <w:rFonts w:cs="Arial"/>
                <w:bCs/>
                <w:sz w:val="14"/>
                <w:szCs w:val="14"/>
              </w:rPr>
              <w:t>,</w:t>
            </w:r>
            <w:r w:rsidRPr="00C05F1D">
              <w:rPr>
                <w:rFonts w:cs="Arial"/>
                <w:bCs/>
                <w:sz w:val="14"/>
                <w:szCs w:val="14"/>
              </w:rPr>
              <w:t>024</w:t>
            </w:r>
            <w:r>
              <w:rPr>
                <w:rFonts w:cs="Arial"/>
                <w:bCs/>
                <w:sz w:val="14"/>
                <w:szCs w:val="14"/>
              </w:rPr>
              <w:t>,</w:t>
            </w:r>
            <w:r w:rsidRPr="00C05F1D">
              <w:rPr>
                <w:rFonts w:cs="Arial"/>
                <w:bCs/>
                <w:sz w:val="14"/>
                <w:szCs w:val="14"/>
              </w:rPr>
              <w:t>331)</w:t>
            </w:r>
          </w:p>
        </w:tc>
        <w:tc>
          <w:tcPr>
            <w:tcW w:w="1087" w:type="dxa"/>
            <w:shd w:val="clear" w:color="auto" w:fill="auto"/>
            <w:vAlign w:val="center"/>
          </w:tcPr>
          <w:p w14:paraId="32821A3A"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(33)</w:t>
            </w:r>
          </w:p>
        </w:tc>
        <w:tc>
          <w:tcPr>
            <w:tcW w:w="283" w:type="dxa"/>
            <w:shd w:val="clear" w:color="auto" w:fill="auto"/>
            <w:vAlign w:val="center"/>
          </w:tcPr>
          <w:p w14:paraId="4434ECCD"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p>
        </w:tc>
        <w:tc>
          <w:tcPr>
            <w:tcW w:w="1275" w:type="dxa"/>
            <w:shd w:val="clear" w:color="auto" w:fill="auto"/>
          </w:tcPr>
          <w:p w14:paraId="3D6D441F"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 xml:space="preserve">  (43</w:t>
            </w:r>
            <w:r>
              <w:rPr>
                <w:rFonts w:cs="Arial"/>
                <w:sz w:val="14"/>
                <w:szCs w:val="14"/>
              </w:rPr>
              <w:t>,</w:t>
            </w:r>
            <w:r w:rsidRPr="006B2B70">
              <w:rPr>
                <w:rFonts w:cs="Arial"/>
                <w:sz w:val="14"/>
                <w:szCs w:val="14"/>
              </w:rPr>
              <w:t>281)</w:t>
            </w:r>
          </w:p>
        </w:tc>
        <w:tc>
          <w:tcPr>
            <w:tcW w:w="1275" w:type="dxa"/>
            <w:shd w:val="clear" w:color="auto" w:fill="auto"/>
          </w:tcPr>
          <w:p w14:paraId="23DB3653"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 xml:space="preserve">  (455</w:t>
            </w:r>
            <w:r>
              <w:rPr>
                <w:rFonts w:cs="Arial"/>
                <w:sz w:val="14"/>
                <w:szCs w:val="14"/>
              </w:rPr>
              <w:t>,</w:t>
            </w:r>
            <w:r w:rsidRPr="006B2B70">
              <w:rPr>
                <w:rFonts w:cs="Arial"/>
                <w:sz w:val="14"/>
                <w:szCs w:val="14"/>
              </w:rPr>
              <w:t>915)</w:t>
            </w:r>
          </w:p>
        </w:tc>
        <w:tc>
          <w:tcPr>
            <w:tcW w:w="1276" w:type="dxa"/>
            <w:shd w:val="clear" w:color="auto" w:fill="auto"/>
          </w:tcPr>
          <w:p w14:paraId="2BBFD88F"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 xml:space="preserve">  (789)</w:t>
            </w:r>
          </w:p>
        </w:tc>
      </w:tr>
      <w:tr w:rsidR="005357C6" w:rsidRPr="00FE6393" w14:paraId="0823597F" w14:textId="77777777" w:rsidTr="004B1384">
        <w:trPr>
          <w:trHeight w:val="238"/>
          <w:jc w:val="center"/>
        </w:trPr>
        <w:tc>
          <w:tcPr>
            <w:tcW w:w="2269" w:type="dxa"/>
            <w:shd w:val="clear" w:color="auto" w:fill="auto"/>
            <w:vAlign w:val="center"/>
          </w:tcPr>
          <w:p w14:paraId="2DA103D4" w14:textId="77777777" w:rsidR="005357C6" w:rsidRPr="00FE6393"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FE6393">
              <w:rPr>
                <w:rFonts w:eastAsia="Times New Roman" w:cs="Arial"/>
                <w:bCs/>
                <w:color w:val="000000"/>
                <w:spacing w:val="-2"/>
                <w:sz w:val="14"/>
                <w:szCs w:val="14"/>
                <w:lang w:eastAsia="pt-BR"/>
              </w:rPr>
              <w:t>Profit sharing</w:t>
            </w:r>
          </w:p>
        </w:tc>
        <w:tc>
          <w:tcPr>
            <w:tcW w:w="1087" w:type="dxa"/>
            <w:shd w:val="clear" w:color="auto" w:fill="auto"/>
            <w:vAlign w:val="center"/>
          </w:tcPr>
          <w:p w14:paraId="151CA9DE" w14:textId="77777777" w:rsidR="005357C6" w:rsidRPr="00FE6393" w:rsidRDefault="005357C6" w:rsidP="00475564">
            <w:pPr>
              <w:keepNext/>
              <w:keepLines/>
              <w:spacing w:before="40" w:after="40" w:line="240" w:lineRule="auto"/>
              <w:jc w:val="right"/>
              <w:rPr>
                <w:rFonts w:eastAsia="Times New Roman" w:cs="Arial"/>
                <w:bCs/>
                <w:spacing w:val="-2"/>
                <w:sz w:val="14"/>
                <w:szCs w:val="14"/>
                <w:lang w:eastAsia="pt-BR"/>
              </w:rPr>
            </w:pPr>
            <w:r w:rsidRPr="00C05F1D">
              <w:rPr>
                <w:rFonts w:cs="Arial"/>
                <w:bCs/>
                <w:sz w:val="14"/>
                <w:szCs w:val="14"/>
              </w:rPr>
              <w:t xml:space="preserve">  (1</w:t>
            </w:r>
            <w:r>
              <w:rPr>
                <w:rFonts w:cs="Arial"/>
                <w:bCs/>
                <w:sz w:val="14"/>
                <w:szCs w:val="14"/>
              </w:rPr>
              <w:t>,</w:t>
            </w:r>
            <w:r w:rsidRPr="00C05F1D">
              <w:rPr>
                <w:rFonts w:cs="Arial"/>
                <w:bCs/>
                <w:sz w:val="14"/>
                <w:szCs w:val="14"/>
              </w:rPr>
              <w:t>381)</w:t>
            </w:r>
          </w:p>
        </w:tc>
        <w:tc>
          <w:tcPr>
            <w:tcW w:w="1087" w:type="dxa"/>
            <w:shd w:val="clear" w:color="auto" w:fill="auto"/>
            <w:vAlign w:val="center"/>
          </w:tcPr>
          <w:p w14:paraId="07AD78ED" w14:textId="77777777" w:rsidR="005357C6" w:rsidRPr="00FE6393" w:rsidRDefault="005357C6" w:rsidP="00475564">
            <w:pPr>
              <w:keepNext/>
              <w:keepLines/>
              <w:spacing w:before="40" w:after="40" w:line="240" w:lineRule="auto"/>
              <w:jc w:val="right"/>
              <w:rPr>
                <w:rFonts w:eastAsia="Times New Roman" w:cs="Arial"/>
                <w:bCs/>
                <w:spacing w:val="-2"/>
                <w:sz w:val="14"/>
                <w:szCs w:val="14"/>
                <w:lang w:eastAsia="pt-BR"/>
              </w:rPr>
            </w:pPr>
            <w:r w:rsidRPr="00C05F1D">
              <w:rPr>
                <w:rFonts w:cs="Arial"/>
                <w:bCs/>
                <w:sz w:val="14"/>
                <w:szCs w:val="14"/>
              </w:rPr>
              <w:t xml:space="preserve">  (29</w:t>
            </w:r>
            <w:r>
              <w:rPr>
                <w:rFonts w:cs="Arial"/>
                <w:bCs/>
                <w:sz w:val="14"/>
                <w:szCs w:val="14"/>
              </w:rPr>
              <w:t>,</w:t>
            </w:r>
            <w:r w:rsidRPr="00C05F1D">
              <w:rPr>
                <w:rFonts w:cs="Arial"/>
                <w:bCs/>
                <w:sz w:val="14"/>
                <w:szCs w:val="14"/>
              </w:rPr>
              <w:t>874)</w:t>
            </w:r>
          </w:p>
        </w:tc>
        <w:tc>
          <w:tcPr>
            <w:tcW w:w="1087" w:type="dxa"/>
            <w:shd w:val="clear" w:color="auto" w:fill="auto"/>
            <w:vAlign w:val="center"/>
          </w:tcPr>
          <w:p w14:paraId="2504D652" w14:textId="77777777" w:rsidR="005357C6" w:rsidRPr="00FE6393" w:rsidRDefault="005357C6" w:rsidP="00475564">
            <w:pPr>
              <w:keepNext/>
              <w:keepLines/>
              <w:spacing w:before="40" w:after="40" w:line="240" w:lineRule="auto"/>
              <w:jc w:val="right"/>
              <w:rPr>
                <w:rFonts w:eastAsia="Times New Roman" w:cs="Arial"/>
                <w:bCs/>
                <w:spacing w:val="-2"/>
                <w:sz w:val="14"/>
                <w:szCs w:val="14"/>
                <w:lang w:eastAsia="pt-BR"/>
              </w:rPr>
            </w:pPr>
            <w:r w:rsidRPr="00C05F1D">
              <w:rPr>
                <w:rFonts w:cs="Arial"/>
                <w:bCs/>
                <w:sz w:val="14"/>
                <w:szCs w:val="14"/>
              </w:rPr>
              <w:t xml:space="preserve">  554 </w:t>
            </w:r>
          </w:p>
        </w:tc>
        <w:tc>
          <w:tcPr>
            <w:tcW w:w="283" w:type="dxa"/>
            <w:shd w:val="clear" w:color="auto" w:fill="auto"/>
            <w:vAlign w:val="center"/>
          </w:tcPr>
          <w:p w14:paraId="459EC06F" w14:textId="77777777" w:rsidR="005357C6" w:rsidRPr="00FE6393" w:rsidRDefault="005357C6" w:rsidP="00475564">
            <w:pPr>
              <w:keepNext/>
              <w:keepLines/>
              <w:spacing w:before="40" w:after="40" w:line="240" w:lineRule="auto"/>
              <w:jc w:val="right"/>
              <w:rPr>
                <w:rFonts w:eastAsia="Times New Roman" w:cs="Arial"/>
                <w:bCs/>
                <w:spacing w:val="-2"/>
                <w:sz w:val="14"/>
                <w:szCs w:val="14"/>
                <w:lang w:eastAsia="pt-BR"/>
              </w:rPr>
            </w:pPr>
          </w:p>
        </w:tc>
        <w:tc>
          <w:tcPr>
            <w:tcW w:w="1275" w:type="dxa"/>
            <w:shd w:val="clear" w:color="auto" w:fill="auto"/>
          </w:tcPr>
          <w:p w14:paraId="76494873" w14:textId="77777777" w:rsidR="005357C6" w:rsidRPr="00FE6393" w:rsidRDefault="005357C6" w:rsidP="00475564">
            <w:pPr>
              <w:keepNext/>
              <w:keepLines/>
              <w:spacing w:before="40" w:after="40" w:line="240" w:lineRule="auto"/>
              <w:jc w:val="right"/>
              <w:rPr>
                <w:rFonts w:eastAsia="Times New Roman" w:cs="Arial"/>
                <w:bCs/>
                <w:spacing w:val="-2"/>
                <w:sz w:val="14"/>
                <w:szCs w:val="14"/>
                <w:lang w:eastAsia="pt-BR"/>
              </w:rPr>
            </w:pPr>
            <w:r w:rsidRPr="006B2B70">
              <w:rPr>
                <w:rFonts w:cs="Arial"/>
                <w:sz w:val="14"/>
                <w:szCs w:val="14"/>
              </w:rPr>
              <w:t xml:space="preserve">  (783)</w:t>
            </w:r>
          </w:p>
        </w:tc>
        <w:tc>
          <w:tcPr>
            <w:tcW w:w="1275" w:type="dxa"/>
            <w:shd w:val="clear" w:color="auto" w:fill="auto"/>
          </w:tcPr>
          <w:p w14:paraId="746D53B8" w14:textId="77777777" w:rsidR="005357C6" w:rsidRPr="00FE6393" w:rsidRDefault="005357C6" w:rsidP="00475564">
            <w:pPr>
              <w:keepNext/>
              <w:keepLines/>
              <w:spacing w:before="40" w:after="40" w:line="240" w:lineRule="auto"/>
              <w:jc w:val="right"/>
              <w:rPr>
                <w:rFonts w:eastAsia="Times New Roman" w:cs="Arial"/>
                <w:bCs/>
                <w:spacing w:val="-2"/>
                <w:sz w:val="14"/>
                <w:szCs w:val="14"/>
                <w:lang w:eastAsia="pt-BR"/>
              </w:rPr>
            </w:pPr>
            <w:r w:rsidRPr="006B2B70">
              <w:rPr>
                <w:rFonts w:cs="Arial"/>
                <w:sz w:val="14"/>
                <w:szCs w:val="14"/>
              </w:rPr>
              <w:t xml:space="preserve">  (16</w:t>
            </w:r>
            <w:r>
              <w:rPr>
                <w:rFonts w:cs="Arial"/>
                <w:sz w:val="14"/>
                <w:szCs w:val="14"/>
              </w:rPr>
              <w:t>,</w:t>
            </w:r>
            <w:r w:rsidRPr="006B2B70">
              <w:rPr>
                <w:rFonts w:cs="Arial"/>
                <w:sz w:val="14"/>
                <w:szCs w:val="14"/>
              </w:rPr>
              <w:t>969)</w:t>
            </w:r>
          </w:p>
        </w:tc>
        <w:tc>
          <w:tcPr>
            <w:tcW w:w="1276" w:type="dxa"/>
            <w:shd w:val="clear" w:color="auto" w:fill="auto"/>
          </w:tcPr>
          <w:p w14:paraId="2131A212" w14:textId="77777777" w:rsidR="005357C6" w:rsidRPr="00FE6393" w:rsidRDefault="005357C6" w:rsidP="00475564">
            <w:pPr>
              <w:keepNext/>
              <w:keepLines/>
              <w:spacing w:before="40" w:after="40" w:line="240" w:lineRule="auto"/>
              <w:jc w:val="right"/>
              <w:rPr>
                <w:rFonts w:eastAsia="Times New Roman" w:cs="Arial"/>
                <w:bCs/>
                <w:spacing w:val="-2"/>
                <w:sz w:val="14"/>
                <w:szCs w:val="14"/>
                <w:lang w:eastAsia="pt-BR"/>
              </w:rPr>
            </w:pPr>
            <w:r w:rsidRPr="006B2B70">
              <w:rPr>
                <w:rFonts w:cs="Arial"/>
                <w:sz w:val="14"/>
                <w:szCs w:val="14"/>
              </w:rPr>
              <w:t xml:space="preserve">  (554)</w:t>
            </w:r>
          </w:p>
        </w:tc>
      </w:tr>
      <w:tr w:rsidR="005357C6" w:rsidRPr="00475564" w14:paraId="4AB4F229" w14:textId="77777777" w:rsidTr="004B1384">
        <w:trPr>
          <w:trHeight w:val="238"/>
          <w:jc w:val="center"/>
        </w:trPr>
        <w:tc>
          <w:tcPr>
            <w:tcW w:w="2269" w:type="dxa"/>
            <w:shd w:val="clear" w:color="auto" w:fill="auto"/>
            <w:vAlign w:val="center"/>
          </w:tcPr>
          <w:p w14:paraId="4F2CFF27" w14:textId="77777777" w:rsidR="005357C6" w:rsidRPr="00FE6393" w:rsidRDefault="005357C6" w:rsidP="00475564">
            <w:pPr>
              <w:keepNext/>
              <w:keepLines/>
              <w:spacing w:before="40" w:after="40" w:line="240" w:lineRule="auto"/>
              <w:rPr>
                <w:rFonts w:eastAsia="Times New Roman" w:cs="Arial"/>
                <w:b/>
                <w:color w:val="000000"/>
                <w:spacing w:val="-2"/>
                <w:sz w:val="14"/>
                <w:szCs w:val="14"/>
                <w:lang w:val="en-US" w:eastAsia="pt-BR"/>
              </w:rPr>
            </w:pPr>
            <w:r w:rsidRPr="00FE6393">
              <w:rPr>
                <w:rFonts w:eastAsia="Times New Roman" w:cs="Arial"/>
                <w:b/>
                <w:color w:val="000000"/>
                <w:spacing w:val="-2"/>
                <w:sz w:val="14"/>
                <w:szCs w:val="14"/>
                <w:lang w:val="en-US" w:eastAsia="pt-BR"/>
              </w:rPr>
              <w:t>Net income for the year</w:t>
            </w:r>
          </w:p>
        </w:tc>
        <w:tc>
          <w:tcPr>
            <w:tcW w:w="1087" w:type="dxa"/>
            <w:shd w:val="clear" w:color="auto" w:fill="auto"/>
            <w:vAlign w:val="center"/>
          </w:tcPr>
          <w:p w14:paraId="0C4566D8"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475564">
              <w:rPr>
                <w:rFonts w:cs="Arial"/>
                <w:b/>
                <w:sz w:val="14"/>
                <w:szCs w:val="14"/>
                <w:lang w:val="en-US"/>
              </w:rPr>
              <w:t xml:space="preserve">  </w:t>
            </w:r>
            <w:r w:rsidRPr="00C05F1D">
              <w:rPr>
                <w:rFonts w:cs="Arial"/>
                <w:b/>
                <w:sz w:val="14"/>
                <w:szCs w:val="14"/>
              </w:rPr>
              <w:t>45</w:t>
            </w:r>
            <w:r>
              <w:rPr>
                <w:rFonts w:cs="Arial"/>
                <w:b/>
                <w:sz w:val="14"/>
                <w:szCs w:val="14"/>
              </w:rPr>
              <w:t>,</w:t>
            </w:r>
            <w:r w:rsidRPr="00C05F1D">
              <w:rPr>
                <w:rFonts w:cs="Arial"/>
                <w:b/>
                <w:sz w:val="14"/>
                <w:szCs w:val="14"/>
              </w:rPr>
              <w:t xml:space="preserve">830 </w:t>
            </w:r>
          </w:p>
        </w:tc>
        <w:tc>
          <w:tcPr>
            <w:tcW w:w="1087" w:type="dxa"/>
            <w:shd w:val="clear" w:color="auto" w:fill="auto"/>
            <w:vAlign w:val="center"/>
          </w:tcPr>
          <w:p w14:paraId="5D87209E"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C05F1D">
              <w:rPr>
                <w:rFonts w:cs="Arial"/>
                <w:b/>
                <w:sz w:val="14"/>
                <w:szCs w:val="14"/>
              </w:rPr>
              <w:t xml:space="preserve">  2</w:t>
            </w:r>
            <w:r>
              <w:rPr>
                <w:rFonts w:cs="Arial"/>
                <w:b/>
                <w:sz w:val="14"/>
                <w:szCs w:val="14"/>
              </w:rPr>
              <w:t>,</w:t>
            </w:r>
            <w:r w:rsidRPr="00C05F1D">
              <w:rPr>
                <w:rFonts w:cs="Arial"/>
                <w:b/>
                <w:sz w:val="14"/>
                <w:szCs w:val="14"/>
              </w:rPr>
              <w:t>749</w:t>
            </w:r>
            <w:r>
              <w:rPr>
                <w:rFonts w:cs="Arial"/>
                <w:b/>
                <w:sz w:val="14"/>
                <w:szCs w:val="14"/>
              </w:rPr>
              <w:t>,</w:t>
            </w:r>
            <w:r w:rsidRPr="00C05F1D">
              <w:rPr>
                <w:rFonts w:cs="Arial"/>
                <w:b/>
                <w:sz w:val="14"/>
                <w:szCs w:val="14"/>
              </w:rPr>
              <w:t xml:space="preserve">706 </w:t>
            </w:r>
          </w:p>
        </w:tc>
        <w:tc>
          <w:tcPr>
            <w:tcW w:w="1087" w:type="dxa"/>
            <w:shd w:val="clear" w:color="auto" w:fill="auto"/>
            <w:vAlign w:val="center"/>
          </w:tcPr>
          <w:p w14:paraId="23FB376D"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C05F1D">
              <w:rPr>
                <w:rFonts w:cs="Arial"/>
                <w:b/>
                <w:sz w:val="14"/>
                <w:szCs w:val="14"/>
              </w:rPr>
              <w:t xml:space="preserve">  2</w:t>
            </w:r>
            <w:r>
              <w:rPr>
                <w:rFonts w:cs="Arial"/>
                <w:b/>
                <w:sz w:val="14"/>
                <w:szCs w:val="14"/>
              </w:rPr>
              <w:t>,</w:t>
            </w:r>
            <w:r w:rsidRPr="00C05F1D">
              <w:rPr>
                <w:rFonts w:cs="Arial"/>
                <w:b/>
                <w:sz w:val="14"/>
                <w:szCs w:val="14"/>
              </w:rPr>
              <w:t>795</w:t>
            </w:r>
            <w:r>
              <w:rPr>
                <w:rFonts w:cs="Arial"/>
                <w:b/>
                <w:sz w:val="14"/>
                <w:szCs w:val="14"/>
              </w:rPr>
              <w:t>,</w:t>
            </w:r>
            <w:r w:rsidRPr="00C05F1D">
              <w:rPr>
                <w:rFonts w:cs="Arial"/>
                <w:b/>
                <w:sz w:val="14"/>
                <w:szCs w:val="14"/>
              </w:rPr>
              <w:t xml:space="preserve">409 </w:t>
            </w:r>
          </w:p>
        </w:tc>
        <w:tc>
          <w:tcPr>
            <w:tcW w:w="283" w:type="dxa"/>
            <w:shd w:val="clear" w:color="auto" w:fill="auto"/>
            <w:vAlign w:val="center"/>
          </w:tcPr>
          <w:p w14:paraId="778A04E5"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p>
        </w:tc>
        <w:tc>
          <w:tcPr>
            <w:tcW w:w="1275" w:type="dxa"/>
            <w:shd w:val="clear" w:color="auto" w:fill="auto"/>
          </w:tcPr>
          <w:p w14:paraId="04EABD28"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6B2B70">
              <w:rPr>
                <w:rFonts w:cs="Arial"/>
                <w:b/>
                <w:bCs/>
                <w:sz w:val="14"/>
                <w:szCs w:val="14"/>
              </w:rPr>
              <w:t xml:space="preserve">  69</w:t>
            </w:r>
            <w:r>
              <w:rPr>
                <w:rFonts w:cs="Arial"/>
                <w:b/>
                <w:bCs/>
                <w:sz w:val="14"/>
                <w:szCs w:val="14"/>
              </w:rPr>
              <w:t>,</w:t>
            </w:r>
            <w:r w:rsidRPr="006B2B70">
              <w:rPr>
                <w:rFonts w:cs="Arial"/>
                <w:b/>
                <w:bCs/>
                <w:sz w:val="14"/>
                <w:szCs w:val="14"/>
              </w:rPr>
              <w:t xml:space="preserve">473 </w:t>
            </w:r>
          </w:p>
        </w:tc>
        <w:tc>
          <w:tcPr>
            <w:tcW w:w="1275" w:type="dxa"/>
            <w:shd w:val="clear" w:color="auto" w:fill="auto"/>
          </w:tcPr>
          <w:p w14:paraId="3C6753AA"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6B2B70">
              <w:rPr>
                <w:rFonts w:cs="Arial"/>
                <w:b/>
                <w:bCs/>
                <w:sz w:val="14"/>
                <w:szCs w:val="14"/>
              </w:rPr>
              <w:t xml:space="preserve">  1</w:t>
            </w:r>
            <w:r>
              <w:rPr>
                <w:rFonts w:cs="Arial"/>
                <w:b/>
                <w:bCs/>
                <w:sz w:val="14"/>
                <w:szCs w:val="14"/>
              </w:rPr>
              <w:t>,</w:t>
            </w:r>
            <w:r w:rsidRPr="006B2B70">
              <w:rPr>
                <w:rFonts w:cs="Arial"/>
                <w:b/>
                <w:bCs/>
                <w:sz w:val="14"/>
                <w:szCs w:val="14"/>
              </w:rPr>
              <w:t>371</w:t>
            </w:r>
            <w:r>
              <w:rPr>
                <w:rFonts w:cs="Arial"/>
                <w:b/>
                <w:bCs/>
                <w:sz w:val="14"/>
                <w:szCs w:val="14"/>
              </w:rPr>
              <w:t>,</w:t>
            </w:r>
            <w:r w:rsidRPr="006B2B70">
              <w:rPr>
                <w:rFonts w:cs="Arial"/>
                <w:b/>
                <w:bCs/>
                <w:sz w:val="14"/>
                <w:szCs w:val="14"/>
              </w:rPr>
              <w:t xml:space="preserve">973 </w:t>
            </w:r>
          </w:p>
        </w:tc>
        <w:tc>
          <w:tcPr>
            <w:tcW w:w="1276" w:type="dxa"/>
            <w:shd w:val="clear" w:color="auto" w:fill="auto"/>
          </w:tcPr>
          <w:p w14:paraId="63017A12" w14:textId="77777777" w:rsidR="005357C6" w:rsidRPr="00475564" w:rsidRDefault="005357C6" w:rsidP="00475564">
            <w:pPr>
              <w:keepNext/>
              <w:keepLines/>
              <w:spacing w:before="40" w:after="40" w:line="240" w:lineRule="auto"/>
              <w:jc w:val="right"/>
              <w:rPr>
                <w:rFonts w:eastAsia="Times New Roman" w:cs="Arial"/>
                <w:b/>
                <w:spacing w:val="-2"/>
                <w:sz w:val="14"/>
                <w:szCs w:val="14"/>
                <w:lang w:val="en-US" w:eastAsia="pt-BR"/>
              </w:rPr>
            </w:pPr>
            <w:r w:rsidRPr="006B2B70">
              <w:rPr>
                <w:rFonts w:cs="Arial"/>
                <w:b/>
                <w:bCs/>
                <w:sz w:val="14"/>
                <w:szCs w:val="14"/>
              </w:rPr>
              <w:t xml:space="preserve">  1</w:t>
            </w:r>
            <w:r>
              <w:rPr>
                <w:rFonts w:cs="Arial"/>
                <w:b/>
                <w:bCs/>
                <w:sz w:val="14"/>
                <w:szCs w:val="14"/>
              </w:rPr>
              <w:t>,</w:t>
            </w:r>
            <w:r w:rsidRPr="006B2B70">
              <w:rPr>
                <w:rFonts w:cs="Arial"/>
                <w:b/>
                <w:bCs/>
                <w:sz w:val="14"/>
                <w:szCs w:val="14"/>
              </w:rPr>
              <w:t>443</w:t>
            </w:r>
            <w:r>
              <w:rPr>
                <w:rFonts w:cs="Arial"/>
                <w:b/>
                <w:bCs/>
                <w:sz w:val="14"/>
                <w:szCs w:val="14"/>
              </w:rPr>
              <w:t>,</w:t>
            </w:r>
            <w:r w:rsidRPr="006B2B70">
              <w:rPr>
                <w:rFonts w:cs="Arial"/>
                <w:b/>
                <w:bCs/>
                <w:sz w:val="14"/>
                <w:szCs w:val="14"/>
              </w:rPr>
              <w:t xml:space="preserve">084 </w:t>
            </w:r>
          </w:p>
        </w:tc>
      </w:tr>
      <w:tr w:rsidR="005357C6" w:rsidRPr="00FE6393" w14:paraId="770E5F9F" w14:textId="77777777" w:rsidTr="004B1384">
        <w:trPr>
          <w:trHeight w:val="238"/>
          <w:jc w:val="center"/>
        </w:trPr>
        <w:tc>
          <w:tcPr>
            <w:tcW w:w="2269" w:type="dxa"/>
            <w:shd w:val="clear" w:color="auto" w:fill="auto"/>
            <w:vAlign w:val="center"/>
          </w:tcPr>
          <w:p w14:paraId="1ABADEC5" w14:textId="77777777" w:rsidR="005357C6" w:rsidRPr="00FE6393"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FE6393">
              <w:rPr>
                <w:rFonts w:eastAsia="Times New Roman" w:cs="Arial"/>
                <w:bCs/>
                <w:color w:val="000000"/>
                <w:spacing w:val="-2"/>
                <w:sz w:val="14"/>
                <w:szCs w:val="14"/>
                <w:lang w:eastAsia="pt-BR"/>
              </w:rPr>
              <w:t>Other comprehensive results</w:t>
            </w:r>
          </w:p>
        </w:tc>
        <w:tc>
          <w:tcPr>
            <w:tcW w:w="1087" w:type="dxa"/>
            <w:shd w:val="clear" w:color="auto" w:fill="auto"/>
            <w:vAlign w:val="center"/>
          </w:tcPr>
          <w:p w14:paraId="0E00F72C" w14:textId="77777777" w:rsidR="005357C6" w:rsidRPr="00FE6393"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C05F1D">
              <w:rPr>
                <w:rFonts w:cs="Arial"/>
                <w:bCs/>
                <w:sz w:val="14"/>
                <w:szCs w:val="14"/>
              </w:rPr>
              <w:t xml:space="preserve">  71 </w:t>
            </w:r>
          </w:p>
        </w:tc>
        <w:tc>
          <w:tcPr>
            <w:tcW w:w="1087" w:type="dxa"/>
            <w:shd w:val="clear" w:color="auto" w:fill="auto"/>
            <w:vAlign w:val="center"/>
          </w:tcPr>
          <w:p w14:paraId="56171106" w14:textId="77777777" w:rsidR="005357C6" w:rsidRPr="00FE6393"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C05F1D">
              <w:rPr>
                <w:rFonts w:cs="Arial"/>
                <w:bCs/>
                <w:sz w:val="14"/>
                <w:szCs w:val="14"/>
              </w:rPr>
              <w:t xml:space="preserve">  6</w:t>
            </w:r>
            <w:r>
              <w:rPr>
                <w:rFonts w:cs="Arial"/>
                <w:bCs/>
                <w:sz w:val="14"/>
                <w:szCs w:val="14"/>
              </w:rPr>
              <w:t>,</w:t>
            </w:r>
            <w:r w:rsidRPr="00C05F1D">
              <w:rPr>
                <w:rFonts w:cs="Arial"/>
                <w:bCs/>
                <w:sz w:val="14"/>
                <w:szCs w:val="14"/>
              </w:rPr>
              <w:t xml:space="preserve">004 </w:t>
            </w:r>
          </w:p>
        </w:tc>
        <w:tc>
          <w:tcPr>
            <w:tcW w:w="1087" w:type="dxa"/>
            <w:shd w:val="clear" w:color="auto" w:fill="auto"/>
            <w:vAlign w:val="center"/>
          </w:tcPr>
          <w:p w14:paraId="4DF4FC4E" w14:textId="77777777" w:rsidR="005357C6" w:rsidRPr="00FE6393"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C05F1D">
              <w:rPr>
                <w:rFonts w:cs="Arial"/>
                <w:bCs/>
                <w:sz w:val="14"/>
                <w:szCs w:val="14"/>
              </w:rPr>
              <w:t xml:space="preserve">  6</w:t>
            </w:r>
            <w:r>
              <w:rPr>
                <w:rFonts w:cs="Arial"/>
                <w:bCs/>
                <w:sz w:val="14"/>
                <w:szCs w:val="14"/>
              </w:rPr>
              <w:t>,</w:t>
            </w:r>
            <w:r w:rsidRPr="00C05F1D">
              <w:rPr>
                <w:rFonts w:cs="Arial"/>
                <w:bCs/>
                <w:sz w:val="14"/>
                <w:szCs w:val="14"/>
              </w:rPr>
              <w:t xml:space="preserve">075 </w:t>
            </w:r>
          </w:p>
        </w:tc>
        <w:tc>
          <w:tcPr>
            <w:tcW w:w="283" w:type="dxa"/>
            <w:shd w:val="clear" w:color="auto" w:fill="auto"/>
            <w:vAlign w:val="center"/>
          </w:tcPr>
          <w:p w14:paraId="4A80101B" w14:textId="77777777" w:rsidR="005357C6" w:rsidRPr="00FE6393"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p>
        </w:tc>
        <w:tc>
          <w:tcPr>
            <w:tcW w:w="1275" w:type="dxa"/>
            <w:shd w:val="clear" w:color="auto" w:fill="auto"/>
          </w:tcPr>
          <w:p w14:paraId="2DF6B87F" w14:textId="77777777" w:rsidR="005357C6" w:rsidRPr="00FE6393"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6B2B70">
              <w:rPr>
                <w:rFonts w:cs="Arial"/>
                <w:sz w:val="14"/>
                <w:szCs w:val="14"/>
              </w:rPr>
              <w:t xml:space="preserve">  116 </w:t>
            </w:r>
          </w:p>
        </w:tc>
        <w:tc>
          <w:tcPr>
            <w:tcW w:w="1275" w:type="dxa"/>
            <w:shd w:val="clear" w:color="auto" w:fill="auto"/>
          </w:tcPr>
          <w:p w14:paraId="6D10AE0F" w14:textId="77777777" w:rsidR="005357C6" w:rsidRPr="00FE6393"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6B2B70">
              <w:rPr>
                <w:rFonts w:cs="Arial"/>
                <w:sz w:val="14"/>
                <w:szCs w:val="14"/>
              </w:rPr>
              <w:t xml:space="preserve">  (104</w:t>
            </w:r>
            <w:r>
              <w:rPr>
                <w:rFonts w:cs="Arial"/>
                <w:sz w:val="14"/>
                <w:szCs w:val="14"/>
              </w:rPr>
              <w:t>,</w:t>
            </w:r>
            <w:r w:rsidRPr="006B2B70">
              <w:rPr>
                <w:rFonts w:cs="Arial"/>
                <w:sz w:val="14"/>
                <w:szCs w:val="14"/>
              </w:rPr>
              <w:t>948)</w:t>
            </w:r>
          </w:p>
        </w:tc>
        <w:tc>
          <w:tcPr>
            <w:tcW w:w="1276" w:type="dxa"/>
            <w:shd w:val="clear" w:color="auto" w:fill="auto"/>
          </w:tcPr>
          <w:p w14:paraId="33F2720E" w14:textId="77777777" w:rsidR="005357C6" w:rsidRPr="00FE6393" w:rsidRDefault="005357C6" w:rsidP="00475564">
            <w:pPr>
              <w:keepNext/>
              <w:keepLines/>
              <w:spacing w:before="40" w:after="40" w:line="240" w:lineRule="auto"/>
              <w:ind w:left="113"/>
              <w:jc w:val="right"/>
              <w:rPr>
                <w:rFonts w:eastAsia="Times New Roman" w:cs="Arial"/>
                <w:bCs/>
                <w:color w:val="000000"/>
                <w:spacing w:val="-2"/>
                <w:sz w:val="14"/>
                <w:szCs w:val="14"/>
                <w:lang w:eastAsia="pt-BR"/>
              </w:rPr>
            </w:pPr>
            <w:r w:rsidRPr="006B2B70">
              <w:rPr>
                <w:rFonts w:cs="Arial"/>
                <w:sz w:val="14"/>
                <w:szCs w:val="14"/>
              </w:rPr>
              <w:t xml:space="preserve">  (104</w:t>
            </w:r>
            <w:r>
              <w:rPr>
                <w:rFonts w:cs="Arial"/>
                <w:sz w:val="14"/>
                <w:szCs w:val="14"/>
              </w:rPr>
              <w:t>,</w:t>
            </w:r>
            <w:r w:rsidRPr="006B2B70">
              <w:rPr>
                <w:rFonts w:cs="Arial"/>
                <w:sz w:val="14"/>
                <w:szCs w:val="14"/>
              </w:rPr>
              <w:t>832)</w:t>
            </w:r>
          </w:p>
        </w:tc>
      </w:tr>
      <w:tr w:rsidR="005357C6" w:rsidRPr="00FE6393" w14:paraId="685D2762" w14:textId="77777777" w:rsidTr="004B1384">
        <w:trPr>
          <w:trHeight w:val="238"/>
          <w:jc w:val="center"/>
        </w:trPr>
        <w:tc>
          <w:tcPr>
            <w:tcW w:w="2269" w:type="dxa"/>
            <w:shd w:val="clear" w:color="auto" w:fill="auto"/>
            <w:vAlign w:val="center"/>
          </w:tcPr>
          <w:p w14:paraId="7D773D1C" w14:textId="77777777" w:rsidR="005357C6" w:rsidRPr="00FE6393" w:rsidRDefault="005357C6" w:rsidP="00475564">
            <w:pPr>
              <w:keepNext/>
              <w:keepLines/>
              <w:spacing w:before="40" w:after="40" w:line="240" w:lineRule="auto"/>
              <w:rPr>
                <w:rFonts w:eastAsia="Times New Roman" w:cs="Arial"/>
                <w:b/>
                <w:color w:val="000000"/>
                <w:spacing w:val="-2"/>
                <w:sz w:val="14"/>
                <w:szCs w:val="14"/>
                <w:lang w:eastAsia="pt-BR"/>
              </w:rPr>
            </w:pPr>
            <w:r w:rsidRPr="00FE6393">
              <w:rPr>
                <w:rFonts w:eastAsia="Times New Roman" w:cs="Arial"/>
                <w:b/>
                <w:color w:val="000000"/>
                <w:spacing w:val="-2"/>
                <w:sz w:val="14"/>
                <w:szCs w:val="14"/>
                <w:lang w:eastAsia="pt-BR"/>
              </w:rPr>
              <w:t>Total comprehensive result</w:t>
            </w:r>
          </w:p>
        </w:tc>
        <w:tc>
          <w:tcPr>
            <w:tcW w:w="1087" w:type="dxa"/>
            <w:shd w:val="clear" w:color="auto" w:fill="auto"/>
          </w:tcPr>
          <w:p w14:paraId="6270602B"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45</w:t>
            </w:r>
            <w:r>
              <w:rPr>
                <w:rFonts w:cs="Arial"/>
                <w:b/>
                <w:sz w:val="14"/>
                <w:szCs w:val="14"/>
              </w:rPr>
              <w:t>,</w:t>
            </w:r>
            <w:r w:rsidRPr="00C05F1D">
              <w:rPr>
                <w:rFonts w:cs="Arial"/>
                <w:b/>
                <w:sz w:val="14"/>
                <w:szCs w:val="14"/>
              </w:rPr>
              <w:t xml:space="preserve">901 </w:t>
            </w:r>
          </w:p>
        </w:tc>
        <w:tc>
          <w:tcPr>
            <w:tcW w:w="1087" w:type="dxa"/>
            <w:shd w:val="clear" w:color="auto" w:fill="auto"/>
          </w:tcPr>
          <w:p w14:paraId="0C263B59"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w:t>
            </w:r>
            <w:r>
              <w:rPr>
                <w:rFonts w:cs="Arial"/>
                <w:b/>
                <w:sz w:val="14"/>
                <w:szCs w:val="14"/>
              </w:rPr>
              <w:t>,</w:t>
            </w:r>
            <w:r w:rsidRPr="00C05F1D">
              <w:rPr>
                <w:rFonts w:cs="Arial"/>
                <w:b/>
                <w:sz w:val="14"/>
                <w:szCs w:val="14"/>
              </w:rPr>
              <w:t>755</w:t>
            </w:r>
            <w:r>
              <w:rPr>
                <w:rFonts w:cs="Arial"/>
                <w:b/>
                <w:sz w:val="14"/>
                <w:szCs w:val="14"/>
              </w:rPr>
              <w:t>,</w:t>
            </w:r>
            <w:r w:rsidRPr="00C05F1D">
              <w:rPr>
                <w:rFonts w:cs="Arial"/>
                <w:b/>
                <w:sz w:val="14"/>
                <w:szCs w:val="14"/>
              </w:rPr>
              <w:t xml:space="preserve">710 </w:t>
            </w:r>
          </w:p>
        </w:tc>
        <w:tc>
          <w:tcPr>
            <w:tcW w:w="1087" w:type="dxa"/>
            <w:shd w:val="clear" w:color="auto" w:fill="auto"/>
          </w:tcPr>
          <w:p w14:paraId="31BF8420"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w:t>
            </w:r>
            <w:r>
              <w:rPr>
                <w:rFonts w:cs="Arial"/>
                <w:b/>
                <w:sz w:val="14"/>
                <w:szCs w:val="14"/>
              </w:rPr>
              <w:t>,</w:t>
            </w:r>
            <w:r w:rsidRPr="00C05F1D">
              <w:rPr>
                <w:rFonts w:cs="Arial"/>
                <w:b/>
                <w:sz w:val="14"/>
                <w:szCs w:val="14"/>
              </w:rPr>
              <w:t>801</w:t>
            </w:r>
            <w:r>
              <w:rPr>
                <w:rFonts w:cs="Arial"/>
                <w:b/>
                <w:sz w:val="14"/>
                <w:szCs w:val="14"/>
              </w:rPr>
              <w:t>,</w:t>
            </w:r>
            <w:r w:rsidRPr="00C05F1D">
              <w:rPr>
                <w:rFonts w:cs="Arial"/>
                <w:b/>
                <w:sz w:val="14"/>
                <w:szCs w:val="14"/>
              </w:rPr>
              <w:t xml:space="preserve">484 </w:t>
            </w:r>
          </w:p>
        </w:tc>
        <w:tc>
          <w:tcPr>
            <w:tcW w:w="283" w:type="dxa"/>
            <w:shd w:val="clear" w:color="auto" w:fill="auto"/>
            <w:vAlign w:val="center"/>
          </w:tcPr>
          <w:p w14:paraId="1B3C7B58"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tcPr>
          <w:p w14:paraId="7A54AFE3"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69</w:t>
            </w:r>
            <w:r>
              <w:rPr>
                <w:rFonts w:cs="Arial"/>
                <w:b/>
                <w:bCs/>
                <w:sz w:val="14"/>
                <w:szCs w:val="14"/>
              </w:rPr>
              <w:t>,</w:t>
            </w:r>
            <w:r w:rsidRPr="006B2B70">
              <w:rPr>
                <w:rFonts w:cs="Arial"/>
                <w:b/>
                <w:bCs/>
                <w:sz w:val="14"/>
                <w:szCs w:val="14"/>
              </w:rPr>
              <w:t xml:space="preserve">589 </w:t>
            </w:r>
          </w:p>
        </w:tc>
        <w:tc>
          <w:tcPr>
            <w:tcW w:w="1275" w:type="dxa"/>
            <w:shd w:val="clear" w:color="auto" w:fill="auto"/>
          </w:tcPr>
          <w:p w14:paraId="1DEC9E43"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1</w:t>
            </w:r>
            <w:r>
              <w:rPr>
                <w:rFonts w:cs="Arial"/>
                <w:b/>
                <w:bCs/>
                <w:sz w:val="14"/>
                <w:szCs w:val="14"/>
              </w:rPr>
              <w:t>,</w:t>
            </w:r>
            <w:r w:rsidRPr="006B2B70">
              <w:rPr>
                <w:rFonts w:cs="Arial"/>
                <w:b/>
                <w:bCs/>
                <w:sz w:val="14"/>
                <w:szCs w:val="14"/>
              </w:rPr>
              <w:t>267</w:t>
            </w:r>
            <w:r>
              <w:rPr>
                <w:rFonts w:cs="Arial"/>
                <w:b/>
                <w:bCs/>
                <w:sz w:val="14"/>
                <w:szCs w:val="14"/>
              </w:rPr>
              <w:t>,</w:t>
            </w:r>
            <w:r w:rsidRPr="006B2B70">
              <w:rPr>
                <w:rFonts w:cs="Arial"/>
                <w:b/>
                <w:bCs/>
                <w:sz w:val="14"/>
                <w:szCs w:val="14"/>
              </w:rPr>
              <w:t xml:space="preserve">025 </w:t>
            </w:r>
          </w:p>
        </w:tc>
        <w:tc>
          <w:tcPr>
            <w:tcW w:w="1276" w:type="dxa"/>
            <w:shd w:val="clear" w:color="auto" w:fill="auto"/>
          </w:tcPr>
          <w:p w14:paraId="1980417D"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1</w:t>
            </w:r>
            <w:r>
              <w:rPr>
                <w:rFonts w:cs="Arial"/>
                <w:b/>
                <w:bCs/>
                <w:sz w:val="14"/>
                <w:szCs w:val="14"/>
              </w:rPr>
              <w:t>,</w:t>
            </w:r>
            <w:r w:rsidRPr="006B2B70">
              <w:rPr>
                <w:rFonts w:cs="Arial"/>
                <w:b/>
                <w:bCs/>
                <w:sz w:val="14"/>
                <w:szCs w:val="14"/>
              </w:rPr>
              <w:t>338</w:t>
            </w:r>
            <w:r>
              <w:rPr>
                <w:rFonts w:cs="Arial"/>
                <w:b/>
                <w:bCs/>
                <w:sz w:val="14"/>
                <w:szCs w:val="14"/>
              </w:rPr>
              <w:t>,</w:t>
            </w:r>
            <w:r w:rsidRPr="006B2B70">
              <w:rPr>
                <w:rFonts w:cs="Arial"/>
                <w:b/>
                <w:bCs/>
                <w:sz w:val="14"/>
                <w:szCs w:val="14"/>
              </w:rPr>
              <w:t xml:space="preserve">252 </w:t>
            </w:r>
          </w:p>
        </w:tc>
      </w:tr>
      <w:tr w:rsidR="005357C6" w:rsidRPr="00FE6393" w14:paraId="46035D32" w14:textId="77777777" w:rsidTr="004B1384">
        <w:trPr>
          <w:trHeight w:val="238"/>
          <w:jc w:val="center"/>
        </w:trPr>
        <w:tc>
          <w:tcPr>
            <w:tcW w:w="2269" w:type="dxa"/>
            <w:shd w:val="clear" w:color="auto" w:fill="auto"/>
            <w:vAlign w:val="center"/>
          </w:tcPr>
          <w:p w14:paraId="58BCC5AC" w14:textId="77777777" w:rsidR="005357C6" w:rsidRPr="00FE6393" w:rsidRDefault="005357C6" w:rsidP="00475564">
            <w:pPr>
              <w:keepNext/>
              <w:keepLines/>
              <w:spacing w:before="40" w:after="40" w:line="240" w:lineRule="auto"/>
              <w:rPr>
                <w:rFonts w:eastAsia="Times New Roman" w:cs="Arial"/>
                <w:b/>
                <w:color w:val="000000"/>
                <w:spacing w:val="-2"/>
                <w:sz w:val="14"/>
                <w:szCs w:val="14"/>
                <w:lang w:eastAsia="pt-BR"/>
              </w:rPr>
            </w:pPr>
            <w:r w:rsidRPr="00FE6393">
              <w:rPr>
                <w:rFonts w:eastAsia="Times New Roman" w:cs="Arial"/>
                <w:b/>
                <w:color w:val="000000"/>
                <w:spacing w:val="-2"/>
                <w:sz w:val="14"/>
                <w:szCs w:val="14"/>
                <w:lang w:eastAsia="pt-BR"/>
              </w:rPr>
              <w:t>Attributable to BB Seguridade</w:t>
            </w:r>
          </w:p>
        </w:tc>
        <w:tc>
          <w:tcPr>
            <w:tcW w:w="1087" w:type="dxa"/>
            <w:shd w:val="clear" w:color="auto" w:fill="auto"/>
            <w:vAlign w:val="center"/>
          </w:tcPr>
          <w:p w14:paraId="5CF846FA"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34</w:t>
            </w:r>
            <w:r>
              <w:rPr>
                <w:rFonts w:cs="Arial"/>
                <w:b/>
                <w:sz w:val="14"/>
                <w:szCs w:val="14"/>
              </w:rPr>
              <w:t>,</w:t>
            </w:r>
            <w:r w:rsidRPr="00C05F1D">
              <w:rPr>
                <w:rFonts w:cs="Arial"/>
                <w:b/>
                <w:sz w:val="14"/>
                <w:szCs w:val="14"/>
              </w:rPr>
              <w:t xml:space="preserve">368 </w:t>
            </w:r>
          </w:p>
        </w:tc>
        <w:tc>
          <w:tcPr>
            <w:tcW w:w="1087" w:type="dxa"/>
            <w:shd w:val="clear" w:color="auto" w:fill="auto"/>
            <w:vAlign w:val="center"/>
          </w:tcPr>
          <w:p w14:paraId="3BC7C973"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w:t>
            </w:r>
            <w:r>
              <w:rPr>
                <w:rFonts w:cs="Arial"/>
                <w:b/>
                <w:sz w:val="14"/>
                <w:szCs w:val="14"/>
              </w:rPr>
              <w:t>,</w:t>
            </w:r>
            <w:r w:rsidRPr="00C05F1D">
              <w:rPr>
                <w:rFonts w:cs="Arial"/>
                <w:b/>
                <w:sz w:val="14"/>
                <w:szCs w:val="14"/>
              </w:rPr>
              <w:t>062</w:t>
            </w:r>
            <w:r>
              <w:rPr>
                <w:rFonts w:cs="Arial"/>
                <w:b/>
                <w:sz w:val="14"/>
                <w:szCs w:val="14"/>
              </w:rPr>
              <w:t>,</w:t>
            </w:r>
            <w:r w:rsidRPr="00C05F1D">
              <w:rPr>
                <w:rFonts w:cs="Arial"/>
                <w:b/>
                <w:sz w:val="14"/>
                <w:szCs w:val="14"/>
              </w:rPr>
              <w:t xml:space="preserve">005 </w:t>
            </w:r>
          </w:p>
        </w:tc>
        <w:tc>
          <w:tcPr>
            <w:tcW w:w="1087" w:type="dxa"/>
            <w:shd w:val="clear" w:color="auto" w:fill="auto"/>
            <w:vAlign w:val="center"/>
          </w:tcPr>
          <w:p w14:paraId="7A881871"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w:t>
            </w:r>
            <w:r>
              <w:rPr>
                <w:rFonts w:cs="Arial"/>
                <w:b/>
                <w:sz w:val="14"/>
                <w:szCs w:val="14"/>
              </w:rPr>
              <w:t>,</w:t>
            </w:r>
            <w:r w:rsidRPr="00C05F1D">
              <w:rPr>
                <w:rFonts w:cs="Arial"/>
                <w:b/>
                <w:sz w:val="14"/>
                <w:szCs w:val="14"/>
              </w:rPr>
              <w:t>096</w:t>
            </w:r>
            <w:r>
              <w:rPr>
                <w:rFonts w:cs="Arial"/>
                <w:b/>
                <w:sz w:val="14"/>
                <w:szCs w:val="14"/>
              </w:rPr>
              <w:t>,</w:t>
            </w:r>
            <w:r w:rsidRPr="00C05F1D">
              <w:rPr>
                <w:rFonts w:cs="Arial"/>
                <w:b/>
                <w:sz w:val="14"/>
                <w:szCs w:val="14"/>
              </w:rPr>
              <w:t xml:space="preserve">277 </w:t>
            </w:r>
          </w:p>
        </w:tc>
        <w:tc>
          <w:tcPr>
            <w:tcW w:w="283" w:type="dxa"/>
            <w:shd w:val="clear" w:color="auto" w:fill="auto"/>
            <w:vAlign w:val="center"/>
          </w:tcPr>
          <w:p w14:paraId="521E94D2"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tcPr>
          <w:p w14:paraId="7A401A2C"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52</w:t>
            </w:r>
            <w:r>
              <w:rPr>
                <w:rFonts w:cs="Arial"/>
                <w:b/>
                <w:bCs/>
                <w:sz w:val="14"/>
                <w:szCs w:val="14"/>
              </w:rPr>
              <w:t>,</w:t>
            </w:r>
            <w:r w:rsidRPr="006B2B70">
              <w:rPr>
                <w:rFonts w:cs="Arial"/>
                <w:b/>
                <w:bCs/>
                <w:sz w:val="14"/>
                <w:szCs w:val="14"/>
              </w:rPr>
              <w:t xml:space="preserve">098 </w:t>
            </w:r>
          </w:p>
        </w:tc>
        <w:tc>
          <w:tcPr>
            <w:tcW w:w="1275" w:type="dxa"/>
            <w:shd w:val="clear" w:color="auto" w:fill="auto"/>
          </w:tcPr>
          <w:p w14:paraId="0838FAAE"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1</w:t>
            </w:r>
            <w:r>
              <w:rPr>
                <w:rFonts w:cs="Arial"/>
                <w:b/>
                <w:bCs/>
                <w:sz w:val="14"/>
                <w:szCs w:val="14"/>
              </w:rPr>
              <w:t>,</w:t>
            </w:r>
            <w:r w:rsidRPr="006B2B70">
              <w:rPr>
                <w:rFonts w:cs="Arial"/>
                <w:b/>
                <w:bCs/>
                <w:sz w:val="14"/>
                <w:szCs w:val="14"/>
              </w:rPr>
              <w:t>028</w:t>
            </w:r>
            <w:r>
              <w:rPr>
                <w:rFonts w:cs="Arial"/>
                <w:b/>
                <w:bCs/>
                <w:sz w:val="14"/>
                <w:szCs w:val="14"/>
              </w:rPr>
              <w:t>,</w:t>
            </w:r>
            <w:r w:rsidRPr="006B2B70">
              <w:rPr>
                <w:rFonts w:cs="Arial"/>
                <w:b/>
                <w:bCs/>
                <w:sz w:val="14"/>
                <w:szCs w:val="14"/>
              </w:rPr>
              <w:t xml:space="preserve">843 </w:t>
            </w:r>
          </w:p>
        </w:tc>
        <w:tc>
          <w:tcPr>
            <w:tcW w:w="1276" w:type="dxa"/>
            <w:shd w:val="clear" w:color="auto" w:fill="auto"/>
          </w:tcPr>
          <w:p w14:paraId="0CF59FE2"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1</w:t>
            </w:r>
            <w:r>
              <w:rPr>
                <w:rFonts w:cs="Arial"/>
                <w:b/>
                <w:bCs/>
                <w:sz w:val="14"/>
                <w:szCs w:val="14"/>
              </w:rPr>
              <w:t>,</w:t>
            </w:r>
            <w:r w:rsidRPr="006B2B70">
              <w:rPr>
                <w:rFonts w:cs="Arial"/>
                <w:b/>
                <w:bCs/>
                <w:sz w:val="14"/>
                <w:szCs w:val="14"/>
              </w:rPr>
              <w:t>082</w:t>
            </w:r>
            <w:r>
              <w:rPr>
                <w:rFonts w:cs="Arial"/>
                <w:b/>
                <w:bCs/>
                <w:sz w:val="14"/>
                <w:szCs w:val="14"/>
              </w:rPr>
              <w:t>,</w:t>
            </w:r>
            <w:r w:rsidRPr="006B2B70">
              <w:rPr>
                <w:rFonts w:cs="Arial"/>
                <w:b/>
                <w:bCs/>
                <w:sz w:val="14"/>
                <w:szCs w:val="14"/>
              </w:rPr>
              <w:t xml:space="preserve">169 </w:t>
            </w:r>
          </w:p>
        </w:tc>
      </w:tr>
      <w:tr w:rsidR="005357C6" w:rsidRPr="00D44604" w14:paraId="06510A5B" w14:textId="77777777" w:rsidTr="00FE6393">
        <w:trPr>
          <w:trHeight w:val="238"/>
          <w:jc w:val="center"/>
        </w:trPr>
        <w:tc>
          <w:tcPr>
            <w:tcW w:w="2269" w:type="dxa"/>
            <w:shd w:val="clear" w:color="auto" w:fill="auto"/>
            <w:vAlign w:val="center"/>
          </w:tcPr>
          <w:p w14:paraId="0A1B1492" w14:textId="77777777" w:rsidR="005357C6" w:rsidRPr="00D44604" w:rsidRDefault="005357C6" w:rsidP="00475564">
            <w:pPr>
              <w:keepNext/>
              <w:keepLines/>
              <w:spacing w:before="40" w:after="40" w:line="240" w:lineRule="auto"/>
              <w:ind w:left="113"/>
              <w:rPr>
                <w:rFonts w:eastAsia="Times New Roman" w:cs="Arial"/>
                <w:color w:val="000000"/>
                <w:spacing w:val="-2"/>
                <w:sz w:val="14"/>
                <w:szCs w:val="14"/>
                <w:lang w:eastAsia="pt-BR"/>
              </w:rPr>
            </w:pPr>
            <w:r w:rsidRPr="004948C0">
              <w:rPr>
                <w:rFonts w:eastAsia="Times New Roman" w:cs="Arial"/>
                <w:color w:val="000000"/>
                <w:spacing w:val="-2"/>
                <w:sz w:val="14"/>
                <w:szCs w:val="14"/>
                <w:lang w:eastAsia="pt-BR"/>
              </w:rPr>
              <w:t xml:space="preserve">Amortization of intangible assets </w:t>
            </w:r>
            <w:r w:rsidRPr="004948C0">
              <w:rPr>
                <w:rFonts w:eastAsia="Times New Roman" w:cs="Arial"/>
                <w:color w:val="000000"/>
                <w:spacing w:val="-2"/>
                <w:sz w:val="14"/>
                <w:szCs w:val="14"/>
                <w:vertAlign w:val="superscript"/>
                <w:lang w:eastAsia="pt-BR"/>
              </w:rPr>
              <w:t>(1)</w:t>
            </w:r>
          </w:p>
        </w:tc>
        <w:tc>
          <w:tcPr>
            <w:tcW w:w="1087" w:type="dxa"/>
            <w:shd w:val="clear" w:color="auto" w:fill="auto"/>
            <w:vAlign w:val="center"/>
          </w:tcPr>
          <w:p w14:paraId="4BF0CA81"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eastAsia="Times New Roman" w:cs="Arial"/>
                <w:bCs/>
                <w:spacing w:val="-2"/>
                <w:sz w:val="14"/>
                <w:szCs w:val="14"/>
                <w:lang w:eastAsia="pt-BR"/>
              </w:rPr>
              <w:t>--</w:t>
            </w:r>
          </w:p>
        </w:tc>
        <w:tc>
          <w:tcPr>
            <w:tcW w:w="1087" w:type="dxa"/>
            <w:shd w:val="clear" w:color="auto" w:fill="auto"/>
            <w:vAlign w:val="center"/>
          </w:tcPr>
          <w:p w14:paraId="6F9589CE"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eastAsia="Times New Roman" w:cs="Arial"/>
                <w:bCs/>
                <w:spacing w:val="-2"/>
                <w:sz w:val="14"/>
                <w:szCs w:val="14"/>
                <w:lang w:eastAsia="pt-BR"/>
              </w:rPr>
              <w:t>--</w:t>
            </w:r>
          </w:p>
        </w:tc>
        <w:tc>
          <w:tcPr>
            <w:tcW w:w="1087" w:type="dxa"/>
            <w:shd w:val="clear" w:color="auto" w:fill="auto"/>
            <w:vAlign w:val="center"/>
          </w:tcPr>
          <w:p w14:paraId="56D4A6F6"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(14</w:t>
            </w:r>
            <w:r>
              <w:rPr>
                <w:rFonts w:cs="Arial"/>
                <w:bCs/>
                <w:sz w:val="14"/>
                <w:szCs w:val="14"/>
              </w:rPr>
              <w:t>,</w:t>
            </w:r>
            <w:r w:rsidRPr="00C05F1D">
              <w:rPr>
                <w:rFonts w:cs="Arial"/>
                <w:bCs/>
                <w:sz w:val="14"/>
                <w:szCs w:val="14"/>
              </w:rPr>
              <w:t>727)</w:t>
            </w:r>
          </w:p>
        </w:tc>
        <w:tc>
          <w:tcPr>
            <w:tcW w:w="283" w:type="dxa"/>
            <w:shd w:val="clear" w:color="auto" w:fill="auto"/>
            <w:vAlign w:val="center"/>
          </w:tcPr>
          <w:p w14:paraId="37160069"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p>
        </w:tc>
        <w:tc>
          <w:tcPr>
            <w:tcW w:w="1275" w:type="dxa"/>
            <w:shd w:val="clear" w:color="auto" w:fill="auto"/>
            <w:vAlign w:val="center"/>
          </w:tcPr>
          <w:p w14:paraId="621A9C33"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eastAsia="Times New Roman" w:cs="Arial"/>
                <w:spacing w:val="-2"/>
                <w:sz w:val="14"/>
                <w:szCs w:val="14"/>
                <w:lang w:eastAsia="pt-BR"/>
              </w:rPr>
              <w:t>--</w:t>
            </w:r>
          </w:p>
        </w:tc>
        <w:tc>
          <w:tcPr>
            <w:tcW w:w="1275" w:type="dxa"/>
            <w:shd w:val="clear" w:color="auto" w:fill="auto"/>
            <w:vAlign w:val="center"/>
          </w:tcPr>
          <w:p w14:paraId="31E74B7C"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eastAsia="Times New Roman" w:cs="Arial"/>
                <w:spacing w:val="-2"/>
                <w:sz w:val="14"/>
                <w:szCs w:val="14"/>
                <w:lang w:eastAsia="pt-BR"/>
              </w:rPr>
              <w:t>--</w:t>
            </w:r>
          </w:p>
        </w:tc>
        <w:tc>
          <w:tcPr>
            <w:tcW w:w="1276" w:type="dxa"/>
            <w:shd w:val="clear" w:color="auto" w:fill="auto"/>
            <w:vAlign w:val="center"/>
          </w:tcPr>
          <w:p w14:paraId="1147B0A9" w14:textId="77777777" w:rsidR="005357C6" w:rsidRPr="00D44604" w:rsidRDefault="005357C6" w:rsidP="00475564">
            <w:pPr>
              <w:keepNext/>
              <w:keepLines/>
              <w:spacing w:before="40" w:after="40" w:line="240" w:lineRule="auto"/>
              <w:jc w:val="right"/>
              <w:rPr>
                <w:rFonts w:eastAsia="Times New Roman" w:cs="Arial"/>
                <w:spacing w:val="-2"/>
                <w:sz w:val="14"/>
                <w:szCs w:val="14"/>
                <w:lang w:eastAsia="pt-BR"/>
              </w:rPr>
            </w:pPr>
            <w:r w:rsidRPr="006B2B70">
              <w:rPr>
                <w:rFonts w:eastAsia="Times New Roman" w:cs="Arial"/>
                <w:spacing w:val="-2"/>
                <w:sz w:val="14"/>
                <w:szCs w:val="14"/>
                <w:lang w:eastAsia="pt-BR"/>
              </w:rPr>
              <w:t>(15</w:t>
            </w:r>
            <w:r>
              <w:rPr>
                <w:rFonts w:eastAsia="Times New Roman" w:cs="Arial"/>
                <w:spacing w:val="-2"/>
                <w:sz w:val="14"/>
                <w:szCs w:val="14"/>
                <w:lang w:eastAsia="pt-BR"/>
              </w:rPr>
              <w:t>,</w:t>
            </w:r>
            <w:r w:rsidRPr="006B2B70">
              <w:rPr>
                <w:rFonts w:eastAsia="Times New Roman" w:cs="Arial"/>
                <w:spacing w:val="-2"/>
                <w:sz w:val="14"/>
                <w:szCs w:val="14"/>
                <w:lang w:eastAsia="pt-BR"/>
              </w:rPr>
              <w:t>149)</w:t>
            </w:r>
          </w:p>
        </w:tc>
      </w:tr>
      <w:tr w:rsidR="005357C6" w:rsidRPr="00FE6393" w14:paraId="2660B353" w14:textId="77777777" w:rsidTr="004B1384">
        <w:trPr>
          <w:trHeight w:val="238"/>
          <w:jc w:val="center"/>
        </w:trPr>
        <w:tc>
          <w:tcPr>
            <w:tcW w:w="2269" w:type="dxa"/>
            <w:shd w:val="clear" w:color="auto" w:fill="auto"/>
            <w:vAlign w:val="center"/>
          </w:tcPr>
          <w:p w14:paraId="6E06F90E" w14:textId="77777777" w:rsidR="005357C6" w:rsidRPr="00FE6393" w:rsidRDefault="005357C6" w:rsidP="00475564">
            <w:pPr>
              <w:keepNext/>
              <w:keepLines/>
              <w:spacing w:before="40" w:after="40" w:line="240" w:lineRule="auto"/>
              <w:rPr>
                <w:rFonts w:eastAsia="Times New Roman" w:cs="Arial"/>
                <w:b/>
                <w:color w:val="000000"/>
                <w:spacing w:val="-2"/>
                <w:sz w:val="14"/>
                <w:szCs w:val="14"/>
                <w:lang w:eastAsia="pt-BR"/>
              </w:rPr>
            </w:pPr>
            <w:r w:rsidRPr="00FE6393">
              <w:rPr>
                <w:rFonts w:eastAsia="Times New Roman" w:cs="Arial"/>
                <w:b/>
                <w:color w:val="000000"/>
                <w:spacing w:val="-2"/>
                <w:sz w:val="14"/>
                <w:szCs w:val="14"/>
                <w:lang w:eastAsia="pt-BR"/>
              </w:rPr>
              <w:t>Equivalence result</w:t>
            </w:r>
          </w:p>
        </w:tc>
        <w:tc>
          <w:tcPr>
            <w:tcW w:w="1087" w:type="dxa"/>
            <w:shd w:val="clear" w:color="auto" w:fill="auto"/>
            <w:vAlign w:val="center"/>
          </w:tcPr>
          <w:p w14:paraId="1C8D908A"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34</w:t>
            </w:r>
            <w:r>
              <w:rPr>
                <w:rFonts w:cs="Arial"/>
                <w:b/>
                <w:sz w:val="14"/>
                <w:szCs w:val="14"/>
              </w:rPr>
              <w:t>,</w:t>
            </w:r>
            <w:r w:rsidRPr="00C05F1D">
              <w:rPr>
                <w:rFonts w:cs="Arial"/>
                <w:b/>
                <w:sz w:val="14"/>
                <w:szCs w:val="14"/>
              </w:rPr>
              <w:t xml:space="preserve">368 </w:t>
            </w:r>
          </w:p>
        </w:tc>
        <w:tc>
          <w:tcPr>
            <w:tcW w:w="1087" w:type="dxa"/>
            <w:shd w:val="clear" w:color="auto" w:fill="auto"/>
            <w:vAlign w:val="center"/>
          </w:tcPr>
          <w:p w14:paraId="7DEEBABF"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w:t>
            </w:r>
            <w:r>
              <w:rPr>
                <w:rFonts w:cs="Arial"/>
                <w:b/>
                <w:sz w:val="14"/>
                <w:szCs w:val="14"/>
              </w:rPr>
              <w:t>,</w:t>
            </w:r>
            <w:r w:rsidRPr="00C05F1D">
              <w:rPr>
                <w:rFonts w:cs="Arial"/>
                <w:b/>
                <w:sz w:val="14"/>
                <w:szCs w:val="14"/>
              </w:rPr>
              <w:t>062</w:t>
            </w:r>
            <w:r>
              <w:rPr>
                <w:rFonts w:cs="Arial"/>
                <w:b/>
                <w:sz w:val="14"/>
                <w:szCs w:val="14"/>
              </w:rPr>
              <w:t>,</w:t>
            </w:r>
            <w:r w:rsidRPr="00C05F1D">
              <w:rPr>
                <w:rFonts w:cs="Arial"/>
                <w:b/>
                <w:sz w:val="14"/>
                <w:szCs w:val="14"/>
              </w:rPr>
              <w:t xml:space="preserve">005 </w:t>
            </w:r>
          </w:p>
        </w:tc>
        <w:tc>
          <w:tcPr>
            <w:tcW w:w="1087" w:type="dxa"/>
            <w:shd w:val="clear" w:color="auto" w:fill="auto"/>
            <w:vAlign w:val="center"/>
          </w:tcPr>
          <w:p w14:paraId="4A7F2F91"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w:t>
            </w:r>
            <w:r>
              <w:rPr>
                <w:rFonts w:cs="Arial"/>
                <w:b/>
                <w:sz w:val="14"/>
                <w:szCs w:val="14"/>
              </w:rPr>
              <w:t>,</w:t>
            </w:r>
            <w:r w:rsidRPr="00C05F1D">
              <w:rPr>
                <w:rFonts w:cs="Arial"/>
                <w:b/>
                <w:sz w:val="14"/>
                <w:szCs w:val="14"/>
              </w:rPr>
              <w:t>081</w:t>
            </w:r>
            <w:r>
              <w:rPr>
                <w:rFonts w:cs="Arial"/>
                <w:b/>
                <w:sz w:val="14"/>
                <w:szCs w:val="14"/>
              </w:rPr>
              <w:t>,</w:t>
            </w:r>
            <w:r w:rsidRPr="00C05F1D">
              <w:rPr>
                <w:rFonts w:cs="Arial"/>
                <w:b/>
                <w:sz w:val="14"/>
                <w:szCs w:val="14"/>
              </w:rPr>
              <w:t>55</w:t>
            </w:r>
            <w:r>
              <w:rPr>
                <w:rFonts w:cs="Arial"/>
                <w:b/>
                <w:sz w:val="14"/>
                <w:szCs w:val="14"/>
              </w:rPr>
              <w:t>0</w:t>
            </w:r>
            <w:r w:rsidRPr="00C05F1D">
              <w:rPr>
                <w:rFonts w:cs="Arial"/>
                <w:b/>
                <w:sz w:val="14"/>
                <w:szCs w:val="14"/>
              </w:rPr>
              <w:t xml:space="preserve"> </w:t>
            </w:r>
          </w:p>
        </w:tc>
        <w:tc>
          <w:tcPr>
            <w:tcW w:w="283" w:type="dxa"/>
            <w:shd w:val="clear" w:color="auto" w:fill="auto"/>
            <w:vAlign w:val="center"/>
          </w:tcPr>
          <w:p w14:paraId="0C50A306"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tcPr>
          <w:p w14:paraId="0C8ACC63"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52</w:t>
            </w:r>
            <w:r>
              <w:rPr>
                <w:rFonts w:cs="Arial"/>
                <w:b/>
                <w:bCs/>
                <w:sz w:val="14"/>
                <w:szCs w:val="14"/>
              </w:rPr>
              <w:t>,</w:t>
            </w:r>
            <w:r w:rsidRPr="006B2B70">
              <w:rPr>
                <w:rFonts w:cs="Arial"/>
                <w:b/>
                <w:bCs/>
                <w:sz w:val="14"/>
                <w:szCs w:val="14"/>
              </w:rPr>
              <w:t xml:space="preserve">098 </w:t>
            </w:r>
          </w:p>
        </w:tc>
        <w:tc>
          <w:tcPr>
            <w:tcW w:w="1275" w:type="dxa"/>
            <w:shd w:val="clear" w:color="auto" w:fill="auto"/>
          </w:tcPr>
          <w:p w14:paraId="43CFB613"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1</w:t>
            </w:r>
            <w:r>
              <w:rPr>
                <w:rFonts w:cs="Arial"/>
                <w:b/>
                <w:bCs/>
                <w:sz w:val="14"/>
                <w:szCs w:val="14"/>
              </w:rPr>
              <w:t>,</w:t>
            </w:r>
            <w:r w:rsidRPr="006B2B70">
              <w:rPr>
                <w:rFonts w:cs="Arial"/>
                <w:b/>
                <w:bCs/>
                <w:sz w:val="14"/>
                <w:szCs w:val="14"/>
              </w:rPr>
              <w:t>028</w:t>
            </w:r>
            <w:r>
              <w:rPr>
                <w:rFonts w:cs="Arial"/>
                <w:b/>
                <w:bCs/>
                <w:sz w:val="14"/>
                <w:szCs w:val="14"/>
              </w:rPr>
              <w:t>,</w:t>
            </w:r>
            <w:r w:rsidRPr="006B2B70">
              <w:rPr>
                <w:rFonts w:cs="Arial"/>
                <w:b/>
                <w:bCs/>
                <w:sz w:val="14"/>
                <w:szCs w:val="14"/>
              </w:rPr>
              <w:t xml:space="preserve">843 </w:t>
            </w:r>
          </w:p>
        </w:tc>
        <w:tc>
          <w:tcPr>
            <w:tcW w:w="1276" w:type="dxa"/>
            <w:shd w:val="clear" w:color="auto" w:fill="auto"/>
            <w:vAlign w:val="center"/>
          </w:tcPr>
          <w:p w14:paraId="1288D504" w14:textId="77777777" w:rsidR="005357C6" w:rsidRPr="00FE6393" w:rsidRDefault="005357C6" w:rsidP="00475564">
            <w:pPr>
              <w:keepNext/>
              <w:keepLines/>
              <w:spacing w:before="40" w:after="40" w:line="240" w:lineRule="auto"/>
              <w:jc w:val="right"/>
              <w:rPr>
                <w:rFonts w:eastAsia="Times New Roman" w:cs="Arial"/>
                <w:b/>
                <w:spacing w:val="-2"/>
                <w:sz w:val="14"/>
                <w:szCs w:val="14"/>
                <w:lang w:eastAsia="pt-BR"/>
              </w:rPr>
            </w:pPr>
            <w:r w:rsidRPr="006B2B70">
              <w:rPr>
                <w:rFonts w:eastAsia="Times New Roman" w:cs="Arial"/>
                <w:b/>
                <w:spacing w:val="-2"/>
                <w:sz w:val="14"/>
                <w:szCs w:val="14"/>
                <w:lang w:eastAsia="pt-BR"/>
              </w:rPr>
              <w:t>1</w:t>
            </w:r>
            <w:r>
              <w:rPr>
                <w:rFonts w:eastAsia="Times New Roman" w:cs="Arial"/>
                <w:b/>
                <w:spacing w:val="-2"/>
                <w:sz w:val="14"/>
                <w:szCs w:val="14"/>
                <w:lang w:eastAsia="pt-BR"/>
              </w:rPr>
              <w:t>,</w:t>
            </w:r>
            <w:r w:rsidRPr="006B2B70">
              <w:rPr>
                <w:rFonts w:eastAsia="Times New Roman" w:cs="Arial"/>
                <w:b/>
                <w:spacing w:val="-2"/>
                <w:sz w:val="14"/>
                <w:szCs w:val="14"/>
                <w:lang w:eastAsia="pt-BR"/>
              </w:rPr>
              <w:t>067</w:t>
            </w:r>
            <w:r>
              <w:rPr>
                <w:rFonts w:eastAsia="Times New Roman" w:cs="Arial"/>
                <w:b/>
                <w:spacing w:val="-2"/>
                <w:sz w:val="14"/>
                <w:szCs w:val="14"/>
                <w:lang w:eastAsia="pt-BR"/>
              </w:rPr>
              <w:t>,</w:t>
            </w:r>
            <w:r w:rsidRPr="006B2B70">
              <w:rPr>
                <w:rFonts w:eastAsia="Times New Roman" w:cs="Arial"/>
                <w:b/>
                <w:spacing w:val="-2"/>
                <w:sz w:val="14"/>
                <w:szCs w:val="14"/>
                <w:lang w:eastAsia="pt-BR"/>
              </w:rPr>
              <w:t>020</w:t>
            </w:r>
          </w:p>
        </w:tc>
      </w:tr>
    </w:tbl>
    <w:p w14:paraId="66CC4BD2" w14:textId="77777777" w:rsidR="005357C6" w:rsidRPr="00475564" w:rsidRDefault="005357C6" w:rsidP="005357C6">
      <w:pPr>
        <w:numPr>
          <w:ilvl w:val="0"/>
          <w:numId w:val="22"/>
        </w:numPr>
        <w:spacing w:line="257" w:lineRule="auto"/>
        <w:ind w:left="284" w:hanging="284"/>
        <w:contextualSpacing/>
        <w:rPr>
          <w:rFonts w:eastAsia="Times New Roman" w:cs="Times New Roman"/>
          <w:spacing w:val="-2"/>
          <w:sz w:val="14"/>
          <w:szCs w:val="18"/>
          <w:lang w:val="en-US" w:eastAsia="pt-BR"/>
        </w:rPr>
        <w:sectPr w:rsidR="005357C6" w:rsidRPr="00475564" w:rsidSect="00FF4026">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851" w:left="1134" w:header="851" w:footer="284" w:gutter="0"/>
          <w:cols w:space="708"/>
          <w:docGrid w:linePitch="360"/>
        </w:sectPr>
      </w:pPr>
      <w:r>
        <w:rPr>
          <w:rFonts w:eastAsia="Times New Roman" w:cs="Times New Roman"/>
          <w:spacing w:val="-2"/>
          <w:sz w:val="14"/>
          <w:szCs w:val="18"/>
          <w:lang w:val="en-US" w:eastAsia="pt-BR"/>
        </w:rPr>
        <w:t>F</w:t>
      </w:r>
      <w:r w:rsidRPr="00D44604">
        <w:rPr>
          <w:rFonts w:eastAsia="Times New Roman" w:cs="Times New Roman"/>
          <w:spacing w:val="-2"/>
          <w:sz w:val="14"/>
          <w:szCs w:val="18"/>
          <w:lang w:val="en-US" w:eastAsia="pt-BR"/>
        </w:rPr>
        <w:t xml:space="preserve">rom the partnership agreement with </w:t>
      </w:r>
      <w:r>
        <w:rPr>
          <w:rFonts w:eastAsia="Times New Roman" w:cs="Times New Roman"/>
          <w:spacing w:val="-2"/>
          <w:sz w:val="14"/>
          <w:szCs w:val="18"/>
          <w:lang w:val="en-US" w:eastAsia="pt-BR"/>
        </w:rPr>
        <w:t>MAPFRE.</w:t>
      </w:r>
    </w:p>
    <w:p w14:paraId="46859ADE" w14:textId="77777777" w:rsidR="005357C6" w:rsidRPr="00D44604" w:rsidRDefault="005357C6" w:rsidP="001756D2">
      <w:pPr>
        <w:spacing w:line="257" w:lineRule="auto"/>
        <w:contextualSpacing/>
        <w:jc w:val="both"/>
        <w:rPr>
          <w:rFonts w:eastAsia="Times New Roman" w:cs="Times New Roman"/>
          <w:spacing w:val="-2"/>
          <w:sz w:val="14"/>
          <w:szCs w:val="18"/>
          <w:lang w:val="en-US" w:eastAsia="pt-BR"/>
        </w:rPr>
      </w:pPr>
    </w:p>
    <w:p w14:paraId="395DBF9E" w14:textId="77777777" w:rsidR="00960237" w:rsidRDefault="00960237" w:rsidP="00475564">
      <w:pPr>
        <w:keepNext/>
        <w:keepLines/>
        <w:spacing w:after="0" w:line="240" w:lineRule="auto"/>
        <w:rPr>
          <w:rFonts w:eastAsia="Times New Roman" w:cs="Times New Roman"/>
          <w:b/>
          <w:color w:val="1F4E79" w:themeColor="accent1" w:themeShade="80"/>
          <w:spacing w:val="-2"/>
          <w:szCs w:val="20"/>
          <w:lang w:val="en-US" w:eastAsia="pt-BR"/>
        </w:rPr>
      </w:pPr>
    </w:p>
    <w:p w14:paraId="0E931FDA" w14:textId="028D9918" w:rsidR="005357C6" w:rsidRPr="00D44604" w:rsidRDefault="005357C6" w:rsidP="00960237">
      <w:pPr>
        <w:keepNext/>
        <w:keepLines/>
        <w:pageBreakBefore/>
        <w:spacing w:after="0" w:line="240" w:lineRule="auto"/>
        <w:rPr>
          <w:rFonts w:eastAsia="Times New Roman" w:cs="Times New Roman"/>
          <w:b/>
          <w:color w:val="1F4E79" w:themeColor="accent1" w:themeShade="80"/>
          <w:spacing w:val="-2"/>
          <w:szCs w:val="20"/>
          <w:lang w:val="en-US" w:eastAsia="pt-BR"/>
        </w:rPr>
      </w:pPr>
      <w:r w:rsidRPr="00D44604">
        <w:rPr>
          <w:rFonts w:eastAsia="Times New Roman" w:cs="Times New Roman"/>
          <w:b/>
          <w:color w:val="1F4E79" w:themeColor="accent1" w:themeShade="80"/>
          <w:spacing w:val="-2"/>
          <w:szCs w:val="20"/>
          <w:lang w:val="en-US" w:eastAsia="pt-BR"/>
        </w:rPr>
        <w:lastRenderedPageBreak/>
        <w:t>Equity Information</w:t>
      </w:r>
    </w:p>
    <w:p w14:paraId="3D39A292" w14:textId="77777777" w:rsidR="005357C6" w:rsidRPr="00D44604" w:rsidRDefault="005357C6" w:rsidP="00D44604">
      <w:pPr>
        <w:spacing w:after="0" w:line="240" w:lineRule="auto"/>
        <w:rPr>
          <w:rFonts w:eastAsia="Times New Roman" w:cs="Times New Roman"/>
          <w:b/>
          <w:color w:val="1F4E79" w:themeColor="accent1" w:themeShade="80"/>
          <w:spacing w:val="-2"/>
          <w:szCs w:val="20"/>
          <w:lang w:val="en-US" w:eastAsia="pt-BR"/>
        </w:rPr>
      </w:pPr>
    </w:p>
    <w:p w14:paraId="671E939A" w14:textId="77777777" w:rsidR="005357C6" w:rsidRPr="00D44604" w:rsidRDefault="005357C6" w:rsidP="00D44604">
      <w:pPr>
        <w:spacing w:after="0" w:line="240" w:lineRule="auto"/>
        <w:jc w:val="right"/>
        <w:rPr>
          <w:rFonts w:cs="Arial"/>
          <w:b/>
          <w:sz w:val="14"/>
          <w:lang w:eastAsia="pt-BR"/>
        </w:rPr>
      </w:pPr>
      <w:r w:rsidRPr="00FC6C4B">
        <w:rPr>
          <w:rFonts w:cs="Arial"/>
          <w:b/>
          <w:sz w:val="14"/>
          <w:lang w:eastAsia="pt-BR"/>
        </w:rPr>
        <w:t>R$ thousand</w:t>
      </w:r>
    </w:p>
    <w:tbl>
      <w:tblPr>
        <w:tblStyle w:val="TabeladeLista6Colorida-nfase5121"/>
        <w:tblW w:w="9639" w:type="dxa"/>
        <w:jc w:val="center"/>
        <w:tblInd w:w="0" w:type="dxa"/>
        <w:tblLayout w:type="fixed"/>
        <w:tblLook w:val="04A0" w:firstRow="1" w:lastRow="0" w:firstColumn="1" w:lastColumn="0" w:noHBand="0" w:noVBand="1"/>
      </w:tblPr>
      <w:tblGrid>
        <w:gridCol w:w="2269"/>
        <w:gridCol w:w="1134"/>
        <w:gridCol w:w="1134"/>
        <w:gridCol w:w="1134"/>
        <w:gridCol w:w="284"/>
        <w:gridCol w:w="1228"/>
        <w:gridCol w:w="1228"/>
        <w:gridCol w:w="1228"/>
      </w:tblGrid>
      <w:tr w:rsidR="005357C6" w:rsidRPr="00D44604" w14:paraId="4777988C" w14:textId="77777777" w:rsidTr="0012610F">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1B116F9C" w14:textId="77777777" w:rsidR="005357C6" w:rsidRPr="00D44604" w:rsidRDefault="005357C6" w:rsidP="00D44604">
            <w:pPr>
              <w:jc w:val="center"/>
              <w:rPr>
                <w:rFonts w:cs="Arial"/>
                <w:bCs w:val="0"/>
                <w:sz w:val="14"/>
                <w:szCs w:val="14"/>
              </w:rPr>
            </w:pPr>
            <w:r w:rsidRPr="00D44604">
              <w:rPr>
                <w:rFonts w:cs="Arial"/>
                <w:bCs w:val="0"/>
                <w:sz w:val="14"/>
                <w:szCs w:val="14"/>
              </w:rPr>
              <w:t>Segment</w:t>
            </w:r>
          </w:p>
        </w:tc>
        <w:tc>
          <w:tcPr>
            <w:tcW w:w="7370" w:type="dxa"/>
            <w:gridSpan w:val="7"/>
            <w:tcBorders>
              <w:top w:val="single" w:sz="2" w:space="0" w:color="1F4E79" w:themeColor="accent1" w:themeShade="80"/>
              <w:left w:val="nil"/>
              <w:bottom w:val="single" w:sz="2" w:space="0" w:color="1F4E79" w:themeColor="accent1" w:themeShade="80"/>
              <w:right w:val="nil"/>
            </w:tcBorders>
            <w:shd w:val="clear" w:color="auto" w:fill="auto"/>
            <w:vAlign w:val="center"/>
          </w:tcPr>
          <w:p w14:paraId="06F38666" w14:textId="77777777" w:rsidR="005357C6" w:rsidRPr="00D44604" w:rsidRDefault="005357C6" w:rsidP="00D44604">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D44604">
              <w:rPr>
                <w:rFonts w:cs="Arial"/>
                <w:bCs w:val="0"/>
                <w:sz w:val="14"/>
                <w:szCs w:val="14"/>
              </w:rPr>
              <w:t>Insurance</w:t>
            </w:r>
          </w:p>
        </w:tc>
      </w:tr>
      <w:tr w:rsidR="005357C6" w:rsidRPr="00960237" w14:paraId="0F4A9F99" w14:textId="77777777" w:rsidTr="0012610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224141E" w14:textId="77777777" w:rsidR="005357C6" w:rsidRPr="00D44604" w:rsidRDefault="005357C6" w:rsidP="00D44604">
            <w:pPr>
              <w:jc w:val="center"/>
              <w:rPr>
                <w:rFonts w:cs="Arial"/>
                <w:sz w:val="14"/>
                <w:szCs w:val="14"/>
              </w:rPr>
            </w:pPr>
            <w:r w:rsidRPr="00D44604">
              <w:rPr>
                <w:rFonts w:cs="Arial"/>
                <w:b w:val="0"/>
                <w:sz w:val="14"/>
                <w:szCs w:val="14"/>
              </w:rPr>
              <w:t>L</w:t>
            </w:r>
            <w:r w:rsidRPr="00D44604">
              <w:rPr>
                <w:rFonts w:cs="Arial"/>
                <w:sz w:val="14"/>
                <w:szCs w:val="14"/>
              </w:rPr>
              <w:t>ine of business</w:t>
            </w:r>
          </w:p>
        </w:tc>
        <w:tc>
          <w:tcPr>
            <w:tcW w:w="7370" w:type="dxa"/>
            <w:gridSpan w:val="7"/>
            <w:tcBorders>
              <w:top w:val="single" w:sz="2" w:space="0" w:color="1F4E79" w:themeColor="accent1" w:themeShade="80"/>
              <w:left w:val="nil"/>
              <w:bottom w:val="single" w:sz="2" w:space="0" w:color="1F4E79" w:themeColor="accent1" w:themeShade="80"/>
              <w:right w:val="nil"/>
            </w:tcBorders>
            <w:shd w:val="clear" w:color="auto" w:fill="auto"/>
            <w:vAlign w:val="center"/>
          </w:tcPr>
          <w:p w14:paraId="4D2493E5" w14:textId="77777777" w:rsidR="005357C6" w:rsidRPr="00D44604" w:rsidRDefault="005357C6" w:rsidP="00D44604">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r w:rsidRPr="00D44604">
              <w:rPr>
                <w:rFonts w:cs="Arial"/>
                <w:b/>
                <w:sz w:val="14"/>
                <w:szCs w:val="14"/>
                <w:lang w:val="en-US"/>
              </w:rPr>
              <w:t>Insurance – Life, Mortgage Life, Rural and Propety</w:t>
            </w:r>
          </w:p>
        </w:tc>
      </w:tr>
      <w:tr w:rsidR="005357C6" w:rsidRPr="00D44604" w14:paraId="4263346C" w14:textId="77777777" w:rsidTr="0012610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2" w:space="0" w:color="1F4E79" w:themeColor="accent1" w:themeShade="80"/>
              <w:left w:val="nil"/>
              <w:bottom w:val="nil"/>
              <w:right w:val="nil"/>
            </w:tcBorders>
            <w:shd w:val="clear" w:color="auto" w:fill="auto"/>
            <w:vAlign w:val="center"/>
          </w:tcPr>
          <w:p w14:paraId="3CD9572C" w14:textId="77777777" w:rsidR="005357C6" w:rsidRPr="00D44604" w:rsidRDefault="005357C6" w:rsidP="00D44604">
            <w:pPr>
              <w:jc w:val="center"/>
              <w:rPr>
                <w:rFonts w:cs="Arial"/>
                <w:sz w:val="14"/>
                <w:szCs w:val="14"/>
                <w:lang w:val="en-US"/>
              </w:rPr>
            </w:pPr>
          </w:p>
        </w:tc>
        <w:tc>
          <w:tcPr>
            <w:tcW w:w="3402" w:type="dxa"/>
            <w:gridSpan w:val="3"/>
            <w:tcBorders>
              <w:top w:val="single" w:sz="2" w:space="0" w:color="1F4E79" w:themeColor="accent1" w:themeShade="80"/>
              <w:left w:val="nil"/>
              <w:bottom w:val="single" w:sz="2" w:space="0" w:color="1F4E79" w:themeColor="accent1" w:themeShade="80"/>
              <w:right w:val="nil"/>
            </w:tcBorders>
            <w:shd w:val="clear" w:color="auto" w:fill="auto"/>
            <w:vAlign w:val="center"/>
          </w:tcPr>
          <w:p w14:paraId="78F1FB5D" w14:textId="77777777" w:rsidR="005357C6" w:rsidRPr="00D44604" w:rsidRDefault="005357C6" w:rsidP="002178E9">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Pr>
                <w:rFonts w:cs="Arial"/>
                <w:b/>
                <w:sz w:val="14"/>
                <w:szCs w:val="14"/>
              </w:rPr>
              <w:t>Dec</w:t>
            </w:r>
            <w:r w:rsidRPr="00D44604">
              <w:rPr>
                <w:rFonts w:cs="Arial"/>
                <w:b/>
                <w:sz w:val="14"/>
                <w:szCs w:val="14"/>
              </w:rPr>
              <w:t xml:space="preserve"> </w:t>
            </w:r>
            <w:r>
              <w:rPr>
                <w:rFonts w:cs="Arial"/>
                <w:b/>
                <w:sz w:val="14"/>
                <w:szCs w:val="14"/>
              </w:rPr>
              <w:t>31</w:t>
            </w:r>
            <w:r w:rsidRPr="00D44604">
              <w:rPr>
                <w:rFonts w:cs="Arial"/>
                <w:b/>
                <w:sz w:val="14"/>
                <w:szCs w:val="14"/>
              </w:rPr>
              <w:t>,</w:t>
            </w:r>
            <w:r>
              <w:rPr>
                <w:rFonts w:cs="Arial"/>
                <w:b/>
                <w:sz w:val="14"/>
                <w:szCs w:val="14"/>
              </w:rPr>
              <w:t xml:space="preserve"> </w:t>
            </w:r>
            <w:r w:rsidRPr="00D44604">
              <w:rPr>
                <w:rFonts w:cs="Arial"/>
                <w:b/>
                <w:sz w:val="14"/>
                <w:szCs w:val="14"/>
              </w:rPr>
              <w:t>202</w:t>
            </w:r>
            <w:r>
              <w:rPr>
                <w:rFonts w:cs="Arial"/>
                <w:b/>
                <w:sz w:val="14"/>
                <w:szCs w:val="14"/>
              </w:rPr>
              <w:t>2</w:t>
            </w:r>
          </w:p>
        </w:tc>
        <w:tc>
          <w:tcPr>
            <w:tcW w:w="284" w:type="dxa"/>
            <w:tcBorders>
              <w:top w:val="single" w:sz="2" w:space="0" w:color="1F4E79" w:themeColor="accent1" w:themeShade="80"/>
              <w:left w:val="nil"/>
              <w:bottom w:val="nil"/>
              <w:right w:val="nil"/>
            </w:tcBorders>
            <w:shd w:val="clear" w:color="auto" w:fill="auto"/>
          </w:tcPr>
          <w:p w14:paraId="76450A74" w14:textId="77777777" w:rsidR="005357C6" w:rsidRPr="00D44604" w:rsidRDefault="005357C6" w:rsidP="00D44604">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3684" w:type="dxa"/>
            <w:gridSpan w:val="3"/>
            <w:tcBorders>
              <w:top w:val="single" w:sz="2" w:space="0" w:color="1F4E79" w:themeColor="accent1" w:themeShade="80"/>
              <w:left w:val="nil"/>
              <w:bottom w:val="single" w:sz="2" w:space="0" w:color="1F4E79" w:themeColor="accent1" w:themeShade="80"/>
              <w:right w:val="nil"/>
            </w:tcBorders>
            <w:shd w:val="clear" w:color="auto" w:fill="auto"/>
            <w:vAlign w:val="center"/>
          </w:tcPr>
          <w:p w14:paraId="51AF0517" w14:textId="77777777" w:rsidR="005357C6" w:rsidRPr="00D44604" w:rsidRDefault="005357C6" w:rsidP="00BE6A12">
            <w:pPr>
              <w:jc w:val="center"/>
              <w:cnfStyle w:val="000000010000" w:firstRow="0" w:lastRow="0" w:firstColumn="0" w:lastColumn="0" w:oddVBand="0" w:evenVBand="0" w:oddHBand="0" w:evenHBand="1" w:firstRowFirstColumn="0" w:firstRowLastColumn="0" w:lastRowFirstColumn="0" w:lastRowLastColumn="0"/>
              <w:rPr>
                <w:rFonts w:cs="Arial"/>
                <w:sz w:val="14"/>
                <w:szCs w:val="14"/>
              </w:rPr>
            </w:pPr>
            <w:r w:rsidRPr="00D44604">
              <w:rPr>
                <w:rFonts w:cs="Arial"/>
                <w:b/>
                <w:sz w:val="14"/>
                <w:szCs w:val="14"/>
              </w:rPr>
              <w:t xml:space="preserve">Dec </w:t>
            </w:r>
            <w:r>
              <w:rPr>
                <w:rFonts w:cs="Arial"/>
                <w:b/>
                <w:sz w:val="14"/>
                <w:szCs w:val="14"/>
              </w:rPr>
              <w:t>31</w:t>
            </w:r>
            <w:r w:rsidRPr="00D44604">
              <w:rPr>
                <w:rFonts w:cs="Arial"/>
                <w:b/>
                <w:sz w:val="14"/>
                <w:szCs w:val="14"/>
              </w:rPr>
              <w:t>,202</w:t>
            </w:r>
            <w:r>
              <w:rPr>
                <w:rFonts w:cs="Arial"/>
                <w:b/>
                <w:sz w:val="14"/>
                <w:szCs w:val="14"/>
              </w:rPr>
              <w:t>1</w:t>
            </w:r>
          </w:p>
        </w:tc>
      </w:tr>
      <w:tr w:rsidR="005357C6" w:rsidRPr="00D44604" w14:paraId="70C4BBE5" w14:textId="77777777" w:rsidTr="0012610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single" w:sz="2" w:space="0" w:color="1F4E79" w:themeColor="accent1" w:themeShade="80"/>
              <w:right w:val="nil"/>
            </w:tcBorders>
            <w:shd w:val="clear" w:color="auto" w:fill="auto"/>
            <w:vAlign w:val="center"/>
          </w:tcPr>
          <w:p w14:paraId="72DEF0BE" w14:textId="77777777" w:rsidR="005357C6" w:rsidRPr="00D44604" w:rsidRDefault="005357C6" w:rsidP="00D44604">
            <w:pPr>
              <w:jc w:val="center"/>
              <w:rPr>
                <w:rFonts w:cs="Arial"/>
                <w:sz w:val="14"/>
                <w:szCs w:val="14"/>
              </w:rPr>
            </w:pPr>
          </w:p>
        </w:tc>
        <w:tc>
          <w:tcPr>
            <w:tcW w:w="113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DC69D3C" w14:textId="77777777" w:rsidR="005357C6" w:rsidRPr="00D44604" w:rsidRDefault="005357C6" w:rsidP="00D44604">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44604">
              <w:rPr>
                <w:rFonts w:cs="Arial"/>
                <w:b/>
                <w:sz w:val="14"/>
                <w:szCs w:val="14"/>
              </w:rPr>
              <w:t>Aliança do Brasil</w:t>
            </w:r>
          </w:p>
        </w:tc>
        <w:tc>
          <w:tcPr>
            <w:tcW w:w="113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78AFC82" w14:textId="77777777" w:rsidR="005357C6" w:rsidRPr="00D44604" w:rsidRDefault="005357C6" w:rsidP="00D44604">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44604">
              <w:rPr>
                <w:rFonts w:cs="Arial"/>
                <w:b/>
                <w:sz w:val="14"/>
                <w:szCs w:val="14"/>
              </w:rPr>
              <w:t xml:space="preserve">Brasilseg </w:t>
            </w:r>
          </w:p>
        </w:tc>
        <w:tc>
          <w:tcPr>
            <w:tcW w:w="113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A05EEDB" w14:textId="77777777" w:rsidR="005357C6" w:rsidRPr="00D44604" w:rsidRDefault="005357C6" w:rsidP="00D44604">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44604">
              <w:rPr>
                <w:rFonts w:cs="Arial"/>
                <w:b/>
                <w:sz w:val="14"/>
                <w:szCs w:val="14"/>
              </w:rPr>
              <w:t xml:space="preserve">BB </w:t>
            </w:r>
            <w:r>
              <w:rPr>
                <w:rFonts w:cs="Arial"/>
                <w:b/>
                <w:sz w:val="14"/>
                <w:szCs w:val="14"/>
              </w:rPr>
              <w:t>MAPFRE (Holding)</w:t>
            </w:r>
          </w:p>
        </w:tc>
        <w:tc>
          <w:tcPr>
            <w:tcW w:w="284" w:type="dxa"/>
            <w:tcBorders>
              <w:top w:val="nil"/>
              <w:left w:val="nil"/>
              <w:bottom w:val="single" w:sz="2" w:space="0" w:color="1F4E79" w:themeColor="accent1" w:themeShade="80"/>
              <w:right w:val="nil"/>
            </w:tcBorders>
            <w:shd w:val="clear" w:color="auto" w:fill="auto"/>
          </w:tcPr>
          <w:p w14:paraId="40A90320" w14:textId="77777777" w:rsidR="005357C6" w:rsidRPr="00D44604" w:rsidRDefault="005357C6" w:rsidP="00D44604">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12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EE9CBFA" w14:textId="77777777" w:rsidR="005357C6" w:rsidRPr="00D44604" w:rsidRDefault="005357C6" w:rsidP="00D44604">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44604">
              <w:rPr>
                <w:rFonts w:cs="Arial"/>
                <w:b/>
                <w:sz w:val="14"/>
                <w:szCs w:val="14"/>
              </w:rPr>
              <w:t>Aliança do Brasil</w:t>
            </w:r>
          </w:p>
        </w:tc>
        <w:tc>
          <w:tcPr>
            <w:tcW w:w="12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A42F821" w14:textId="77777777" w:rsidR="005357C6" w:rsidRPr="00D44604" w:rsidRDefault="005357C6" w:rsidP="00D44604">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44604">
              <w:rPr>
                <w:rFonts w:cs="Arial"/>
                <w:b/>
                <w:sz w:val="14"/>
                <w:szCs w:val="14"/>
              </w:rPr>
              <w:t xml:space="preserve">Brasilseg </w:t>
            </w:r>
          </w:p>
        </w:tc>
        <w:tc>
          <w:tcPr>
            <w:tcW w:w="12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63600AC" w14:textId="77777777" w:rsidR="005357C6" w:rsidRPr="00D44604" w:rsidRDefault="005357C6" w:rsidP="00D44604">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D44604">
              <w:rPr>
                <w:rFonts w:cs="Arial"/>
                <w:b/>
                <w:sz w:val="14"/>
                <w:szCs w:val="14"/>
              </w:rPr>
              <w:t xml:space="preserve">BB </w:t>
            </w:r>
            <w:r>
              <w:rPr>
                <w:rFonts w:cs="Arial"/>
                <w:b/>
                <w:sz w:val="14"/>
                <w:szCs w:val="14"/>
              </w:rPr>
              <w:t>MAPFRE (Holding)</w:t>
            </w:r>
          </w:p>
        </w:tc>
      </w:tr>
      <w:tr w:rsidR="005357C6" w:rsidRPr="008F33B1" w14:paraId="42D9055F" w14:textId="77777777" w:rsidTr="0012610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2" w:space="0" w:color="1F4E79" w:themeColor="accent1" w:themeShade="80"/>
              <w:left w:val="nil"/>
              <w:bottom w:val="nil"/>
              <w:right w:val="nil"/>
            </w:tcBorders>
            <w:shd w:val="clear" w:color="auto" w:fill="auto"/>
            <w:vAlign w:val="center"/>
            <w:hideMark/>
          </w:tcPr>
          <w:p w14:paraId="4669323B" w14:textId="77777777" w:rsidR="005357C6" w:rsidRPr="008F33B1" w:rsidRDefault="005357C6" w:rsidP="00475564">
            <w:pPr>
              <w:keepNext/>
              <w:keepLines/>
              <w:rPr>
                <w:rFonts w:eastAsia="Times New Roman" w:cs="Arial"/>
                <w:spacing w:val="-2"/>
                <w:sz w:val="14"/>
                <w:szCs w:val="14"/>
              </w:rPr>
            </w:pPr>
            <w:r w:rsidRPr="008F33B1">
              <w:rPr>
                <w:rFonts w:cs="Arial"/>
                <w:sz w:val="14"/>
                <w:szCs w:val="14"/>
              </w:rPr>
              <w:t>Current assets</w:t>
            </w:r>
          </w:p>
        </w:tc>
        <w:tc>
          <w:tcPr>
            <w:tcW w:w="1134" w:type="dxa"/>
            <w:tcBorders>
              <w:top w:val="single" w:sz="2" w:space="0" w:color="1F4E79" w:themeColor="accent1" w:themeShade="80"/>
              <w:left w:val="nil"/>
              <w:bottom w:val="nil"/>
              <w:right w:val="nil"/>
            </w:tcBorders>
            <w:shd w:val="clear" w:color="auto" w:fill="auto"/>
            <w:vAlign w:val="center"/>
          </w:tcPr>
          <w:p w14:paraId="4CB8ECF5"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rPr>
            </w:pPr>
            <w:r w:rsidRPr="003E0F6E">
              <w:rPr>
                <w:rFonts w:cs="Arial"/>
                <w:b/>
                <w:bCs/>
                <w:sz w:val="14"/>
                <w:szCs w:val="14"/>
              </w:rPr>
              <w:t xml:space="preserve">  1</w:t>
            </w:r>
            <w:r>
              <w:rPr>
                <w:rFonts w:cs="Arial"/>
                <w:b/>
                <w:bCs/>
                <w:sz w:val="14"/>
                <w:szCs w:val="14"/>
              </w:rPr>
              <w:t>,</w:t>
            </w:r>
            <w:r w:rsidRPr="003E0F6E">
              <w:rPr>
                <w:rFonts w:cs="Arial"/>
                <w:b/>
                <w:bCs/>
                <w:sz w:val="14"/>
                <w:szCs w:val="14"/>
              </w:rPr>
              <w:t>057</w:t>
            </w:r>
            <w:r>
              <w:rPr>
                <w:rFonts w:cs="Arial"/>
                <w:b/>
                <w:bCs/>
                <w:sz w:val="14"/>
                <w:szCs w:val="14"/>
              </w:rPr>
              <w:t>,</w:t>
            </w:r>
            <w:r w:rsidRPr="003E0F6E">
              <w:rPr>
                <w:rFonts w:cs="Arial"/>
                <w:b/>
                <w:bCs/>
                <w:sz w:val="14"/>
                <w:szCs w:val="14"/>
              </w:rPr>
              <w:t xml:space="preserve">404 </w:t>
            </w:r>
          </w:p>
        </w:tc>
        <w:tc>
          <w:tcPr>
            <w:tcW w:w="1134" w:type="dxa"/>
            <w:tcBorders>
              <w:top w:val="single" w:sz="2" w:space="0" w:color="1F4E79" w:themeColor="accent1" w:themeShade="80"/>
              <w:left w:val="nil"/>
              <w:bottom w:val="nil"/>
              <w:right w:val="nil"/>
            </w:tcBorders>
            <w:shd w:val="clear" w:color="auto" w:fill="auto"/>
            <w:vAlign w:val="center"/>
          </w:tcPr>
          <w:p w14:paraId="6D673F94"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13</w:t>
            </w:r>
            <w:r>
              <w:rPr>
                <w:rFonts w:cs="Arial"/>
                <w:b/>
                <w:bCs/>
                <w:sz w:val="14"/>
                <w:szCs w:val="14"/>
              </w:rPr>
              <w:t>,</w:t>
            </w:r>
            <w:r w:rsidRPr="003E0F6E">
              <w:rPr>
                <w:rFonts w:cs="Arial"/>
                <w:b/>
                <w:bCs/>
                <w:sz w:val="14"/>
                <w:szCs w:val="14"/>
              </w:rPr>
              <w:t>484</w:t>
            </w:r>
            <w:r>
              <w:rPr>
                <w:rFonts w:cs="Arial"/>
                <w:b/>
                <w:bCs/>
                <w:sz w:val="14"/>
                <w:szCs w:val="14"/>
              </w:rPr>
              <w:t>,</w:t>
            </w:r>
            <w:r w:rsidRPr="003E0F6E">
              <w:rPr>
                <w:rFonts w:cs="Arial"/>
                <w:b/>
                <w:bCs/>
                <w:sz w:val="14"/>
                <w:szCs w:val="14"/>
              </w:rPr>
              <w:t xml:space="preserve">391 </w:t>
            </w:r>
          </w:p>
        </w:tc>
        <w:tc>
          <w:tcPr>
            <w:tcW w:w="1134" w:type="dxa"/>
            <w:tcBorders>
              <w:top w:val="single" w:sz="2" w:space="0" w:color="1F4E79" w:themeColor="accent1" w:themeShade="80"/>
              <w:left w:val="nil"/>
              <w:bottom w:val="nil"/>
              <w:right w:val="nil"/>
            </w:tcBorders>
            <w:shd w:val="clear" w:color="auto" w:fill="auto"/>
            <w:vAlign w:val="center"/>
          </w:tcPr>
          <w:p w14:paraId="2CFF0308"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23</w:t>
            </w:r>
            <w:r>
              <w:rPr>
                <w:rFonts w:cs="Arial"/>
                <w:b/>
                <w:bCs/>
                <w:sz w:val="14"/>
                <w:szCs w:val="14"/>
              </w:rPr>
              <w:t>,</w:t>
            </w:r>
            <w:r w:rsidRPr="003E0F6E">
              <w:rPr>
                <w:rFonts w:cs="Arial"/>
                <w:b/>
                <w:bCs/>
                <w:sz w:val="14"/>
                <w:szCs w:val="14"/>
              </w:rPr>
              <w:t xml:space="preserve">362 </w:t>
            </w:r>
          </w:p>
        </w:tc>
        <w:tc>
          <w:tcPr>
            <w:tcW w:w="284" w:type="dxa"/>
            <w:tcBorders>
              <w:top w:val="single" w:sz="2" w:space="0" w:color="1F4E79" w:themeColor="accent1" w:themeShade="80"/>
              <w:left w:val="nil"/>
              <w:bottom w:val="nil"/>
              <w:right w:val="nil"/>
            </w:tcBorders>
            <w:shd w:val="clear" w:color="auto" w:fill="auto"/>
            <w:vAlign w:val="center"/>
          </w:tcPr>
          <w:p w14:paraId="4E2423E5"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228" w:type="dxa"/>
            <w:tcBorders>
              <w:top w:val="single" w:sz="2" w:space="0" w:color="1F4E79" w:themeColor="accent1" w:themeShade="80"/>
              <w:left w:val="nil"/>
              <w:bottom w:val="nil"/>
              <w:right w:val="nil"/>
            </w:tcBorders>
            <w:shd w:val="clear" w:color="auto" w:fill="auto"/>
            <w:vAlign w:val="center"/>
          </w:tcPr>
          <w:p w14:paraId="5B81E7CC"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F33B1">
              <w:rPr>
                <w:rFonts w:cs="Arial"/>
                <w:b/>
                <w:bCs/>
                <w:sz w:val="14"/>
                <w:szCs w:val="14"/>
              </w:rPr>
              <w:t>833,966</w:t>
            </w:r>
          </w:p>
        </w:tc>
        <w:tc>
          <w:tcPr>
            <w:tcW w:w="1228" w:type="dxa"/>
            <w:tcBorders>
              <w:top w:val="single" w:sz="2" w:space="0" w:color="1F4E79" w:themeColor="accent1" w:themeShade="80"/>
              <w:left w:val="nil"/>
              <w:bottom w:val="nil"/>
              <w:right w:val="nil"/>
            </w:tcBorders>
            <w:shd w:val="clear" w:color="auto" w:fill="auto"/>
            <w:vAlign w:val="center"/>
          </w:tcPr>
          <w:p w14:paraId="21A6749F"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F33B1">
              <w:rPr>
                <w:rFonts w:cs="Arial"/>
                <w:b/>
                <w:bCs/>
                <w:sz w:val="14"/>
                <w:szCs w:val="14"/>
              </w:rPr>
              <w:t>10,835,734</w:t>
            </w:r>
          </w:p>
        </w:tc>
        <w:tc>
          <w:tcPr>
            <w:tcW w:w="1228" w:type="dxa"/>
            <w:tcBorders>
              <w:top w:val="single" w:sz="2" w:space="0" w:color="1F4E79" w:themeColor="accent1" w:themeShade="80"/>
              <w:left w:val="nil"/>
              <w:bottom w:val="nil"/>
              <w:right w:val="nil"/>
            </w:tcBorders>
            <w:shd w:val="clear" w:color="auto" w:fill="auto"/>
            <w:vAlign w:val="center"/>
          </w:tcPr>
          <w:p w14:paraId="09D4C6BD"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F33B1">
              <w:rPr>
                <w:rFonts w:cs="Arial"/>
                <w:b/>
                <w:bCs/>
                <w:sz w:val="14"/>
                <w:szCs w:val="14"/>
              </w:rPr>
              <w:t>190,475</w:t>
            </w:r>
          </w:p>
        </w:tc>
      </w:tr>
      <w:tr w:rsidR="005357C6" w:rsidRPr="00D44604" w14:paraId="43DDDE7B" w14:textId="77777777" w:rsidTr="00FE639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1AAFD6A5" w14:textId="77777777" w:rsidR="005357C6" w:rsidRPr="00D44604" w:rsidRDefault="005357C6" w:rsidP="00475564">
            <w:pPr>
              <w:keepNext/>
              <w:keepLines/>
              <w:ind w:left="113"/>
              <w:rPr>
                <w:rFonts w:eastAsia="Times New Roman" w:cs="Arial"/>
                <w:b w:val="0"/>
                <w:spacing w:val="-2"/>
                <w:sz w:val="14"/>
                <w:szCs w:val="14"/>
              </w:rPr>
            </w:pPr>
            <w:r w:rsidRPr="00D44604">
              <w:rPr>
                <w:rFonts w:cs="Arial"/>
                <w:b w:val="0"/>
                <w:sz w:val="14"/>
                <w:szCs w:val="14"/>
              </w:rPr>
              <w:t>Cash and cash equivalents</w:t>
            </w:r>
          </w:p>
        </w:tc>
        <w:tc>
          <w:tcPr>
            <w:tcW w:w="1134" w:type="dxa"/>
            <w:tcBorders>
              <w:top w:val="nil"/>
              <w:left w:val="nil"/>
              <w:bottom w:val="nil"/>
              <w:right w:val="nil"/>
            </w:tcBorders>
            <w:shd w:val="clear" w:color="auto" w:fill="auto"/>
            <w:vAlign w:val="center"/>
          </w:tcPr>
          <w:p w14:paraId="66CA3634"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5</w:t>
            </w:r>
            <w:r>
              <w:rPr>
                <w:rFonts w:cs="Arial"/>
                <w:sz w:val="14"/>
                <w:szCs w:val="14"/>
              </w:rPr>
              <w:t>,</w:t>
            </w:r>
            <w:r w:rsidRPr="003E0F6E">
              <w:rPr>
                <w:rFonts w:cs="Arial"/>
                <w:sz w:val="14"/>
                <w:szCs w:val="14"/>
              </w:rPr>
              <w:t xml:space="preserve">997 </w:t>
            </w:r>
          </w:p>
        </w:tc>
        <w:tc>
          <w:tcPr>
            <w:tcW w:w="1134" w:type="dxa"/>
            <w:tcBorders>
              <w:top w:val="nil"/>
              <w:left w:val="nil"/>
              <w:bottom w:val="nil"/>
              <w:right w:val="nil"/>
            </w:tcBorders>
            <w:shd w:val="clear" w:color="auto" w:fill="auto"/>
            <w:vAlign w:val="center"/>
          </w:tcPr>
          <w:p w14:paraId="768E66EB"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5</w:t>
            </w:r>
            <w:r>
              <w:rPr>
                <w:rFonts w:cs="Arial"/>
                <w:sz w:val="14"/>
                <w:szCs w:val="14"/>
              </w:rPr>
              <w:t>,</w:t>
            </w:r>
            <w:r w:rsidRPr="003E0F6E">
              <w:rPr>
                <w:rFonts w:cs="Arial"/>
                <w:sz w:val="14"/>
                <w:szCs w:val="14"/>
              </w:rPr>
              <w:t xml:space="preserve">220 </w:t>
            </w:r>
          </w:p>
        </w:tc>
        <w:tc>
          <w:tcPr>
            <w:tcW w:w="1134" w:type="dxa"/>
            <w:tcBorders>
              <w:top w:val="nil"/>
              <w:left w:val="nil"/>
              <w:bottom w:val="nil"/>
              <w:right w:val="nil"/>
            </w:tcBorders>
            <w:shd w:val="clear" w:color="auto" w:fill="auto"/>
            <w:vAlign w:val="center"/>
          </w:tcPr>
          <w:p w14:paraId="500F3324"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7229C9F6"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4835D30F"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1,000</w:t>
            </w:r>
          </w:p>
        </w:tc>
        <w:tc>
          <w:tcPr>
            <w:tcW w:w="1228" w:type="dxa"/>
            <w:tcBorders>
              <w:top w:val="nil"/>
              <w:left w:val="nil"/>
              <w:bottom w:val="nil"/>
              <w:right w:val="nil"/>
            </w:tcBorders>
            <w:shd w:val="clear" w:color="auto" w:fill="auto"/>
            <w:vAlign w:val="center"/>
          </w:tcPr>
          <w:p w14:paraId="53EEC77B"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1,975</w:t>
            </w:r>
          </w:p>
        </w:tc>
        <w:tc>
          <w:tcPr>
            <w:tcW w:w="1228" w:type="dxa"/>
            <w:tcBorders>
              <w:top w:val="nil"/>
              <w:left w:val="nil"/>
              <w:bottom w:val="nil"/>
              <w:right w:val="nil"/>
            </w:tcBorders>
            <w:shd w:val="clear" w:color="auto" w:fill="auto"/>
            <w:vAlign w:val="center"/>
          </w:tcPr>
          <w:p w14:paraId="0A679C25"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w:t>
            </w:r>
          </w:p>
        </w:tc>
      </w:tr>
      <w:tr w:rsidR="005357C6" w:rsidRPr="00D44604" w14:paraId="6FC7FA80" w14:textId="77777777" w:rsidTr="00FE639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31ACE083" w14:textId="77777777" w:rsidR="005357C6" w:rsidRPr="00D44604" w:rsidRDefault="005357C6" w:rsidP="00475564">
            <w:pPr>
              <w:keepNext/>
              <w:keepLines/>
              <w:ind w:left="113"/>
              <w:rPr>
                <w:rFonts w:eastAsia="Times New Roman" w:cs="Arial"/>
                <w:b w:val="0"/>
                <w:spacing w:val="-2"/>
                <w:sz w:val="14"/>
                <w:szCs w:val="14"/>
              </w:rPr>
            </w:pPr>
            <w:r w:rsidRPr="00D44604">
              <w:rPr>
                <w:rFonts w:cs="Arial"/>
                <w:b w:val="0"/>
                <w:sz w:val="14"/>
                <w:szCs w:val="14"/>
              </w:rPr>
              <w:t>Financial investments</w:t>
            </w:r>
          </w:p>
        </w:tc>
        <w:tc>
          <w:tcPr>
            <w:tcW w:w="1134" w:type="dxa"/>
            <w:tcBorders>
              <w:top w:val="nil"/>
              <w:left w:val="nil"/>
              <w:bottom w:val="nil"/>
              <w:right w:val="nil"/>
            </w:tcBorders>
            <w:shd w:val="clear" w:color="auto" w:fill="auto"/>
            <w:vAlign w:val="center"/>
          </w:tcPr>
          <w:p w14:paraId="502DD489"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3E0F6E">
              <w:rPr>
                <w:rFonts w:cs="Arial"/>
                <w:sz w:val="14"/>
                <w:szCs w:val="14"/>
              </w:rPr>
              <w:t xml:space="preserve">  448</w:t>
            </w:r>
            <w:r>
              <w:rPr>
                <w:rFonts w:cs="Arial"/>
                <w:sz w:val="14"/>
                <w:szCs w:val="14"/>
              </w:rPr>
              <w:t>,</w:t>
            </w:r>
            <w:r w:rsidRPr="003E0F6E">
              <w:rPr>
                <w:rFonts w:cs="Arial"/>
                <w:sz w:val="14"/>
                <w:szCs w:val="14"/>
              </w:rPr>
              <w:t xml:space="preserve">538 </w:t>
            </w:r>
          </w:p>
        </w:tc>
        <w:tc>
          <w:tcPr>
            <w:tcW w:w="1134" w:type="dxa"/>
            <w:tcBorders>
              <w:top w:val="nil"/>
              <w:left w:val="nil"/>
              <w:bottom w:val="nil"/>
              <w:right w:val="nil"/>
            </w:tcBorders>
            <w:shd w:val="clear" w:color="auto" w:fill="auto"/>
            <w:vAlign w:val="center"/>
          </w:tcPr>
          <w:p w14:paraId="093F6889"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7</w:t>
            </w:r>
            <w:r>
              <w:rPr>
                <w:rFonts w:cs="Arial"/>
                <w:sz w:val="14"/>
                <w:szCs w:val="14"/>
              </w:rPr>
              <w:t>,</w:t>
            </w:r>
            <w:r w:rsidRPr="003E0F6E">
              <w:rPr>
                <w:rFonts w:cs="Arial"/>
                <w:sz w:val="14"/>
                <w:szCs w:val="14"/>
              </w:rPr>
              <w:t>047</w:t>
            </w:r>
            <w:r>
              <w:rPr>
                <w:rFonts w:cs="Arial"/>
                <w:sz w:val="14"/>
                <w:szCs w:val="14"/>
              </w:rPr>
              <w:t>,</w:t>
            </w:r>
            <w:r w:rsidRPr="003E0F6E">
              <w:rPr>
                <w:rFonts w:cs="Arial"/>
                <w:sz w:val="14"/>
                <w:szCs w:val="14"/>
              </w:rPr>
              <w:t xml:space="preserve">688 </w:t>
            </w:r>
          </w:p>
        </w:tc>
        <w:tc>
          <w:tcPr>
            <w:tcW w:w="1134" w:type="dxa"/>
            <w:tcBorders>
              <w:top w:val="nil"/>
              <w:left w:val="nil"/>
              <w:bottom w:val="nil"/>
              <w:right w:val="nil"/>
            </w:tcBorders>
            <w:shd w:val="clear" w:color="auto" w:fill="auto"/>
            <w:vAlign w:val="center"/>
          </w:tcPr>
          <w:p w14:paraId="6099FE4C"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9</w:t>
            </w:r>
            <w:r>
              <w:rPr>
                <w:rFonts w:cs="Arial"/>
                <w:sz w:val="14"/>
                <w:szCs w:val="14"/>
              </w:rPr>
              <w:t>,</w:t>
            </w:r>
            <w:r w:rsidRPr="003E0F6E">
              <w:rPr>
                <w:rFonts w:cs="Arial"/>
                <w:sz w:val="14"/>
                <w:szCs w:val="14"/>
              </w:rPr>
              <w:t xml:space="preserve">487 </w:t>
            </w:r>
          </w:p>
        </w:tc>
        <w:tc>
          <w:tcPr>
            <w:tcW w:w="284" w:type="dxa"/>
            <w:tcBorders>
              <w:top w:val="nil"/>
              <w:left w:val="nil"/>
              <w:bottom w:val="nil"/>
              <w:right w:val="nil"/>
            </w:tcBorders>
            <w:shd w:val="clear" w:color="auto" w:fill="auto"/>
            <w:vAlign w:val="center"/>
          </w:tcPr>
          <w:p w14:paraId="0EBDA219"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1C004F8F"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352,736</w:t>
            </w:r>
          </w:p>
        </w:tc>
        <w:tc>
          <w:tcPr>
            <w:tcW w:w="1228" w:type="dxa"/>
            <w:tcBorders>
              <w:top w:val="nil"/>
              <w:left w:val="nil"/>
              <w:bottom w:val="nil"/>
              <w:right w:val="nil"/>
            </w:tcBorders>
            <w:shd w:val="clear" w:color="auto" w:fill="auto"/>
            <w:vAlign w:val="center"/>
          </w:tcPr>
          <w:p w14:paraId="52F8D672"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5,740,818</w:t>
            </w:r>
          </w:p>
        </w:tc>
        <w:tc>
          <w:tcPr>
            <w:tcW w:w="1228" w:type="dxa"/>
            <w:tcBorders>
              <w:top w:val="nil"/>
              <w:left w:val="nil"/>
              <w:bottom w:val="nil"/>
              <w:right w:val="nil"/>
            </w:tcBorders>
            <w:shd w:val="clear" w:color="auto" w:fill="auto"/>
            <w:vAlign w:val="center"/>
          </w:tcPr>
          <w:p w14:paraId="2F47C7C7"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3,267</w:t>
            </w:r>
          </w:p>
        </w:tc>
      </w:tr>
      <w:tr w:rsidR="005357C6" w:rsidRPr="00D44604" w14:paraId="2026CE99" w14:textId="77777777" w:rsidTr="00FE639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65E1FF34" w14:textId="77777777" w:rsidR="005357C6" w:rsidRPr="00D44604" w:rsidRDefault="005357C6" w:rsidP="00475564">
            <w:pPr>
              <w:keepNext/>
              <w:keepLines/>
              <w:ind w:left="113"/>
              <w:rPr>
                <w:rFonts w:eastAsia="Times New Roman" w:cs="Arial"/>
                <w:b w:val="0"/>
                <w:spacing w:val="-2"/>
                <w:sz w:val="14"/>
                <w:szCs w:val="14"/>
              </w:rPr>
            </w:pPr>
            <w:r w:rsidRPr="00D44604">
              <w:rPr>
                <w:rFonts w:cs="Arial"/>
                <w:b w:val="0"/>
                <w:sz w:val="14"/>
                <w:szCs w:val="14"/>
              </w:rPr>
              <w:t>Other current assets</w:t>
            </w:r>
          </w:p>
        </w:tc>
        <w:tc>
          <w:tcPr>
            <w:tcW w:w="1134" w:type="dxa"/>
            <w:tcBorders>
              <w:top w:val="nil"/>
              <w:left w:val="nil"/>
              <w:bottom w:val="nil"/>
              <w:right w:val="nil"/>
            </w:tcBorders>
            <w:shd w:val="clear" w:color="auto" w:fill="auto"/>
            <w:vAlign w:val="center"/>
          </w:tcPr>
          <w:p w14:paraId="2A084DBA"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602</w:t>
            </w:r>
            <w:r>
              <w:rPr>
                <w:rFonts w:cs="Arial"/>
                <w:sz w:val="14"/>
                <w:szCs w:val="14"/>
              </w:rPr>
              <w:t>,</w:t>
            </w:r>
            <w:r w:rsidRPr="003E0F6E">
              <w:rPr>
                <w:rFonts w:cs="Arial"/>
                <w:sz w:val="14"/>
                <w:szCs w:val="14"/>
              </w:rPr>
              <w:t xml:space="preserve">869 </w:t>
            </w:r>
          </w:p>
        </w:tc>
        <w:tc>
          <w:tcPr>
            <w:tcW w:w="1134" w:type="dxa"/>
            <w:tcBorders>
              <w:top w:val="nil"/>
              <w:left w:val="nil"/>
              <w:bottom w:val="nil"/>
              <w:right w:val="nil"/>
            </w:tcBorders>
            <w:shd w:val="clear" w:color="auto" w:fill="auto"/>
            <w:vAlign w:val="center"/>
          </w:tcPr>
          <w:p w14:paraId="1B9A9843"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6</w:t>
            </w:r>
            <w:r>
              <w:rPr>
                <w:rFonts w:cs="Arial"/>
                <w:sz w:val="14"/>
                <w:szCs w:val="14"/>
              </w:rPr>
              <w:t>,</w:t>
            </w:r>
            <w:r w:rsidRPr="003E0F6E">
              <w:rPr>
                <w:rFonts w:cs="Arial"/>
                <w:sz w:val="14"/>
                <w:szCs w:val="14"/>
              </w:rPr>
              <w:t>431</w:t>
            </w:r>
            <w:r>
              <w:rPr>
                <w:rFonts w:cs="Arial"/>
                <w:sz w:val="14"/>
                <w:szCs w:val="14"/>
              </w:rPr>
              <w:t>,</w:t>
            </w:r>
            <w:r w:rsidRPr="003E0F6E">
              <w:rPr>
                <w:rFonts w:cs="Arial"/>
                <w:sz w:val="14"/>
                <w:szCs w:val="14"/>
              </w:rPr>
              <w:t xml:space="preserve">483 </w:t>
            </w:r>
          </w:p>
        </w:tc>
        <w:tc>
          <w:tcPr>
            <w:tcW w:w="1134" w:type="dxa"/>
            <w:tcBorders>
              <w:top w:val="nil"/>
              <w:left w:val="nil"/>
              <w:bottom w:val="nil"/>
              <w:right w:val="nil"/>
            </w:tcBorders>
            <w:shd w:val="clear" w:color="auto" w:fill="auto"/>
            <w:vAlign w:val="center"/>
          </w:tcPr>
          <w:p w14:paraId="14D004F4"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13</w:t>
            </w:r>
            <w:r>
              <w:rPr>
                <w:rFonts w:cs="Arial"/>
                <w:sz w:val="14"/>
                <w:szCs w:val="14"/>
              </w:rPr>
              <w:t>,</w:t>
            </w:r>
            <w:r w:rsidRPr="003E0F6E">
              <w:rPr>
                <w:rFonts w:cs="Arial"/>
                <w:sz w:val="14"/>
                <w:szCs w:val="14"/>
              </w:rPr>
              <w:t xml:space="preserve">875 </w:t>
            </w:r>
          </w:p>
        </w:tc>
        <w:tc>
          <w:tcPr>
            <w:tcW w:w="284" w:type="dxa"/>
            <w:tcBorders>
              <w:top w:val="nil"/>
              <w:left w:val="nil"/>
              <w:bottom w:val="nil"/>
              <w:right w:val="nil"/>
            </w:tcBorders>
            <w:shd w:val="clear" w:color="auto" w:fill="auto"/>
            <w:vAlign w:val="center"/>
          </w:tcPr>
          <w:p w14:paraId="0B5ACA7A"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351668E3"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480,230</w:t>
            </w:r>
          </w:p>
        </w:tc>
        <w:tc>
          <w:tcPr>
            <w:tcW w:w="1228" w:type="dxa"/>
            <w:tcBorders>
              <w:top w:val="nil"/>
              <w:left w:val="nil"/>
              <w:bottom w:val="nil"/>
              <w:right w:val="nil"/>
            </w:tcBorders>
            <w:shd w:val="clear" w:color="auto" w:fill="auto"/>
            <w:vAlign w:val="center"/>
          </w:tcPr>
          <w:p w14:paraId="37C299A4"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5,092,941</w:t>
            </w:r>
          </w:p>
        </w:tc>
        <w:tc>
          <w:tcPr>
            <w:tcW w:w="1228" w:type="dxa"/>
            <w:tcBorders>
              <w:top w:val="nil"/>
              <w:left w:val="nil"/>
              <w:bottom w:val="nil"/>
              <w:right w:val="nil"/>
            </w:tcBorders>
            <w:shd w:val="clear" w:color="auto" w:fill="auto"/>
            <w:vAlign w:val="center"/>
          </w:tcPr>
          <w:p w14:paraId="3F8D05DD"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187,208</w:t>
            </w:r>
          </w:p>
        </w:tc>
      </w:tr>
      <w:tr w:rsidR="005357C6" w:rsidRPr="008F33B1" w14:paraId="3E86D802" w14:textId="77777777" w:rsidTr="00FE639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0BD078DC" w14:textId="77777777" w:rsidR="005357C6" w:rsidRPr="008F33B1" w:rsidRDefault="005357C6" w:rsidP="00475564">
            <w:pPr>
              <w:keepNext/>
              <w:keepLines/>
              <w:rPr>
                <w:rFonts w:eastAsia="Times New Roman" w:cs="Arial"/>
                <w:spacing w:val="-2"/>
                <w:sz w:val="14"/>
                <w:szCs w:val="14"/>
              </w:rPr>
            </w:pPr>
            <w:r w:rsidRPr="008F33B1">
              <w:rPr>
                <w:rFonts w:cs="Arial"/>
                <w:sz w:val="14"/>
                <w:szCs w:val="14"/>
              </w:rPr>
              <w:t>Non-current assets</w:t>
            </w:r>
          </w:p>
        </w:tc>
        <w:tc>
          <w:tcPr>
            <w:tcW w:w="1134" w:type="dxa"/>
            <w:tcBorders>
              <w:top w:val="nil"/>
              <w:left w:val="nil"/>
              <w:bottom w:val="nil"/>
              <w:right w:val="nil"/>
            </w:tcBorders>
            <w:shd w:val="clear" w:color="auto" w:fill="auto"/>
            <w:vAlign w:val="center"/>
          </w:tcPr>
          <w:p w14:paraId="57B94904"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rPr>
            </w:pPr>
            <w:r w:rsidRPr="003E0F6E">
              <w:rPr>
                <w:rFonts w:cs="Arial"/>
                <w:b/>
                <w:bCs/>
                <w:sz w:val="14"/>
                <w:szCs w:val="14"/>
              </w:rPr>
              <w:t xml:space="preserve">  252</w:t>
            </w:r>
            <w:r>
              <w:rPr>
                <w:rFonts w:cs="Arial"/>
                <w:b/>
                <w:bCs/>
                <w:sz w:val="14"/>
                <w:szCs w:val="14"/>
              </w:rPr>
              <w:t>,</w:t>
            </w:r>
            <w:r w:rsidRPr="003E0F6E">
              <w:rPr>
                <w:rFonts w:cs="Arial"/>
                <w:b/>
                <w:bCs/>
                <w:sz w:val="14"/>
                <w:szCs w:val="14"/>
              </w:rPr>
              <w:t xml:space="preserve">326 </w:t>
            </w:r>
          </w:p>
        </w:tc>
        <w:tc>
          <w:tcPr>
            <w:tcW w:w="1134" w:type="dxa"/>
            <w:tcBorders>
              <w:top w:val="nil"/>
              <w:left w:val="nil"/>
              <w:bottom w:val="nil"/>
              <w:right w:val="nil"/>
            </w:tcBorders>
            <w:shd w:val="clear" w:color="auto" w:fill="auto"/>
            <w:vAlign w:val="center"/>
          </w:tcPr>
          <w:p w14:paraId="7A330806"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7</w:t>
            </w:r>
            <w:r>
              <w:rPr>
                <w:rFonts w:cs="Arial"/>
                <w:b/>
                <w:bCs/>
                <w:sz w:val="14"/>
                <w:szCs w:val="14"/>
              </w:rPr>
              <w:t>,</w:t>
            </w:r>
            <w:r w:rsidRPr="003E0F6E">
              <w:rPr>
                <w:rFonts w:cs="Arial"/>
                <w:b/>
                <w:bCs/>
                <w:sz w:val="14"/>
                <w:szCs w:val="14"/>
              </w:rPr>
              <w:t>495</w:t>
            </w:r>
            <w:r>
              <w:rPr>
                <w:rFonts w:cs="Arial"/>
                <w:b/>
                <w:bCs/>
                <w:sz w:val="14"/>
                <w:szCs w:val="14"/>
              </w:rPr>
              <w:t>,</w:t>
            </w:r>
            <w:r w:rsidRPr="003E0F6E">
              <w:rPr>
                <w:rFonts w:cs="Arial"/>
                <w:b/>
                <w:bCs/>
                <w:sz w:val="14"/>
                <w:szCs w:val="14"/>
              </w:rPr>
              <w:t xml:space="preserve">030 </w:t>
            </w:r>
          </w:p>
        </w:tc>
        <w:tc>
          <w:tcPr>
            <w:tcW w:w="1134" w:type="dxa"/>
            <w:tcBorders>
              <w:top w:val="nil"/>
              <w:left w:val="nil"/>
              <w:bottom w:val="nil"/>
              <w:right w:val="nil"/>
            </w:tcBorders>
            <w:shd w:val="clear" w:color="auto" w:fill="auto"/>
            <w:vAlign w:val="center"/>
          </w:tcPr>
          <w:p w14:paraId="12C7CBC3"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2</w:t>
            </w:r>
            <w:r>
              <w:rPr>
                <w:rFonts w:cs="Arial"/>
                <w:b/>
                <w:bCs/>
                <w:sz w:val="14"/>
                <w:szCs w:val="14"/>
              </w:rPr>
              <w:t>,</w:t>
            </w:r>
            <w:r w:rsidRPr="003E0F6E">
              <w:rPr>
                <w:rFonts w:cs="Arial"/>
                <w:b/>
                <w:bCs/>
                <w:sz w:val="14"/>
                <w:szCs w:val="14"/>
              </w:rPr>
              <w:t>565</w:t>
            </w:r>
            <w:r>
              <w:rPr>
                <w:rFonts w:cs="Arial"/>
                <w:b/>
                <w:bCs/>
                <w:sz w:val="14"/>
                <w:szCs w:val="14"/>
              </w:rPr>
              <w:t>,</w:t>
            </w:r>
            <w:r w:rsidRPr="003E0F6E">
              <w:rPr>
                <w:rFonts w:cs="Arial"/>
                <w:b/>
                <w:bCs/>
                <w:sz w:val="14"/>
                <w:szCs w:val="14"/>
              </w:rPr>
              <w:t xml:space="preserve">238 </w:t>
            </w:r>
          </w:p>
        </w:tc>
        <w:tc>
          <w:tcPr>
            <w:tcW w:w="284" w:type="dxa"/>
            <w:tcBorders>
              <w:top w:val="nil"/>
              <w:left w:val="nil"/>
              <w:bottom w:val="nil"/>
              <w:right w:val="nil"/>
            </w:tcBorders>
            <w:shd w:val="clear" w:color="auto" w:fill="auto"/>
            <w:vAlign w:val="center"/>
          </w:tcPr>
          <w:p w14:paraId="15E0BBCD"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228" w:type="dxa"/>
            <w:tcBorders>
              <w:top w:val="nil"/>
              <w:left w:val="nil"/>
              <w:bottom w:val="nil"/>
              <w:right w:val="nil"/>
            </w:tcBorders>
            <w:shd w:val="clear" w:color="auto" w:fill="auto"/>
            <w:vAlign w:val="center"/>
          </w:tcPr>
          <w:p w14:paraId="699177A5"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F33B1">
              <w:rPr>
                <w:rFonts w:cs="Arial"/>
                <w:b/>
                <w:bCs/>
                <w:sz w:val="14"/>
                <w:szCs w:val="14"/>
              </w:rPr>
              <w:t>236,956</w:t>
            </w:r>
          </w:p>
        </w:tc>
        <w:tc>
          <w:tcPr>
            <w:tcW w:w="1228" w:type="dxa"/>
            <w:tcBorders>
              <w:top w:val="nil"/>
              <w:left w:val="nil"/>
              <w:bottom w:val="nil"/>
              <w:right w:val="nil"/>
            </w:tcBorders>
            <w:shd w:val="clear" w:color="auto" w:fill="auto"/>
            <w:vAlign w:val="center"/>
          </w:tcPr>
          <w:p w14:paraId="0CA7DC6C"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F33B1">
              <w:rPr>
                <w:rFonts w:cs="Arial"/>
                <w:b/>
                <w:bCs/>
                <w:sz w:val="14"/>
                <w:szCs w:val="14"/>
              </w:rPr>
              <w:t>7,315,139</w:t>
            </w:r>
          </w:p>
        </w:tc>
        <w:tc>
          <w:tcPr>
            <w:tcW w:w="1228" w:type="dxa"/>
            <w:tcBorders>
              <w:top w:val="nil"/>
              <w:left w:val="nil"/>
              <w:bottom w:val="nil"/>
              <w:right w:val="nil"/>
            </w:tcBorders>
            <w:shd w:val="clear" w:color="auto" w:fill="auto"/>
            <w:vAlign w:val="center"/>
          </w:tcPr>
          <w:p w14:paraId="1EBFC8CB"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F33B1">
              <w:rPr>
                <w:rFonts w:cs="Arial"/>
                <w:b/>
                <w:bCs/>
                <w:sz w:val="14"/>
                <w:szCs w:val="14"/>
              </w:rPr>
              <w:t>2,247,035</w:t>
            </w:r>
          </w:p>
        </w:tc>
      </w:tr>
      <w:tr w:rsidR="005357C6" w:rsidRPr="00D44604" w14:paraId="3603C7E4" w14:textId="77777777" w:rsidTr="00FE639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56198A69" w14:textId="77777777" w:rsidR="005357C6" w:rsidRPr="00D44604" w:rsidRDefault="005357C6" w:rsidP="00475564">
            <w:pPr>
              <w:keepNext/>
              <w:keepLines/>
              <w:ind w:left="113"/>
              <w:rPr>
                <w:rFonts w:eastAsia="Times New Roman" w:cs="Arial"/>
                <w:b w:val="0"/>
                <w:spacing w:val="-2"/>
                <w:sz w:val="14"/>
                <w:szCs w:val="14"/>
              </w:rPr>
            </w:pPr>
            <w:r w:rsidRPr="00D44604">
              <w:rPr>
                <w:rFonts w:cs="Arial"/>
                <w:b w:val="0"/>
                <w:sz w:val="14"/>
                <w:szCs w:val="14"/>
              </w:rPr>
              <w:t>Financial investments</w:t>
            </w:r>
          </w:p>
        </w:tc>
        <w:tc>
          <w:tcPr>
            <w:tcW w:w="1134" w:type="dxa"/>
            <w:tcBorders>
              <w:top w:val="nil"/>
              <w:left w:val="nil"/>
              <w:bottom w:val="nil"/>
              <w:right w:val="nil"/>
            </w:tcBorders>
            <w:shd w:val="clear" w:color="auto" w:fill="auto"/>
            <w:vAlign w:val="center"/>
          </w:tcPr>
          <w:p w14:paraId="2CDFB523"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40</w:t>
            </w:r>
            <w:r>
              <w:rPr>
                <w:rFonts w:cs="Arial"/>
                <w:sz w:val="14"/>
                <w:szCs w:val="14"/>
              </w:rPr>
              <w:t>,</w:t>
            </w:r>
            <w:r w:rsidRPr="003E0F6E">
              <w:rPr>
                <w:rFonts w:cs="Arial"/>
                <w:sz w:val="14"/>
                <w:szCs w:val="14"/>
              </w:rPr>
              <w:t xml:space="preserve">522 </w:t>
            </w:r>
          </w:p>
        </w:tc>
        <w:tc>
          <w:tcPr>
            <w:tcW w:w="1134" w:type="dxa"/>
            <w:tcBorders>
              <w:top w:val="nil"/>
              <w:left w:val="nil"/>
              <w:bottom w:val="nil"/>
              <w:right w:val="nil"/>
            </w:tcBorders>
            <w:shd w:val="clear" w:color="auto" w:fill="auto"/>
            <w:vAlign w:val="center"/>
          </w:tcPr>
          <w:p w14:paraId="1D34D523"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1</w:t>
            </w:r>
            <w:r>
              <w:rPr>
                <w:rFonts w:cs="Arial"/>
                <w:sz w:val="14"/>
                <w:szCs w:val="14"/>
              </w:rPr>
              <w:t>,</w:t>
            </w:r>
            <w:r w:rsidRPr="003E0F6E">
              <w:rPr>
                <w:rFonts w:cs="Arial"/>
                <w:sz w:val="14"/>
                <w:szCs w:val="14"/>
              </w:rPr>
              <w:t>583</w:t>
            </w:r>
            <w:r>
              <w:rPr>
                <w:rFonts w:cs="Arial"/>
                <w:sz w:val="14"/>
                <w:szCs w:val="14"/>
              </w:rPr>
              <w:t>,</w:t>
            </w:r>
            <w:r w:rsidRPr="003E0F6E">
              <w:rPr>
                <w:rFonts w:cs="Arial"/>
                <w:sz w:val="14"/>
                <w:szCs w:val="14"/>
              </w:rPr>
              <w:t xml:space="preserve">783 </w:t>
            </w:r>
          </w:p>
        </w:tc>
        <w:tc>
          <w:tcPr>
            <w:tcW w:w="1134" w:type="dxa"/>
            <w:tcBorders>
              <w:top w:val="nil"/>
              <w:left w:val="nil"/>
              <w:bottom w:val="nil"/>
              <w:right w:val="nil"/>
            </w:tcBorders>
            <w:shd w:val="clear" w:color="auto" w:fill="auto"/>
            <w:vAlign w:val="center"/>
          </w:tcPr>
          <w:p w14:paraId="0EE155E4"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75A8CBD0"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679FEF69"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101,847</w:t>
            </w:r>
          </w:p>
        </w:tc>
        <w:tc>
          <w:tcPr>
            <w:tcW w:w="1228" w:type="dxa"/>
            <w:tcBorders>
              <w:top w:val="nil"/>
              <w:left w:val="nil"/>
              <w:bottom w:val="nil"/>
              <w:right w:val="nil"/>
            </w:tcBorders>
            <w:shd w:val="clear" w:color="auto" w:fill="auto"/>
            <w:vAlign w:val="center"/>
          </w:tcPr>
          <w:p w14:paraId="7DB06AEE"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1,838,943</w:t>
            </w:r>
          </w:p>
        </w:tc>
        <w:tc>
          <w:tcPr>
            <w:tcW w:w="1228" w:type="dxa"/>
            <w:tcBorders>
              <w:top w:val="nil"/>
              <w:left w:val="nil"/>
              <w:bottom w:val="nil"/>
              <w:right w:val="nil"/>
            </w:tcBorders>
            <w:shd w:val="clear" w:color="auto" w:fill="auto"/>
            <w:vAlign w:val="center"/>
          </w:tcPr>
          <w:p w14:paraId="740319DA"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w:t>
            </w:r>
          </w:p>
        </w:tc>
      </w:tr>
      <w:tr w:rsidR="005357C6" w:rsidRPr="00D44604" w14:paraId="294A9BD2" w14:textId="77777777" w:rsidTr="00FE639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4A184DDE" w14:textId="77777777" w:rsidR="005357C6" w:rsidRPr="00D44604" w:rsidRDefault="005357C6" w:rsidP="00475564">
            <w:pPr>
              <w:keepNext/>
              <w:keepLines/>
              <w:ind w:left="113"/>
              <w:rPr>
                <w:rFonts w:eastAsia="Times New Roman" w:cs="Arial"/>
                <w:b w:val="0"/>
                <w:spacing w:val="-2"/>
                <w:sz w:val="14"/>
                <w:szCs w:val="14"/>
              </w:rPr>
            </w:pPr>
            <w:r w:rsidRPr="00D44604">
              <w:rPr>
                <w:rFonts w:cs="Arial"/>
                <w:b w:val="0"/>
                <w:sz w:val="14"/>
                <w:szCs w:val="14"/>
              </w:rPr>
              <w:t>Other non-current assets</w:t>
            </w:r>
          </w:p>
        </w:tc>
        <w:tc>
          <w:tcPr>
            <w:tcW w:w="1134" w:type="dxa"/>
            <w:tcBorders>
              <w:top w:val="nil"/>
              <w:left w:val="nil"/>
              <w:bottom w:val="nil"/>
              <w:right w:val="nil"/>
            </w:tcBorders>
            <w:shd w:val="clear" w:color="auto" w:fill="auto"/>
            <w:vAlign w:val="center"/>
          </w:tcPr>
          <w:p w14:paraId="217027E6"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3E0F6E">
              <w:rPr>
                <w:rFonts w:cs="Arial"/>
                <w:sz w:val="14"/>
                <w:szCs w:val="14"/>
              </w:rPr>
              <w:t xml:space="preserve">  211</w:t>
            </w:r>
            <w:r>
              <w:rPr>
                <w:rFonts w:cs="Arial"/>
                <w:sz w:val="14"/>
                <w:szCs w:val="14"/>
              </w:rPr>
              <w:t>,</w:t>
            </w:r>
            <w:r w:rsidRPr="003E0F6E">
              <w:rPr>
                <w:rFonts w:cs="Arial"/>
                <w:sz w:val="14"/>
                <w:szCs w:val="14"/>
              </w:rPr>
              <w:t xml:space="preserve">804 </w:t>
            </w:r>
          </w:p>
        </w:tc>
        <w:tc>
          <w:tcPr>
            <w:tcW w:w="1134" w:type="dxa"/>
            <w:tcBorders>
              <w:top w:val="nil"/>
              <w:left w:val="nil"/>
              <w:bottom w:val="nil"/>
              <w:right w:val="nil"/>
            </w:tcBorders>
            <w:shd w:val="clear" w:color="auto" w:fill="auto"/>
            <w:vAlign w:val="center"/>
          </w:tcPr>
          <w:p w14:paraId="66B76BC2"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5</w:t>
            </w:r>
            <w:r>
              <w:rPr>
                <w:rFonts w:cs="Arial"/>
                <w:sz w:val="14"/>
                <w:szCs w:val="14"/>
              </w:rPr>
              <w:t>,</w:t>
            </w:r>
            <w:r w:rsidRPr="003E0F6E">
              <w:rPr>
                <w:rFonts w:cs="Arial"/>
                <w:sz w:val="14"/>
                <w:szCs w:val="14"/>
              </w:rPr>
              <w:t>911</w:t>
            </w:r>
            <w:r>
              <w:rPr>
                <w:rFonts w:cs="Arial"/>
                <w:sz w:val="14"/>
                <w:szCs w:val="14"/>
              </w:rPr>
              <w:t>,</w:t>
            </w:r>
            <w:r w:rsidRPr="003E0F6E">
              <w:rPr>
                <w:rFonts w:cs="Arial"/>
                <w:sz w:val="14"/>
                <w:szCs w:val="14"/>
              </w:rPr>
              <w:t xml:space="preserve">247 </w:t>
            </w:r>
          </w:p>
        </w:tc>
        <w:tc>
          <w:tcPr>
            <w:tcW w:w="1134" w:type="dxa"/>
            <w:tcBorders>
              <w:top w:val="nil"/>
              <w:left w:val="nil"/>
              <w:bottom w:val="nil"/>
              <w:right w:val="nil"/>
            </w:tcBorders>
            <w:shd w:val="clear" w:color="auto" w:fill="auto"/>
            <w:vAlign w:val="center"/>
          </w:tcPr>
          <w:p w14:paraId="25ADDD13"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2</w:t>
            </w:r>
            <w:r>
              <w:rPr>
                <w:rFonts w:cs="Arial"/>
                <w:sz w:val="14"/>
                <w:szCs w:val="14"/>
              </w:rPr>
              <w:t>,</w:t>
            </w:r>
            <w:r w:rsidRPr="003E0F6E">
              <w:rPr>
                <w:rFonts w:cs="Arial"/>
                <w:sz w:val="14"/>
                <w:szCs w:val="14"/>
              </w:rPr>
              <w:t>565</w:t>
            </w:r>
            <w:r>
              <w:rPr>
                <w:rFonts w:cs="Arial"/>
                <w:sz w:val="14"/>
                <w:szCs w:val="14"/>
              </w:rPr>
              <w:t>,</w:t>
            </w:r>
            <w:r w:rsidRPr="003E0F6E">
              <w:rPr>
                <w:rFonts w:cs="Arial"/>
                <w:sz w:val="14"/>
                <w:szCs w:val="14"/>
              </w:rPr>
              <w:t xml:space="preserve">238 </w:t>
            </w:r>
          </w:p>
        </w:tc>
        <w:tc>
          <w:tcPr>
            <w:tcW w:w="284" w:type="dxa"/>
            <w:tcBorders>
              <w:top w:val="nil"/>
              <w:left w:val="nil"/>
              <w:bottom w:val="nil"/>
              <w:right w:val="nil"/>
            </w:tcBorders>
            <w:shd w:val="clear" w:color="auto" w:fill="auto"/>
            <w:vAlign w:val="center"/>
          </w:tcPr>
          <w:p w14:paraId="1A06F573"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18030490"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135,109</w:t>
            </w:r>
          </w:p>
        </w:tc>
        <w:tc>
          <w:tcPr>
            <w:tcW w:w="1228" w:type="dxa"/>
            <w:tcBorders>
              <w:top w:val="nil"/>
              <w:left w:val="nil"/>
              <w:bottom w:val="nil"/>
              <w:right w:val="nil"/>
            </w:tcBorders>
            <w:shd w:val="clear" w:color="auto" w:fill="auto"/>
            <w:vAlign w:val="center"/>
          </w:tcPr>
          <w:p w14:paraId="46D2BC3D"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5,476,196</w:t>
            </w:r>
          </w:p>
        </w:tc>
        <w:tc>
          <w:tcPr>
            <w:tcW w:w="1228" w:type="dxa"/>
            <w:tcBorders>
              <w:top w:val="nil"/>
              <w:left w:val="nil"/>
              <w:bottom w:val="nil"/>
              <w:right w:val="nil"/>
            </w:tcBorders>
            <w:shd w:val="clear" w:color="auto" w:fill="auto"/>
            <w:vAlign w:val="center"/>
          </w:tcPr>
          <w:p w14:paraId="1D8C4548"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2,247,035</w:t>
            </w:r>
          </w:p>
        </w:tc>
      </w:tr>
      <w:tr w:rsidR="005357C6" w:rsidRPr="008F33B1" w14:paraId="6FC8BD72" w14:textId="77777777" w:rsidTr="00E64B5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2E4897C3" w14:textId="77777777" w:rsidR="005357C6" w:rsidRPr="008F33B1" w:rsidRDefault="005357C6" w:rsidP="00475564">
            <w:pPr>
              <w:keepNext/>
              <w:keepLines/>
              <w:rPr>
                <w:rFonts w:eastAsia="Times New Roman" w:cs="Arial"/>
                <w:spacing w:val="-2"/>
                <w:sz w:val="14"/>
                <w:szCs w:val="14"/>
              </w:rPr>
            </w:pPr>
            <w:r w:rsidRPr="008F33B1">
              <w:rPr>
                <w:rFonts w:cs="Arial"/>
                <w:sz w:val="14"/>
                <w:szCs w:val="14"/>
              </w:rPr>
              <w:t>Current liabilities</w:t>
            </w:r>
          </w:p>
        </w:tc>
        <w:tc>
          <w:tcPr>
            <w:tcW w:w="1134" w:type="dxa"/>
            <w:tcBorders>
              <w:top w:val="nil"/>
              <w:left w:val="nil"/>
              <w:bottom w:val="nil"/>
              <w:right w:val="nil"/>
            </w:tcBorders>
            <w:shd w:val="clear" w:color="auto" w:fill="auto"/>
            <w:vAlign w:val="center"/>
          </w:tcPr>
          <w:p w14:paraId="31F2F0D4" w14:textId="77777777" w:rsidR="005357C6" w:rsidRPr="008F33B1"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rPr>
            </w:pPr>
            <w:r w:rsidRPr="003E0F6E">
              <w:rPr>
                <w:rFonts w:cs="Arial"/>
                <w:b/>
                <w:bCs/>
                <w:sz w:val="14"/>
                <w:szCs w:val="14"/>
              </w:rPr>
              <w:t xml:space="preserve">  807</w:t>
            </w:r>
            <w:r>
              <w:rPr>
                <w:rFonts w:cs="Arial"/>
                <w:b/>
                <w:bCs/>
                <w:sz w:val="14"/>
                <w:szCs w:val="14"/>
              </w:rPr>
              <w:t>,</w:t>
            </w:r>
            <w:r w:rsidRPr="003E0F6E">
              <w:rPr>
                <w:rFonts w:cs="Arial"/>
                <w:b/>
                <w:bCs/>
                <w:sz w:val="14"/>
                <w:szCs w:val="14"/>
              </w:rPr>
              <w:t xml:space="preserve">423 </w:t>
            </w:r>
          </w:p>
        </w:tc>
        <w:tc>
          <w:tcPr>
            <w:tcW w:w="1134" w:type="dxa"/>
            <w:tcBorders>
              <w:top w:val="nil"/>
              <w:left w:val="nil"/>
              <w:bottom w:val="nil"/>
              <w:right w:val="nil"/>
            </w:tcBorders>
            <w:shd w:val="clear" w:color="auto" w:fill="auto"/>
            <w:vAlign w:val="center"/>
          </w:tcPr>
          <w:p w14:paraId="500DB873" w14:textId="77777777" w:rsidR="005357C6" w:rsidRPr="008F33B1"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 xml:space="preserve">  11</w:t>
            </w:r>
            <w:r>
              <w:rPr>
                <w:rFonts w:cs="Arial"/>
                <w:b/>
                <w:bCs/>
                <w:sz w:val="14"/>
                <w:szCs w:val="14"/>
              </w:rPr>
              <w:t>,</w:t>
            </w:r>
            <w:r w:rsidRPr="003E0F6E">
              <w:rPr>
                <w:rFonts w:cs="Arial"/>
                <w:b/>
                <w:bCs/>
                <w:sz w:val="14"/>
                <w:szCs w:val="14"/>
              </w:rPr>
              <w:t>869</w:t>
            </w:r>
            <w:r>
              <w:rPr>
                <w:rFonts w:cs="Arial"/>
                <w:b/>
                <w:bCs/>
                <w:sz w:val="14"/>
                <w:szCs w:val="14"/>
              </w:rPr>
              <w:t>,</w:t>
            </w:r>
            <w:r w:rsidRPr="003E0F6E">
              <w:rPr>
                <w:rFonts w:cs="Arial"/>
                <w:b/>
                <w:bCs/>
                <w:sz w:val="14"/>
                <w:szCs w:val="14"/>
              </w:rPr>
              <w:t xml:space="preserve">345 </w:t>
            </w:r>
          </w:p>
        </w:tc>
        <w:tc>
          <w:tcPr>
            <w:tcW w:w="1134" w:type="dxa"/>
            <w:tcBorders>
              <w:top w:val="nil"/>
              <w:left w:val="nil"/>
              <w:bottom w:val="nil"/>
              <w:right w:val="nil"/>
            </w:tcBorders>
            <w:shd w:val="clear" w:color="auto" w:fill="auto"/>
            <w:vAlign w:val="center"/>
          </w:tcPr>
          <w:p w14:paraId="3969FFE6" w14:textId="77777777" w:rsidR="005357C6" w:rsidRPr="008F33B1"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 xml:space="preserve">  175 </w:t>
            </w:r>
          </w:p>
        </w:tc>
        <w:tc>
          <w:tcPr>
            <w:tcW w:w="284" w:type="dxa"/>
            <w:tcBorders>
              <w:top w:val="nil"/>
              <w:left w:val="nil"/>
              <w:bottom w:val="nil"/>
              <w:right w:val="nil"/>
            </w:tcBorders>
            <w:shd w:val="clear" w:color="auto" w:fill="auto"/>
            <w:vAlign w:val="center"/>
          </w:tcPr>
          <w:p w14:paraId="328AF884" w14:textId="77777777" w:rsidR="005357C6" w:rsidRPr="008F33B1"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p>
        </w:tc>
        <w:tc>
          <w:tcPr>
            <w:tcW w:w="1228" w:type="dxa"/>
            <w:tcBorders>
              <w:top w:val="nil"/>
              <w:left w:val="nil"/>
              <w:bottom w:val="nil"/>
              <w:right w:val="nil"/>
            </w:tcBorders>
            <w:shd w:val="clear" w:color="auto" w:fill="auto"/>
            <w:vAlign w:val="center"/>
          </w:tcPr>
          <w:p w14:paraId="186CB141" w14:textId="77777777" w:rsidR="005357C6" w:rsidRPr="008F33B1"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F33B1">
              <w:rPr>
                <w:rFonts w:cs="Arial"/>
                <w:b/>
                <w:bCs/>
                <w:sz w:val="14"/>
                <w:szCs w:val="14"/>
              </w:rPr>
              <w:t>680,086</w:t>
            </w:r>
          </w:p>
        </w:tc>
        <w:tc>
          <w:tcPr>
            <w:tcW w:w="1228" w:type="dxa"/>
            <w:tcBorders>
              <w:top w:val="nil"/>
              <w:left w:val="nil"/>
              <w:bottom w:val="nil"/>
              <w:right w:val="nil"/>
            </w:tcBorders>
            <w:shd w:val="clear" w:color="auto" w:fill="auto"/>
            <w:vAlign w:val="center"/>
          </w:tcPr>
          <w:p w14:paraId="1CD8C12A" w14:textId="77777777" w:rsidR="005357C6" w:rsidRPr="008F33B1"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F33B1">
              <w:rPr>
                <w:rFonts w:cs="Arial"/>
                <w:b/>
                <w:bCs/>
                <w:sz w:val="14"/>
                <w:szCs w:val="14"/>
              </w:rPr>
              <w:t>10,003,179</w:t>
            </w:r>
          </w:p>
        </w:tc>
        <w:tc>
          <w:tcPr>
            <w:tcW w:w="1228" w:type="dxa"/>
            <w:tcBorders>
              <w:top w:val="nil"/>
              <w:left w:val="nil"/>
              <w:bottom w:val="nil"/>
              <w:right w:val="nil"/>
            </w:tcBorders>
            <w:shd w:val="clear" w:color="auto" w:fill="auto"/>
            <w:vAlign w:val="center"/>
          </w:tcPr>
          <w:p w14:paraId="427724BA" w14:textId="77777777" w:rsidR="005357C6" w:rsidRPr="008F33B1"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8F33B1">
              <w:rPr>
                <w:rFonts w:cs="Arial"/>
                <w:b/>
                <w:bCs/>
                <w:sz w:val="14"/>
                <w:szCs w:val="14"/>
              </w:rPr>
              <w:t>1,086</w:t>
            </w:r>
          </w:p>
        </w:tc>
      </w:tr>
      <w:tr w:rsidR="005357C6" w:rsidRPr="00D44604" w14:paraId="0837A0C2" w14:textId="77777777" w:rsidTr="00E64B5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0318C25E" w14:textId="77777777" w:rsidR="005357C6" w:rsidRPr="00D44604" w:rsidRDefault="005357C6" w:rsidP="00475564">
            <w:pPr>
              <w:keepNext/>
              <w:keepLines/>
              <w:ind w:left="113"/>
              <w:rPr>
                <w:rFonts w:eastAsia="Times New Roman" w:cs="Arial"/>
                <w:b w:val="0"/>
                <w:spacing w:val="-2"/>
                <w:sz w:val="14"/>
                <w:szCs w:val="14"/>
              </w:rPr>
            </w:pPr>
            <w:r w:rsidRPr="00D44604">
              <w:rPr>
                <w:rFonts w:cs="Arial"/>
                <w:b w:val="0"/>
                <w:sz w:val="14"/>
                <w:szCs w:val="14"/>
              </w:rPr>
              <w:t>Financial liabilities</w:t>
            </w:r>
          </w:p>
        </w:tc>
        <w:tc>
          <w:tcPr>
            <w:tcW w:w="1134" w:type="dxa"/>
            <w:tcBorders>
              <w:top w:val="nil"/>
              <w:left w:val="nil"/>
              <w:bottom w:val="nil"/>
              <w:right w:val="nil"/>
            </w:tcBorders>
            <w:shd w:val="clear" w:color="auto" w:fill="auto"/>
            <w:vAlign w:val="center"/>
          </w:tcPr>
          <w:p w14:paraId="67E53EAD"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3E0F6E">
              <w:rPr>
                <w:rFonts w:cs="Arial"/>
                <w:sz w:val="14"/>
                <w:szCs w:val="14"/>
              </w:rPr>
              <w:t xml:space="preserve">  48</w:t>
            </w:r>
            <w:r>
              <w:rPr>
                <w:rFonts w:cs="Arial"/>
                <w:sz w:val="14"/>
                <w:szCs w:val="14"/>
              </w:rPr>
              <w:t>,</w:t>
            </w:r>
            <w:r w:rsidRPr="003E0F6E">
              <w:rPr>
                <w:rFonts w:cs="Arial"/>
                <w:sz w:val="14"/>
                <w:szCs w:val="14"/>
              </w:rPr>
              <w:t xml:space="preserve">732 </w:t>
            </w:r>
          </w:p>
        </w:tc>
        <w:tc>
          <w:tcPr>
            <w:tcW w:w="1134" w:type="dxa"/>
            <w:tcBorders>
              <w:top w:val="nil"/>
              <w:left w:val="nil"/>
              <w:bottom w:val="nil"/>
              <w:right w:val="nil"/>
            </w:tcBorders>
            <w:shd w:val="clear" w:color="auto" w:fill="auto"/>
            <w:vAlign w:val="center"/>
          </w:tcPr>
          <w:p w14:paraId="60A26B55"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732</w:t>
            </w:r>
            <w:r>
              <w:rPr>
                <w:rFonts w:cs="Arial"/>
                <w:sz w:val="14"/>
                <w:szCs w:val="14"/>
              </w:rPr>
              <w:t>,</w:t>
            </w:r>
            <w:r w:rsidRPr="003E0F6E">
              <w:rPr>
                <w:rFonts w:cs="Arial"/>
                <w:sz w:val="14"/>
                <w:szCs w:val="14"/>
              </w:rPr>
              <w:t xml:space="preserve">112 </w:t>
            </w:r>
          </w:p>
        </w:tc>
        <w:tc>
          <w:tcPr>
            <w:tcW w:w="1134" w:type="dxa"/>
            <w:tcBorders>
              <w:top w:val="nil"/>
              <w:left w:val="nil"/>
              <w:bottom w:val="nil"/>
              <w:right w:val="nil"/>
            </w:tcBorders>
            <w:shd w:val="clear" w:color="auto" w:fill="auto"/>
            <w:vAlign w:val="center"/>
          </w:tcPr>
          <w:p w14:paraId="51FC8FB8"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175 </w:t>
            </w:r>
          </w:p>
        </w:tc>
        <w:tc>
          <w:tcPr>
            <w:tcW w:w="284" w:type="dxa"/>
            <w:tcBorders>
              <w:top w:val="nil"/>
              <w:left w:val="nil"/>
              <w:bottom w:val="nil"/>
              <w:right w:val="nil"/>
            </w:tcBorders>
            <w:shd w:val="clear" w:color="auto" w:fill="auto"/>
            <w:vAlign w:val="center"/>
          </w:tcPr>
          <w:p w14:paraId="612258A3"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7DAF5A66"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33,055</w:t>
            </w:r>
          </w:p>
        </w:tc>
        <w:tc>
          <w:tcPr>
            <w:tcW w:w="1228" w:type="dxa"/>
            <w:tcBorders>
              <w:top w:val="nil"/>
              <w:left w:val="nil"/>
              <w:bottom w:val="nil"/>
              <w:right w:val="nil"/>
            </w:tcBorders>
            <w:shd w:val="clear" w:color="auto" w:fill="auto"/>
            <w:vAlign w:val="center"/>
          </w:tcPr>
          <w:p w14:paraId="4B2BFE8E"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293,541</w:t>
            </w:r>
          </w:p>
        </w:tc>
        <w:tc>
          <w:tcPr>
            <w:tcW w:w="1228" w:type="dxa"/>
            <w:tcBorders>
              <w:top w:val="nil"/>
              <w:left w:val="nil"/>
              <w:bottom w:val="nil"/>
              <w:right w:val="nil"/>
            </w:tcBorders>
            <w:shd w:val="clear" w:color="auto" w:fill="auto"/>
            <w:vAlign w:val="center"/>
          </w:tcPr>
          <w:p w14:paraId="71D15F08"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1,086</w:t>
            </w:r>
          </w:p>
        </w:tc>
      </w:tr>
      <w:tr w:rsidR="005357C6" w:rsidRPr="00D44604" w14:paraId="2EAE0874" w14:textId="77777777" w:rsidTr="00C226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591EE6DA" w14:textId="77777777" w:rsidR="005357C6" w:rsidRPr="00D44604" w:rsidRDefault="005357C6" w:rsidP="00475564">
            <w:pPr>
              <w:keepNext/>
              <w:keepLines/>
              <w:ind w:left="113"/>
              <w:rPr>
                <w:rFonts w:eastAsia="Times New Roman" w:cs="Arial"/>
                <w:b w:val="0"/>
                <w:spacing w:val="-2"/>
                <w:sz w:val="14"/>
                <w:szCs w:val="14"/>
              </w:rPr>
            </w:pPr>
            <w:r w:rsidRPr="00D44604">
              <w:rPr>
                <w:rFonts w:cs="Arial"/>
                <w:b w:val="0"/>
                <w:sz w:val="14"/>
                <w:szCs w:val="14"/>
              </w:rPr>
              <w:t>Technical provisions</w:t>
            </w:r>
          </w:p>
        </w:tc>
        <w:tc>
          <w:tcPr>
            <w:tcW w:w="1134" w:type="dxa"/>
            <w:tcBorders>
              <w:top w:val="nil"/>
              <w:left w:val="nil"/>
              <w:bottom w:val="nil"/>
              <w:right w:val="nil"/>
            </w:tcBorders>
            <w:shd w:val="clear" w:color="auto" w:fill="auto"/>
            <w:vAlign w:val="center"/>
          </w:tcPr>
          <w:p w14:paraId="118B11C4"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561</w:t>
            </w:r>
            <w:r>
              <w:rPr>
                <w:rFonts w:cs="Arial"/>
                <w:sz w:val="14"/>
                <w:szCs w:val="14"/>
              </w:rPr>
              <w:t>,</w:t>
            </w:r>
            <w:r w:rsidRPr="003E0F6E">
              <w:rPr>
                <w:rFonts w:cs="Arial"/>
                <w:sz w:val="14"/>
                <w:szCs w:val="14"/>
              </w:rPr>
              <w:t xml:space="preserve">615 </w:t>
            </w:r>
          </w:p>
        </w:tc>
        <w:tc>
          <w:tcPr>
            <w:tcW w:w="1134" w:type="dxa"/>
            <w:tcBorders>
              <w:top w:val="nil"/>
              <w:left w:val="nil"/>
              <w:bottom w:val="nil"/>
              <w:right w:val="nil"/>
            </w:tcBorders>
            <w:shd w:val="clear" w:color="auto" w:fill="auto"/>
            <w:vAlign w:val="center"/>
          </w:tcPr>
          <w:p w14:paraId="1F353424"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8</w:t>
            </w:r>
            <w:r>
              <w:rPr>
                <w:rFonts w:cs="Arial"/>
                <w:sz w:val="14"/>
                <w:szCs w:val="14"/>
              </w:rPr>
              <w:t>,</w:t>
            </w:r>
            <w:r w:rsidRPr="003E0F6E">
              <w:rPr>
                <w:rFonts w:cs="Arial"/>
                <w:sz w:val="14"/>
                <w:szCs w:val="14"/>
              </w:rPr>
              <w:t>494</w:t>
            </w:r>
            <w:r>
              <w:rPr>
                <w:rFonts w:cs="Arial"/>
                <w:sz w:val="14"/>
                <w:szCs w:val="14"/>
              </w:rPr>
              <w:t>,</w:t>
            </w:r>
            <w:r w:rsidRPr="003E0F6E">
              <w:rPr>
                <w:rFonts w:cs="Arial"/>
                <w:sz w:val="14"/>
                <w:szCs w:val="14"/>
              </w:rPr>
              <w:t xml:space="preserve">851 </w:t>
            </w:r>
          </w:p>
        </w:tc>
        <w:tc>
          <w:tcPr>
            <w:tcW w:w="1134" w:type="dxa"/>
            <w:tcBorders>
              <w:top w:val="nil"/>
              <w:left w:val="nil"/>
              <w:bottom w:val="nil"/>
              <w:right w:val="nil"/>
            </w:tcBorders>
            <w:shd w:val="clear" w:color="auto" w:fill="auto"/>
            <w:vAlign w:val="center"/>
          </w:tcPr>
          <w:p w14:paraId="571E1BCC"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391D4F54"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34792AC6"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489,932</w:t>
            </w:r>
          </w:p>
        </w:tc>
        <w:tc>
          <w:tcPr>
            <w:tcW w:w="1228" w:type="dxa"/>
            <w:tcBorders>
              <w:top w:val="nil"/>
              <w:left w:val="nil"/>
              <w:bottom w:val="nil"/>
              <w:right w:val="nil"/>
            </w:tcBorders>
            <w:shd w:val="clear" w:color="auto" w:fill="auto"/>
            <w:vAlign w:val="center"/>
          </w:tcPr>
          <w:p w14:paraId="276ABEEE"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6,999,381</w:t>
            </w:r>
          </w:p>
        </w:tc>
        <w:tc>
          <w:tcPr>
            <w:tcW w:w="1228" w:type="dxa"/>
            <w:tcBorders>
              <w:top w:val="nil"/>
              <w:left w:val="nil"/>
              <w:bottom w:val="nil"/>
              <w:right w:val="nil"/>
            </w:tcBorders>
            <w:shd w:val="clear" w:color="auto" w:fill="auto"/>
            <w:vAlign w:val="center"/>
          </w:tcPr>
          <w:p w14:paraId="452B7180"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w:t>
            </w:r>
          </w:p>
        </w:tc>
      </w:tr>
      <w:tr w:rsidR="005357C6" w:rsidRPr="00D44604" w14:paraId="091A0664" w14:textId="77777777" w:rsidTr="00C226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65871285" w14:textId="77777777" w:rsidR="005357C6" w:rsidRPr="00C226E1" w:rsidRDefault="005357C6" w:rsidP="00475564">
            <w:pPr>
              <w:keepNext/>
              <w:keepLines/>
              <w:ind w:left="113"/>
              <w:rPr>
                <w:rFonts w:cs="Arial"/>
                <w:b w:val="0"/>
                <w:bCs w:val="0"/>
                <w:sz w:val="14"/>
                <w:szCs w:val="14"/>
              </w:rPr>
            </w:pPr>
            <w:r w:rsidRPr="00C226E1">
              <w:rPr>
                <w:rFonts w:eastAsia="Times New Roman" w:cs="Arial"/>
                <w:b w:val="0"/>
                <w:bCs w:val="0"/>
                <w:spacing w:val="-2"/>
                <w:sz w:val="14"/>
                <w:szCs w:val="14"/>
                <w:lang w:eastAsia="pt-BR"/>
              </w:rPr>
              <w:t>Dividends payable</w:t>
            </w:r>
          </w:p>
        </w:tc>
        <w:tc>
          <w:tcPr>
            <w:tcW w:w="1134" w:type="dxa"/>
            <w:tcBorders>
              <w:top w:val="nil"/>
              <w:left w:val="nil"/>
              <w:bottom w:val="nil"/>
              <w:right w:val="nil"/>
            </w:tcBorders>
            <w:shd w:val="clear" w:color="auto" w:fill="auto"/>
            <w:vAlign w:val="center"/>
          </w:tcPr>
          <w:p w14:paraId="09DE63FE" w14:textId="77777777" w:rsidR="005357C6"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11</w:t>
            </w:r>
            <w:r>
              <w:rPr>
                <w:rFonts w:cs="Arial"/>
                <w:sz w:val="14"/>
                <w:szCs w:val="14"/>
              </w:rPr>
              <w:t>,</w:t>
            </w:r>
            <w:r w:rsidRPr="003E0F6E">
              <w:rPr>
                <w:rFonts w:cs="Arial"/>
                <w:sz w:val="14"/>
                <w:szCs w:val="14"/>
              </w:rPr>
              <w:t xml:space="preserve">566 </w:t>
            </w:r>
          </w:p>
        </w:tc>
        <w:tc>
          <w:tcPr>
            <w:tcW w:w="1134" w:type="dxa"/>
            <w:tcBorders>
              <w:top w:val="nil"/>
              <w:left w:val="nil"/>
              <w:bottom w:val="nil"/>
              <w:right w:val="nil"/>
            </w:tcBorders>
            <w:shd w:val="clear" w:color="auto" w:fill="auto"/>
            <w:vAlign w:val="center"/>
          </w:tcPr>
          <w:p w14:paraId="33AEBB6D" w14:textId="77777777" w:rsidR="005357C6"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 </w:t>
            </w:r>
          </w:p>
        </w:tc>
        <w:tc>
          <w:tcPr>
            <w:tcW w:w="1134" w:type="dxa"/>
            <w:tcBorders>
              <w:top w:val="nil"/>
              <w:left w:val="nil"/>
              <w:bottom w:val="nil"/>
              <w:right w:val="nil"/>
            </w:tcBorders>
            <w:shd w:val="clear" w:color="auto" w:fill="auto"/>
            <w:vAlign w:val="center"/>
          </w:tcPr>
          <w:p w14:paraId="51590842" w14:textId="77777777" w:rsidR="005357C6"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5F9EA6A3"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646BB32C" w14:textId="77777777" w:rsidR="005357C6"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17,383</w:t>
            </w:r>
          </w:p>
        </w:tc>
        <w:tc>
          <w:tcPr>
            <w:tcW w:w="1228" w:type="dxa"/>
            <w:tcBorders>
              <w:top w:val="nil"/>
              <w:left w:val="nil"/>
              <w:bottom w:val="nil"/>
              <w:right w:val="nil"/>
            </w:tcBorders>
            <w:shd w:val="clear" w:color="auto" w:fill="auto"/>
            <w:vAlign w:val="center"/>
          </w:tcPr>
          <w:p w14:paraId="12C597C6" w14:textId="77777777" w:rsidR="005357C6"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167,544</w:t>
            </w:r>
          </w:p>
        </w:tc>
        <w:tc>
          <w:tcPr>
            <w:tcW w:w="1228" w:type="dxa"/>
            <w:tcBorders>
              <w:top w:val="nil"/>
              <w:left w:val="nil"/>
              <w:bottom w:val="nil"/>
              <w:right w:val="nil"/>
            </w:tcBorders>
            <w:shd w:val="clear" w:color="auto" w:fill="auto"/>
            <w:vAlign w:val="center"/>
          </w:tcPr>
          <w:p w14:paraId="415C32EA" w14:textId="77777777" w:rsidR="005357C6"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w:t>
            </w:r>
          </w:p>
        </w:tc>
      </w:tr>
      <w:tr w:rsidR="005357C6" w:rsidRPr="00D44604" w14:paraId="6FE58314" w14:textId="77777777" w:rsidTr="00C226E1">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4673D377" w14:textId="77777777" w:rsidR="005357C6" w:rsidRPr="00D44604" w:rsidRDefault="005357C6" w:rsidP="00475564">
            <w:pPr>
              <w:keepNext/>
              <w:keepLines/>
              <w:spacing w:before="40" w:after="40"/>
              <w:ind w:left="113"/>
              <w:rPr>
                <w:rFonts w:eastAsia="Times New Roman" w:cs="Arial"/>
                <w:b w:val="0"/>
                <w:spacing w:val="-2"/>
                <w:sz w:val="14"/>
                <w:szCs w:val="14"/>
              </w:rPr>
            </w:pPr>
            <w:r w:rsidRPr="00D44604">
              <w:rPr>
                <w:rFonts w:cs="Arial"/>
                <w:b w:val="0"/>
                <w:sz w:val="14"/>
                <w:szCs w:val="14"/>
              </w:rPr>
              <w:t>Other current liabilities</w:t>
            </w:r>
          </w:p>
        </w:tc>
        <w:tc>
          <w:tcPr>
            <w:tcW w:w="1134" w:type="dxa"/>
            <w:tcBorders>
              <w:top w:val="nil"/>
              <w:left w:val="nil"/>
              <w:bottom w:val="nil"/>
              <w:right w:val="nil"/>
            </w:tcBorders>
            <w:shd w:val="clear" w:color="auto" w:fill="auto"/>
            <w:vAlign w:val="center"/>
          </w:tcPr>
          <w:p w14:paraId="64844B5A"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185</w:t>
            </w:r>
            <w:r>
              <w:rPr>
                <w:rFonts w:cs="Arial"/>
                <w:sz w:val="14"/>
                <w:szCs w:val="14"/>
              </w:rPr>
              <w:t>,</w:t>
            </w:r>
            <w:r w:rsidRPr="003E0F6E">
              <w:rPr>
                <w:rFonts w:cs="Arial"/>
                <w:sz w:val="14"/>
                <w:szCs w:val="14"/>
              </w:rPr>
              <w:t xml:space="preserve">510 </w:t>
            </w:r>
          </w:p>
        </w:tc>
        <w:tc>
          <w:tcPr>
            <w:tcW w:w="1134" w:type="dxa"/>
            <w:tcBorders>
              <w:top w:val="nil"/>
              <w:left w:val="nil"/>
              <w:bottom w:val="nil"/>
              <w:right w:val="nil"/>
            </w:tcBorders>
            <w:shd w:val="clear" w:color="auto" w:fill="auto"/>
            <w:vAlign w:val="center"/>
          </w:tcPr>
          <w:p w14:paraId="424BB4B4"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2</w:t>
            </w:r>
            <w:r>
              <w:rPr>
                <w:rFonts w:cs="Arial"/>
                <w:sz w:val="14"/>
                <w:szCs w:val="14"/>
              </w:rPr>
              <w:t>,</w:t>
            </w:r>
            <w:r w:rsidRPr="003E0F6E">
              <w:rPr>
                <w:rFonts w:cs="Arial"/>
                <w:sz w:val="14"/>
                <w:szCs w:val="14"/>
              </w:rPr>
              <w:t>642</w:t>
            </w:r>
            <w:r>
              <w:rPr>
                <w:rFonts w:cs="Arial"/>
                <w:sz w:val="14"/>
                <w:szCs w:val="14"/>
              </w:rPr>
              <w:t>,</w:t>
            </w:r>
            <w:r w:rsidRPr="003E0F6E">
              <w:rPr>
                <w:rFonts w:cs="Arial"/>
                <w:sz w:val="14"/>
                <w:szCs w:val="14"/>
              </w:rPr>
              <w:t xml:space="preserve">382 </w:t>
            </w:r>
          </w:p>
        </w:tc>
        <w:tc>
          <w:tcPr>
            <w:tcW w:w="1134" w:type="dxa"/>
            <w:tcBorders>
              <w:top w:val="nil"/>
              <w:left w:val="nil"/>
              <w:bottom w:val="nil"/>
              <w:right w:val="nil"/>
            </w:tcBorders>
            <w:shd w:val="clear" w:color="auto" w:fill="auto"/>
            <w:vAlign w:val="center"/>
          </w:tcPr>
          <w:p w14:paraId="6D6044A4"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21362CF5"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366783B4"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139,716</w:t>
            </w:r>
          </w:p>
        </w:tc>
        <w:tc>
          <w:tcPr>
            <w:tcW w:w="1228" w:type="dxa"/>
            <w:tcBorders>
              <w:top w:val="nil"/>
              <w:left w:val="nil"/>
              <w:bottom w:val="nil"/>
              <w:right w:val="nil"/>
            </w:tcBorders>
            <w:shd w:val="clear" w:color="auto" w:fill="auto"/>
            <w:vAlign w:val="center"/>
          </w:tcPr>
          <w:p w14:paraId="3C345BEB"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2,542,713</w:t>
            </w:r>
          </w:p>
        </w:tc>
        <w:tc>
          <w:tcPr>
            <w:tcW w:w="1228" w:type="dxa"/>
            <w:tcBorders>
              <w:top w:val="nil"/>
              <w:left w:val="nil"/>
              <w:bottom w:val="nil"/>
              <w:right w:val="nil"/>
            </w:tcBorders>
            <w:shd w:val="clear" w:color="auto" w:fill="auto"/>
            <w:vAlign w:val="center"/>
          </w:tcPr>
          <w:p w14:paraId="3FB723CF"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w:t>
            </w:r>
          </w:p>
        </w:tc>
      </w:tr>
      <w:tr w:rsidR="005357C6" w:rsidRPr="008F33B1" w14:paraId="37B1805A" w14:textId="77777777" w:rsidTr="00C226E1">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52E29006" w14:textId="77777777" w:rsidR="005357C6" w:rsidRPr="008F33B1" w:rsidRDefault="005357C6" w:rsidP="00475564">
            <w:pPr>
              <w:keepNext/>
              <w:keepLines/>
              <w:spacing w:before="40" w:after="40"/>
              <w:rPr>
                <w:rFonts w:eastAsia="Times New Roman" w:cs="Arial"/>
                <w:spacing w:val="-2"/>
                <w:sz w:val="14"/>
                <w:szCs w:val="14"/>
              </w:rPr>
            </w:pPr>
            <w:r w:rsidRPr="008F33B1">
              <w:rPr>
                <w:rFonts w:cs="Arial"/>
                <w:sz w:val="14"/>
                <w:szCs w:val="14"/>
              </w:rPr>
              <w:t>Non-current liabilities</w:t>
            </w:r>
          </w:p>
        </w:tc>
        <w:tc>
          <w:tcPr>
            <w:tcW w:w="1134" w:type="dxa"/>
            <w:tcBorders>
              <w:top w:val="nil"/>
              <w:left w:val="nil"/>
              <w:bottom w:val="nil"/>
              <w:right w:val="nil"/>
            </w:tcBorders>
            <w:shd w:val="clear" w:color="auto" w:fill="auto"/>
            <w:vAlign w:val="center"/>
          </w:tcPr>
          <w:p w14:paraId="58BC1676"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rPr>
            </w:pPr>
            <w:r w:rsidRPr="003E0F6E">
              <w:rPr>
                <w:rFonts w:cs="Arial"/>
                <w:b/>
                <w:bCs/>
                <w:sz w:val="14"/>
                <w:szCs w:val="14"/>
              </w:rPr>
              <w:t xml:space="preserve">  259</w:t>
            </w:r>
            <w:r>
              <w:rPr>
                <w:rFonts w:cs="Arial"/>
                <w:b/>
                <w:bCs/>
                <w:sz w:val="14"/>
                <w:szCs w:val="14"/>
              </w:rPr>
              <w:t>,</w:t>
            </w:r>
            <w:r w:rsidRPr="003E0F6E">
              <w:rPr>
                <w:rFonts w:cs="Arial"/>
                <w:b/>
                <w:bCs/>
                <w:sz w:val="14"/>
                <w:szCs w:val="14"/>
              </w:rPr>
              <w:t xml:space="preserve">779 </w:t>
            </w:r>
          </w:p>
        </w:tc>
        <w:tc>
          <w:tcPr>
            <w:tcW w:w="1134" w:type="dxa"/>
            <w:tcBorders>
              <w:top w:val="nil"/>
              <w:left w:val="nil"/>
              <w:bottom w:val="nil"/>
              <w:right w:val="nil"/>
            </w:tcBorders>
            <w:shd w:val="clear" w:color="auto" w:fill="auto"/>
            <w:vAlign w:val="center"/>
          </w:tcPr>
          <w:p w14:paraId="42B6965E"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7</w:t>
            </w:r>
            <w:r>
              <w:rPr>
                <w:rFonts w:cs="Arial"/>
                <w:b/>
                <w:bCs/>
                <w:sz w:val="14"/>
                <w:szCs w:val="14"/>
              </w:rPr>
              <w:t>,</w:t>
            </w:r>
            <w:r w:rsidRPr="003E0F6E">
              <w:rPr>
                <w:rFonts w:cs="Arial"/>
                <w:b/>
                <w:bCs/>
                <w:sz w:val="14"/>
                <w:szCs w:val="14"/>
              </w:rPr>
              <w:t>152</w:t>
            </w:r>
            <w:r>
              <w:rPr>
                <w:rFonts w:cs="Arial"/>
                <w:b/>
                <w:bCs/>
                <w:sz w:val="14"/>
                <w:szCs w:val="14"/>
              </w:rPr>
              <w:t>,</w:t>
            </w:r>
            <w:r w:rsidRPr="003E0F6E">
              <w:rPr>
                <w:rFonts w:cs="Arial"/>
                <w:b/>
                <w:bCs/>
                <w:sz w:val="14"/>
                <w:szCs w:val="14"/>
              </w:rPr>
              <w:t xml:space="preserve">726 </w:t>
            </w:r>
          </w:p>
        </w:tc>
        <w:tc>
          <w:tcPr>
            <w:tcW w:w="1134" w:type="dxa"/>
            <w:tcBorders>
              <w:top w:val="nil"/>
              <w:left w:val="nil"/>
              <w:bottom w:val="nil"/>
              <w:right w:val="nil"/>
            </w:tcBorders>
            <w:shd w:val="clear" w:color="auto" w:fill="auto"/>
            <w:vAlign w:val="center"/>
          </w:tcPr>
          <w:p w14:paraId="71B36465"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 </w:t>
            </w:r>
          </w:p>
        </w:tc>
        <w:tc>
          <w:tcPr>
            <w:tcW w:w="284" w:type="dxa"/>
            <w:tcBorders>
              <w:top w:val="nil"/>
              <w:left w:val="nil"/>
              <w:bottom w:val="nil"/>
              <w:right w:val="nil"/>
            </w:tcBorders>
            <w:shd w:val="clear" w:color="auto" w:fill="auto"/>
            <w:vAlign w:val="center"/>
          </w:tcPr>
          <w:p w14:paraId="0A1F6524"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228" w:type="dxa"/>
            <w:tcBorders>
              <w:top w:val="nil"/>
              <w:left w:val="nil"/>
              <w:bottom w:val="nil"/>
              <w:right w:val="nil"/>
            </w:tcBorders>
            <w:shd w:val="clear" w:color="auto" w:fill="auto"/>
            <w:vAlign w:val="center"/>
          </w:tcPr>
          <w:p w14:paraId="7177BFA9"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F33B1">
              <w:rPr>
                <w:rFonts w:cs="Arial"/>
                <w:b/>
                <w:bCs/>
                <w:sz w:val="14"/>
                <w:szCs w:val="14"/>
              </w:rPr>
              <w:t>182,644</w:t>
            </w:r>
          </w:p>
        </w:tc>
        <w:tc>
          <w:tcPr>
            <w:tcW w:w="1228" w:type="dxa"/>
            <w:tcBorders>
              <w:top w:val="nil"/>
              <w:left w:val="nil"/>
              <w:bottom w:val="nil"/>
              <w:right w:val="nil"/>
            </w:tcBorders>
            <w:shd w:val="clear" w:color="auto" w:fill="auto"/>
            <w:vAlign w:val="center"/>
          </w:tcPr>
          <w:p w14:paraId="1A00AF55"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F33B1">
              <w:rPr>
                <w:rFonts w:cs="Arial"/>
                <w:b/>
                <w:bCs/>
                <w:sz w:val="14"/>
                <w:szCs w:val="14"/>
              </w:rPr>
              <w:t>6,474,298</w:t>
            </w:r>
          </w:p>
        </w:tc>
        <w:tc>
          <w:tcPr>
            <w:tcW w:w="1228" w:type="dxa"/>
            <w:tcBorders>
              <w:top w:val="nil"/>
              <w:left w:val="nil"/>
              <w:bottom w:val="nil"/>
              <w:right w:val="nil"/>
            </w:tcBorders>
            <w:shd w:val="clear" w:color="auto" w:fill="auto"/>
            <w:vAlign w:val="center"/>
          </w:tcPr>
          <w:p w14:paraId="275309F3" w14:textId="77777777" w:rsidR="005357C6" w:rsidRPr="008F33B1"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8F33B1">
              <w:rPr>
                <w:rFonts w:cs="Arial"/>
                <w:b/>
                <w:bCs/>
                <w:sz w:val="14"/>
                <w:szCs w:val="14"/>
              </w:rPr>
              <w:t>--</w:t>
            </w:r>
          </w:p>
        </w:tc>
      </w:tr>
      <w:tr w:rsidR="005357C6" w:rsidRPr="00D44604" w14:paraId="7F34BFF2" w14:textId="77777777" w:rsidTr="00FE639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2F95C4B4" w14:textId="77777777" w:rsidR="005357C6" w:rsidRPr="00D44604" w:rsidRDefault="005357C6" w:rsidP="00475564">
            <w:pPr>
              <w:keepNext/>
              <w:keepLines/>
              <w:spacing w:before="40" w:after="40"/>
              <w:ind w:left="113"/>
              <w:rPr>
                <w:rFonts w:eastAsia="Times New Roman" w:cs="Arial"/>
                <w:b w:val="0"/>
                <w:spacing w:val="-2"/>
                <w:sz w:val="14"/>
                <w:szCs w:val="14"/>
              </w:rPr>
            </w:pPr>
            <w:r w:rsidRPr="00D44604">
              <w:rPr>
                <w:rFonts w:cs="Arial"/>
                <w:b w:val="0"/>
                <w:sz w:val="14"/>
                <w:szCs w:val="14"/>
              </w:rPr>
              <w:t>Financial liabilities</w:t>
            </w:r>
          </w:p>
        </w:tc>
        <w:tc>
          <w:tcPr>
            <w:tcW w:w="1134" w:type="dxa"/>
            <w:tcBorders>
              <w:top w:val="nil"/>
              <w:left w:val="nil"/>
              <w:bottom w:val="nil"/>
              <w:right w:val="nil"/>
            </w:tcBorders>
            <w:shd w:val="clear" w:color="auto" w:fill="auto"/>
            <w:vAlign w:val="center"/>
          </w:tcPr>
          <w:p w14:paraId="1FA7F639"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92 </w:t>
            </w:r>
          </w:p>
        </w:tc>
        <w:tc>
          <w:tcPr>
            <w:tcW w:w="1134" w:type="dxa"/>
            <w:tcBorders>
              <w:top w:val="nil"/>
              <w:left w:val="nil"/>
              <w:bottom w:val="nil"/>
              <w:right w:val="nil"/>
            </w:tcBorders>
            <w:shd w:val="clear" w:color="auto" w:fill="auto"/>
            <w:vAlign w:val="center"/>
          </w:tcPr>
          <w:p w14:paraId="099DB177"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1134" w:type="dxa"/>
            <w:tcBorders>
              <w:top w:val="nil"/>
              <w:left w:val="nil"/>
              <w:bottom w:val="nil"/>
              <w:right w:val="nil"/>
            </w:tcBorders>
            <w:shd w:val="clear" w:color="auto" w:fill="auto"/>
            <w:vAlign w:val="center"/>
          </w:tcPr>
          <w:p w14:paraId="01ADE406"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071159BA"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3FABFA1B"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55</w:t>
            </w:r>
          </w:p>
        </w:tc>
        <w:tc>
          <w:tcPr>
            <w:tcW w:w="1228" w:type="dxa"/>
            <w:tcBorders>
              <w:top w:val="nil"/>
              <w:left w:val="nil"/>
              <w:bottom w:val="nil"/>
              <w:right w:val="nil"/>
            </w:tcBorders>
            <w:shd w:val="clear" w:color="auto" w:fill="auto"/>
            <w:vAlign w:val="center"/>
          </w:tcPr>
          <w:p w14:paraId="43A6BDDB"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w:t>
            </w:r>
          </w:p>
        </w:tc>
        <w:tc>
          <w:tcPr>
            <w:tcW w:w="1228" w:type="dxa"/>
            <w:tcBorders>
              <w:top w:val="nil"/>
              <w:left w:val="nil"/>
              <w:bottom w:val="nil"/>
              <w:right w:val="nil"/>
            </w:tcBorders>
            <w:shd w:val="clear" w:color="auto" w:fill="auto"/>
            <w:vAlign w:val="center"/>
          </w:tcPr>
          <w:p w14:paraId="6ECE663A"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w:t>
            </w:r>
          </w:p>
        </w:tc>
      </w:tr>
      <w:tr w:rsidR="005357C6" w:rsidRPr="00D44604" w14:paraId="6CC2E6CC" w14:textId="77777777" w:rsidTr="00FE639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25B490F1" w14:textId="77777777" w:rsidR="005357C6" w:rsidRPr="00D44604" w:rsidRDefault="005357C6" w:rsidP="00475564">
            <w:pPr>
              <w:keepNext/>
              <w:keepLines/>
              <w:spacing w:before="40" w:after="40"/>
              <w:ind w:left="113"/>
              <w:rPr>
                <w:rFonts w:eastAsia="Times New Roman" w:cs="Arial"/>
                <w:b w:val="0"/>
                <w:spacing w:val="-2"/>
                <w:sz w:val="14"/>
                <w:szCs w:val="14"/>
              </w:rPr>
            </w:pPr>
            <w:r w:rsidRPr="00D44604">
              <w:rPr>
                <w:rFonts w:cs="Arial"/>
                <w:b w:val="0"/>
                <w:sz w:val="14"/>
                <w:szCs w:val="14"/>
              </w:rPr>
              <w:t>Technical provisions</w:t>
            </w:r>
          </w:p>
        </w:tc>
        <w:tc>
          <w:tcPr>
            <w:tcW w:w="1134" w:type="dxa"/>
            <w:tcBorders>
              <w:top w:val="nil"/>
              <w:left w:val="nil"/>
              <w:bottom w:val="nil"/>
              <w:right w:val="nil"/>
            </w:tcBorders>
            <w:shd w:val="clear" w:color="auto" w:fill="auto"/>
            <w:vAlign w:val="center"/>
          </w:tcPr>
          <w:p w14:paraId="1B2921EE"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3E0F6E">
              <w:rPr>
                <w:rFonts w:cs="Arial"/>
                <w:sz w:val="14"/>
                <w:szCs w:val="14"/>
              </w:rPr>
              <w:t xml:space="preserve">  215</w:t>
            </w:r>
            <w:r>
              <w:rPr>
                <w:rFonts w:cs="Arial"/>
                <w:sz w:val="14"/>
                <w:szCs w:val="14"/>
              </w:rPr>
              <w:t>,</w:t>
            </w:r>
            <w:r w:rsidRPr="003E0F6E">
              <w:rPr>
                <w:rFonts w:cs="Arial"/>
                <w:sz w:val="14"/>
                <w:szCs w:val="14"/>
              </w:rPr>
              <w:t xml:space="preserve">246 </w:t>
            </w:r>
          </w:p>
        </w:tc>
        <w:tc>
          <w:tcPr>
            <w:tcW w:w="1134" w:type="dxa"/>
            <w:tcBorders>
              <w:top w:val="nil"/>
              <w:left w:val="nil"/>
              <w:bottom w:val="nil"/>
              <w:right w:val="nil"/>
            </w:tcBorders>
            <w:shd w:val="clear" w:color="auto" w:fill="auto"/>
            <w:vAlign w:val="center"/>
          </w:tcPr>
          <w:p w14:paraId="140759AA"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6</w:t>
            </w:r>
            <w:r>
              <w:rPr>
                <w:rFonts w:cs="Arial"/>
                <w:sz w:val="14"/>
                <w:szCs w:val="14"/>
              </w:rPr>
              <w:t>,</w:t>
            </w:r>
            <w:r w:rsidRPr="003E0F6E">
              <w:rPr>
                <w:rFonts w:cs="Arial"/>
                <w:sz w:val="14"/>
                <w:szCs w:val="14"/>
              </w:rPr>
              <w:t>149</w:t>
            </w:r>
            <w:r>
              <w:rPr>
                <w:rFonts w:cs="Arial"/>
                <w:sz w:val="14"/>
                <w:szCs w:val="14"/>
              </w:rPr>
              <w:t>,</w:t>
            </w:r>
            <w:r w:rsidRPr="003E0F6E">
              <w:rPr>
                <w:rFonts w:cs="Arial"/>
                <w:sz w:val="14"/>
                <w:szCs w:val="14"/>
              </w:rPr>
              <w:t xml:space="preserve">030 </w:t>
            </w:r>
          </w:p>
        </w:tc>
        <w:tc>
          <w:tcPr>
            <w:tcW w:w="1134" w:type="dxa"/>
            <w:tcBorders>
              <w:top w:val="nil"/>
              <w:left w:val="nil"/>
              <w:bottom w:val="nil"/>
              <w:right w:val="nil"/>
            </w:tcBorders>
            <w:shd w:val="clear" w:color="auto" w:fill="auto"/>
            <w:vAlign w:val="center"/>
          </w:tcPr>
          <w:p w14:paraId="79079D0E"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34211B2C"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751C2ED6"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143,747</w:t>
            </w:r>
          </w:p>
        </w:tc>
        <w:tc>
          <w:tcPr>
            <w:tcW w:w="1228" w:type="dxa"/>
            <w:tcBorders>
              <w:top w:val="nil"/>
              <w:left w:val="nil"/>
              <w:bottom w:val="nil"/>
              <w:right w:val="nil"/>
            </w:tcBorders>
            <w:shd w:val="clear" w:color="auto" w:fill="auto"/>
            <w:vAlign w:val="center"/>
          </w:tcPr>
          <w:p w14:paraId="553DCF5D"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5,519,572</w:t>
            </w:r>
          </w:p>
        </w:tc>
        <w:tc>
          <w:tcPr>
            <w:tcW w:w="1228" w:type="dxa"/>
            <w:tcBorders>
              <w:top w:val="nil"/>
              <w:left w:val="nil"/>
              <w:bottom w:val="nil"/>
              <w:right w:val="nil"/>
            </w:tcBorders>
            <w:shd w:val="clear" w:color="auto" w:fill="auto"/>
            <w:vAlign w:val="center"/>
          </w:tcPr>
          <w:p w14:paraId="3F48F3EF"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w:t>
            </w:r>
          </w:p>
        </w:tc>
      </w:tr>
      <w:tr w:rsidR="005357C6" w:rsidRPr="00D44604" w14:paraId="3E9B1D1B" w14:textId="77777777" w:rsidTr="00FE639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0C1D0B2F" w14:textId="77777777" w:rsidR="005357C6" w:rsidRPr="00D44604" w:rsidRDefault="005357C6" w:rsidP="00475564">
            <w:pPr>
              <w:keepNext/>
              <w:keepLines/>
              <w:spacing w:before="40" w:after="40"/>
              <w:ind w:left="113"/>
              <w:rPr>
                <w:rFonts w:eastAsia="Times New Roman" w:cs="Arial"/>
                <w:b w:val="0"/>
                <w:spacing w:val="-2"/>
                <w:sz w:val="14"/>
                <w:szCs w:val="14"/>
              </w:rPr>
            </w:pPr>
            <w:r w:rsidRPr="00D44604">
              <w:rPr>
                <w:rFonts w:cs="Arial"/>
                <w:b w:val="0"/>
                <w:sz w:val="14"/>
                <w:szCs w:val="14"/>
              </w:rPr>
              <w:t>Other non-current liabilities</w:t>
            </w:r>
          </w:p>
        </w:tc>
        <w:tc>
          <w:tcPr>
            <w:tcW w:w="1134" w:type="dxa"/>
            <w:tcBorders>
              <w:top w:val="nil"/>
              <w:left w:val="nil"/>
              <w:bottom w:val="nil"/>
              <w:right w:val="nil"/>
            </w:tcBorders>
            <w:shd w:val="clear" w:color="auto" w:fill="auto"/>
            <w:vAlign w:val="center"/>
          </w:tcPr>
          <w:p w14:paraId="5142D347"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44</w:t>
            </w:r>
            <w:r>
              <w:rPr>
                <w:rFonts w:cs="Arial"/>
                <w:sz w:val="14"/>
                <w:szCs w:val="14"/>
              </w:rPr>
              <w:t>,</w:t>
            </w:r>
            <w:r w:rsidRPr="003E0F6E">
              <w:rPr>
                <w:rFonts w:cs="Arial"/>
                <w:sz w:val="14"/>
                <w:szCs w:val="14"/>
              </w:rPr>
              <w:t xml:space="preserve">441 </w:t>
            </w:r>
          </w:p>
        </w:tc>
        <w:tc>
          <w:tcPr>
            <w:tcW w:w="1134" w:type="dxa"/>
            <w:tcBorders>
              <w:top w:val="nil"/>
              <w:left w:val="nil"/>
              <w:bottom w:val="nil"/>
              <w:right w:val="nil"/>
            </w:tcBorders>
            <w:shd w:val="clear" w:color="auto" w:fill="auto"/>
            <w:vAlign w:val="center"/>
          </w:tcPr>
          <w:p w14:paraId="0BB03665"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1</w:t>
            </w:r>
            <w:r>
              <w:rPr>
                <w:rFonts w:cs="Arial"/>
                <w:sz w:val="14"/>
                <w:szCs w:val="14"/>
              </w:rPr>
              <w:t>,</w:t>
            </w:r>
            <w:r w:rsidRPr="003E0F6E">
              <w:rPr>
                <w:rFonts w:cs="Arial"/>
                <w:sz w:val="14"/>
                <w:szCs w:val="14"/>
              </w:rPr>
              <w:t>003</w:t>
            </w:r>
            <w:r>
              <w:rPr>
                <w:rFonts w:cs="Arial"/>
                <w:sz w:val="14"/>
                <w:szCs w:val="14"/>
              </w:rPr>
              <w:t>,</w:t>
            </w:r>
            <w:r w:rsidRPr="003E0F6E">
              <w:rPr>
                <w:rFonts w:cs="Arial"/>
                <w:sz w:val="14"/>
                <w:szCs w:val="14"/>
              </w:rPr>
              <w:t xml:space="preserve">696 </w:t>
            </w:r>
          </w:p>
        </w:tc>
        <w:tc>
          <w:tcPr>
            <w:tcW w:w="1134" w:type="dxa"/>
            <w:tcBorders>
              <w:top w:val="nil"/>
              <w:left w:val="nil"/>
              <w:bottom w:val="nil"/>
              <w:right w:val="nil"/>
            </w:tcBorders>
            <w:shd w:val="clear" w:color="auto" w:fill="auto"/>
            <w:vAlign w:val="center"/>
          </w:tcPr>
          <w:p w14:paraId="02236DE1"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243AF229"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0468C2D3"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38,842</w:t>
            </w:r>
          </w:p>
        </w:tc>
        <w:tc>
          <w:tcPr>
            <w:tcW w:w="1228" w:type="dxa"/>
            <w:tcBorders>
              <w:top w:val="nil"/>
              <w:left w:val="nil"/>
              <w:bottom w:val="nil"/>
              <w:right w:val="nil"/>
            </w:tcBorders>
            <w:shd w:val="clear" w:color="auto" w:fill="auto"/>
            <w:vAlign w:val="center"/>
          </w:tcPr>
          <w:p w14:paraId="4206DE69"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954,726</w:t>
            </w:r>
          </w:p>
        </w:tc>
        <w:tc>
          <w:tcPr>
            <w:tcW w:w="1228" w:type="dxa"/>
            <w:tcBorders>
              <w:top w:val="nil"/>
              <w:left w:val="nil"/>
              <w:bottom w:val="nil"/>
              <w:right w:val="nil"/>
            </w:tcBorders>
            <w:shd w:val="clear" w:color="auto" w:fill="auto"/>
            <w:vAlign w:val="center"/>
          </w:tcPr>
          <w:p w14:paraId="1C8F401B" w14:textId="77777777" w:rsidR="005357C6" w:rsidRPr="00D4460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w:t>
            </w:r>
          </w:p>
        </w:tc>
      </w:tr>
      <w:tr w:rsidR="005357C6" w:rsidRPr="00475564" w14:paraId="36FB3889" w14:textId="77777777" w:rsidTr="00FE639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5FB871B8" w14:textId="77777777" w:rsidR="005357C6" w:rsidRPr="00475564" w:rsidRDefault="005357C6" w:rsidP="00475564">
            <w:pPr>
              <w:keepNext/>
              <w:keepLines/>
              <w:spacing w:before="40" w:after="40"/>
              <w:rPr>
                <w:rFonts w:eastAsia="Times New Roman" w:cs="Arial"/>
                <w:spacing w:val="-2"/>
                <w:sz w:val="14"/>
                <w:szCs w:val="14"/>
              </w:rPr>
            </w:pPr>
            <w:r w:rsidRPr="00475564">
              <w:rPr>
                <w:rFonts w:cs="Arial"/>
                <w:sz w:val="14"/>
                <w:szCs w:val="14"/>
              </w:rPr>
              <w:t>Net worth</w:t>
            </w:r>
          </w:p>
        </w:tc>
        <w:tc>
          <w:tcPr>
            <w:tcW w:w="1134" w:type="dxa"/>
            <w:tcBorders>
              <w:top w:val="nil"/>
              <w:left w:val="nil"/>
              <w:bottom w:val="nil"/>
              <w:right w:val="nil"/>
            </w:tcBorders>
            <w:shd w:val="clear" w:color="auto" w:fill="auto"/>
            <w:vAlign w:val="center"/>
          </w:tcPr>
          <w:p w14:paraId="41EF82AD" w14:textId="77777777" w:rsidR="005357C6" w:rsidRPr="0047556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rPr>
            </w:pPr>
            <w:r w:rsidRPr="00475564">
              <w:rPr>
                <w:rFonts w:cs="Arial"/>
                <w:b/>
                <w:bCs/>
                <w:sz w:val="14"/>
                <w:szCs w:val="14"/>
              </w:rPr>
              <w:t xml:space="preserve">  242,527 </w:t>
            </w:r>
          </w:p>
        </w:tc>
        <w:tc>
          <w:tcPr>
            <w:tcW w:w="1134" w:type="dxa"/>
            <w:tcBorders>
              <w:top w:val="nil"/>
              <w:left w:val="nil"/>
              <w:bottom w:val="nil"/>
              <w:right w:val="nil"/>
            </w:tcBorders>
            <w:shd w:val="clear" w:color="auto" w:fill="auto"/>
            <w:vAlign w:val="center"/>
          </w:tcPr>
          <w:p w14:paraId="1C74F0BB" w14:textId="77777777" w:rsidR="005357C6" w:rsidRPr="0047556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475564">
              <w:rPr>
                <w:rFonts w:cs="Arial"/>
                <w:b/>
                <w:bCs/>
                <w:sz w:val="14"/>
                <w:szCs w:val="14"/>
              </w:rPr>
              <w:t xml:space="preserve">  1,957,350 </w:t>
            </w:r>
          </w:p>
        </w:tc>
        <w:tc>
          <w:tcPr>
            <w:tcW w:w="1134" w:type="dxa"/>
            <w:tcBorders>
              <w:top w:val="nil"/>
              <w:left w:val="nil"/>
              <w:bottom w:val="nil"/>
              <w:right w:val="nil"/>
            </w:tcBorders>
            <w:shd w:val="clear" w:color="auto" w:fill="auto"/>
            <w:vAlign w:val="center"/>
          </w:tcPr>
          <w:p w14:paraId="4D43ED28" w14:textId="77777777" w:rsidR="005357C6" w:rsidRPr="0047556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475564">
              <w:rPr>
                <w:rFonts w:cs="Arial"/>
                <w:b/>
                <w:bCs/>
                <w:sz w:val="14"/>
                <w:szCs w:val="14"/>
              </w:rPr>
              <w:t xml:space="preserve">  2,588,425 </w:t>
            </w:r>
          </w:p>
        </w:tc>
        <w:tc>
          <w:tcPr>
            <w:tcW w:w="284" w:type="dxa"/>
            <w:tcBorders>
              <w:top w:val="nil"/>
              <w:left w:val="nil"/>
              <w:bottom w:val="nil"/>
              <w:right w:val="nil"/>
            </w:tcBorders>
            <w:shd w:val="clear" w:color="auto" w:fill="auto"/>
            <w:vAlign w:val="center"/>
          </w:tcPr>
          <w:p w14:paraId="41EDEC5A" w14:textId="77777777" w:rsidR="005357C6" w:rsidRPr="0047556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228" w:type="dxa"/>
            <w:tcBorders>
              <w:top w:val="nil"/>
              <w:left w:val="nil"/>
              <w:bottom w:val="nil"/>
              <w:right w:val="nil"/>
            </w:tcBorders>
            <w:shd w:val="clear" w:color="auto" w:fill="auto"/>
            <w:vAlign w:val="center"/>
          </w:tcPr>
          <w:p w14:paraId="5F9103D9" w14:textId="77777777" w:rsidR="005357C6" w:rsidRPr="0047556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475564">
              <w:rPr>
                <w:rFonts w:cs="Arial"/>
                <w:b/>
                <w:bCs/>
                <w:sz w:val="14"/>
                <w:szCs w:val="14"/>
              </w:rPr>
              <w:t>208,192</w:t>
            </w:r>
          </w:p>
        </w:tc>
        <w:tc>
          <w:tcPr>
            <w:tcW w:w="1228" w:type="dxa"/>
            <w:tcBorders>
              <w:top w:val="nil"/>
              <w:left w:val="nil"/>
              <w:bottom w:val="nil"/>
              <w:right w:val="nil"/>
            </w:tcBorders>
            <w:shd w:val="clear" w:color="auto" w:fill="auto"/>
            <w:vAlign w:val="center"/>
          </w:tcPr>
          <w:p w14:paraId="594D7CCA" w14:textId="77777777" w:rsidR="005357C6" w:rsidRPr="0047556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475564">
              <w:rPr>
                <w:rFonts w:cs="Arial"/>
                <w:b/>
                <w:bCs/>
                <w:sz w:val="14"/>
                <w:szCs w:val="14"/>
              </w:rPr>
              <w:t>1,673,396</w:t>
            </w:r>
          </w:p>
        </w:tc>
        <w:tc>
          <w:tcPr>
            <w:tcW w:w="1228" w:type="dxa"/>
            <w:tcBorders>
              <w:top w:val="nil"/>
              <w:left w:val="nil"/>
              <w:bottom w:val="nil"/>
              <w:right w:val="nil"/>
            </w:tcBorders>
            <w:shd w:val="clear" w:color="auto" w:fill="auto"/>
            <w:vAlign w:val="center"/>
          </w:tcPr>
          <w:p w14:paraId="0CB92CE0" w14:textId="77777777" w:rsidR="005357C6" w:rsidRPr="0047556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475564">
              <w:rPr>
                <w:rFonts w:cs="Arial"/>
                <w:b/>
                <w:bCs/>
                <w:sz w:val="14"/>
                <w:szCs w:val="14"/>
              </w:rPr>
              <w:t>2,436,424</w:t>
            </w:r>
          </w:p>
        </w:tc>
      </w:tr>
      <w:tr w:rsidR="005357C6" w:rsidRPr="00475564" w14:paraId="1FDEC65A" w14:textId="77777777" w:rsidTr="004939A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5EB4AB39" w14:textId="77777777" w:rsidR="005357C6" w:rsidRPr="00475564" w:rsidRDefault="005357C6" w:rsidP="00475564">
            <w:pPr>
              <w:keepNext/>
              <w:keepLines/>
              <w:spacing w:before="40" w:after="40"/>
              <w:rPr>
                <w:rFonts w:eastAsia="Times New Roman" w:cs="Arial"/>
                <w:spacing w:val="-2"/>
                <w:sz w:val="14"/>
                <w:szCs w:val="14"/>
              </w:rPr>
            </w:pPr>
            <w:r w:rsidRPr="00475564">
              <w:rPr>
                <w:rFonts w:eastAsia="Times New Roman" w:cs="Arial"/>
                <w:color w:val="000000"/>
                <w:spacing w:val="-2"/>
                <w:sz w:val="14"/>
                <w:szCs w:val="14"/>
                <w:lang w:eastAsia="pt-BR"/>
              </w:rPr>
              <w:t>Attributable to BB Seguridade</w:t>
            </w:r>
          </w:p>
        </w:tc>
        <w:tc>
          <w:tcPr>
            <w:tcW w:w="1134" w:type="dxa"/>
            <w:tcBorders>
              <w:top w:val="nil"/>
              <w:left w:val="nil"/>
              <w:bottom w:val="nil"/>
              <w:right w:val="nil"/>
            </w:tcBorders>
            <w:shd w:val="clear" w:color="auto" w:fill="auto"/>
          </w:tcPr>
          <w:p w14:paraId="5419802C"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rPr>
            </w:pPr>
            <w:r w:rsidRPr="00475564">
              <w:rPr>
                <w:rFonts w:cs="Arial"/>
                <w:b/>
                <w:bCs/>
                <w:sz w:val="14"/>
                <w:szCs w:val="14"/>
              </w:rPr>
              <w:t xml:space="preserve"> 181,871 </w:t>
            </w:r>
          </w:p>
        </w:tc>
        <w:tc>
          <w:tcPr>
            <w:tcW w:w="1134" w:type="dxa"/>
            <w:tcBorders>
              <w:top w:val="nil"/>
              <w:left w:val="nil"/>
              <w:bottom w:val="nil"/>
              <w:right w:val="nil"/>
            </w:tcBorders>
            <w:shd w:val="clear" w:color="auto" w:fill="auto"/>
          </w:tcPr>
          <w:p w14:paraId="71570959"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75564">
              <w:rPr>
                <w:rFonts w:cs="Arial"/>
                <w:b/>
                <w:bCs/>
                <w:sz w:val="14"/>
                <w:szCs w:val="14"/>
              </w:rPr>
              <w:t xml:space="preserve"> 1,467,817 </w:t>
            </w:r>
          </w:p>
        </w:tc>
        <w:tc>
          <w:tcPr>
            <w:tcW w:w="1134" w:type="dxa"/>
            <w:tcBorders>
              <w:top w:val="nil"/>
              <w:left w:val="nil"/>
              <w:bottom w:val="nil"/>
              <w:right w:val="nil"/>
            </w:tcBorders>
            <w:shd w:val="clear" w:color="auto" w:fill="auto"/>
          </w:tcPr>
          <w:p w14:paraId="330E94B8"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75564">
              <w:rPr>
                <w:rFonts w:cs="Arial"/>
                <w:b/>
                <w:bCs/>
                <w:sz w:val="14"/>
                <w:szCs w:val="14"/>
              </w:rPr>
              <w:t xml:space="preserve"> 1,941,060 </w:t>
            </w:r>
          </w:p>
        </w:tc>
        <w:tc>
          <w:tcPr>
            <w:tcW w:w="284" w:type="dxa"/>
            <w:tcBorders>
              <w:top w:val="nil"/>
              <w:left w:val="nil"/>
              <w:bottom w:val="nil"/>
              <w:right w:val="nil"/>
            </w:tcBorders>
            <w:shd w:val="clear" w:color="auto" w:fill="auto"/>
            <w:vAlign w:val="center"/>
          </w:tcPr>
          <w:p w14:paraId="516C1436"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p>
        </w:tc>
        <w:tc>
          <w:tcPr>
            <w:tcW w:w="1228" w:type="dxa"/>
            <w:tcBorders>
              <w:top w:val="nil"/>
              <w:left w:val="nil"/>
              <w:bottom w:val="nil"/>
              <w:right w:val="nil"/>
            </w:tcBorders>
            <w:shd w:val="clear" w:color="auto" w:fill="auto"/>
            <w:vAlign w:val="center"/>
          </w:tcPr>
          <w:p w14:paraId="3A502C64"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75564">
              <w:rPr>
                <w:rFonts w:cs="Arial"/>
                <w:b/>
                <w:bCs/>
                <w:sz w:val="14"/>
                <w:szCs w:val="14"/>
              </w:rPr>
              <w:t>156,123</w:t>
            </w:r>
          </w:p>
        </w:tc>
        <w:tc>
          <w:tcPr>
            <w:tcW w:w="1228" w:type="dxa"/>
            <w:tcBorders>
              <w:top w:val="nil"/>
              <w:left w:val="nil"/>
              <w:bottom w:val="nil"/>
              <w:right w:val="nil"/>
            </w:tcBorders>
            <w:shd w:val="clear" w:color="auto" w:fill="auto"/>
            <w:vAlign w:val="center"/>
          </w:tcPr>
          <w:p w14:paraId="30C3CAD3"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75564">
              <w:rPr>
                <w:rFonts w:cs="Arial"/>
                <w:b/>
                <w:bCs/>
                <w:sz w:val="14"/>
                <w:szCs w:val="14"/>
              </w:rPr>
              <w:t>1,254,880</w:t>
            </w:r>
          </w:p>
        </w:tc>
        <w:tc>
          <w:tcPr>
            <w:tcW w:w="1228" w:type="dxa"/>
            <w:tcBorders>
              <w:top w:val="nil"/>
              <w:left w:val="nil"/>
              <w:bottom w:val="nil"/>
              <w:right w:val="nil"/>
            </w:tcBorders>
            <w:shd w:val="clear" w:color="auto" w:fill="auto"/>
            <w:vAlign w:val="center"/>
          </w:tcPr>
          <w:p w14:paraId="6248D9F7"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75564">
              <w:rPr>
                <w:rFonts w:cs="Arial"/>
                <w:b/>
                <w:bCs/>
                <w:sz w:val="14"/>
                <w:szCs w:val="14"/>
              </w:rPr>
              <w:t>1,827,074</w:t>
            </w:r>
          </w:p>
        </w:tc>
      </w:tr>
      <w:tr w:rsidR="005357C6" w:rsidRPr="00D44604" w14:paraId="0E53137A" w14:textId="77777777" w:rsidTr="0012610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406C3A92" w14:textId="77777777" w:rsidR="005357C6" w:rsidRPr="00D44604" w:rsidRDefault="005357C6" w:rsidP="00475564">
            <w:pPr>
              <w:keepNext/>
              <w:keepLines/>
              <w:spacing w:before="40" w:after="40"/>
              <w:ind w:left="113"/>
              <w:rPr>
                <w:rFonts w:eastAsia="Times New Roman" w:cs="Arial"/>
                <w:b w:val="0"/>
                <w:spacing w:val="-2"/>
                <w:sz w:val="14"/>
                <w:szCs w:val="14"/>
              </w:rPr>
            </w:pPr>
            <w:r>
              <w:rPr>
                <w:rFonts w:cs="Arial"/>
                <w:b w:val="0"/>
                <w:sz w:val="14"/>
                <w:szCs w:val="14"/>
              </w:rPr>
              <w:t>I</w:t>
            </w:r>
            <w:r w:rsidRPr="00D44604">
              <w:rPr>
                <w:rFonts w:cs="Arial"/>
                <w:b w:val="0"/>
                <w:sz w:val="14"/>
                <w:szCs w:val="14"/>
              </w:rPr>
              <w:t xml:space="preserve">ntangible assets </w:t>
            </w:r>
            <w:r w:rsidRPr="00D44604">
              <w:rPr>
                <w:rFonts w:cs="Arial"/>
                <w:b w:val="0"/>
                <w:sz w:val="14"/>
                <w:szCs w:val="14"/>
                <w:vertAlign w:val="superscript"/>
              </w:rPr>
              <w:t>(1)</w:t>
            </w:r>
          </w:p>
        </w:tc>
        <w:tc>
          <w:tcPr>
            <w:tcW w:w="1134" w:type="dxa"/>
            <w:tcBorders>
              <w:top w:val="nil"/>
              <w:left w:val="nil"/>
              <w:bottom w:val="nil"/>
              <w:right w:val="nil"/>
            </w:tcBorders>
            <w:shd w:val="clear" w:color="auto" w:fill="auto"/>
            <w:vAlign w:val="center"/>
          </w:tcPr>
          <w:p w14:paraId="130FBEA5"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Pr>
                <w:rFonts w:eastAsia="Times New Roman" w:cs="Arial"/>
                <w:spacing w:val="-2"/>
                <w:sz w:val="14"/>
                <w:szCs w:val="14"/>
              </w:rPr>
              <w:t>--</w:t>
            </w:r>
          </w:p>
        </w:tc>
        <w:tc>
          <w:tcPr>
            <w:tcW w:w="1134" w:type="dxa"/>
            <w:tcBorders>
              <w:top w:val="nil"/>
              <w:left w:val="nil"/>
              <w:bottom w:val="nil"/>
              <w:right w:val="nil"/>
            </w:tcBorders>
            <w:shd w:val="clear" w:color="auto" w:fill="auto"/>
            <w:vAlign w:val="center"/>
          </w:tcPr>
          <w:p w14:paraId="5E117DFB"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w:t>
            </w:r>
          </w:p>
        </w:tc>
        <w:tc>
          <w:tcPr>
            <w:tcW w:w="1134" w:type="dxa"/>
            <w:tcBorders>
              <w:top w:val="nil"/>
              <w:left w:val="nil"/>
              <w:bottom w:val="nil"/>
              <w:right w:val="nil"/>
            </w:tcBorders>
            <w:shd w:val="clear" w:color="auto" w:fill="auto"/>
            <w:vAlign w:val="center"/>
          </w:tcPr>
          <w:p w14:paraId="601AEF4E"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495</w:t>
            </w:r>
            <w:r>
              <w:rPr>
                <w:rFonts w:cs="Arial"/>
                <w:sz w:val="14"/>
                <w:szCs w:val="14"/>
              </w:rPr>
              <w:t>,</w:t>
            </w:r>
            <w:r w:rsidRPr="003E0F6E">
              <w:rPr>
                <w:rFonts w:cs="Arial"/>
                <w:sz w:val="14"/>
                <w:szCs w:val="14"/>
              </w:rPr>
              <w:t>285</w:t>
            </w:r>
          </w:p>
        </w:tc>
        <w:tc>
          <w:tcPr>
            <w:tcW w:w="284" w:type="dxa"/>
            <w:tcBorders>
              <w:top w:val="nil"/>
              <w:left w:val="nil"/>
              <w:bottom w:val="nil"/>
              <w:right w:val="nil"/>
            </w:tcBorders>
            <w:shd w:val="clear" w:color="auto" w:fill="auto"/>
            <w:vAlign w:val="center"/>
          </w:tcPr>
          <w:p w14:paraId="045B7D79"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44E94148"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eastAsia="Times New Roman" w:cs="Arial"/>
                <w:spacing w:val="-2"/>
                <w:sz w:val="14"/>
                <w:szCs w:val="14"/>
              </w:rPr>
              <w:t>--</w:t>
            </w:r>
          </w:p>
        </w:tc>
        <w:tc>
          <w:tcPr>
            <w:tcW w:w="1228" w:type="dxa"/>
            <w:tcBorders>
              <w:top w:val="nil"/>
              <w:left w:val="nil"/>
              <w:bottom w:val="nil"/>
              <w:right w:val="nil"/>
            </w:tcBorders>
            <w:shd w:val="clear" w:color="auto" w:fill="auto"/>
            <w:vAlign w:val="center"/>
          </w:tcPr>
          <w:p w14:paraId="437A3515"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w:t>
            </w:r>
          </w:p>
        </w:tc>
        <w:tc>
          <w:tcPr>
            <w:tcW w:w="1228" w:type="dxa"/>
            <w:tcBorders>
              <w:top w:val="nil"/>
              <w:left w:val="nil"/>
              <w:bottom w:val="nil"/>
              <w:right w:val="nil"/>
            </w:tcBorders>
            <w:shd w:val="clear" w:color="auto" w:fill="auto"/>
            <w:vAlign w:val="center"/>
          </w:tcPr>
          <w:p w14:paraId="42533CDF" w14:textId="77777777" w:rsidR="005357C6" w:rsidRPr="00D44604" w:rsidRDefault="005357C6" w:rsidP="004755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510,012</w:t>
            </w:r>
          </w:p>
        </w:tc>
      </w:tr>
      <w:tr w:rsidR="005357C6" w:rsidRPr="00475564" w14:paraId="4C99F3C3" w14:textId="77777777" w:rsidTr="004939A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single" w:sz="2" w:space="0" w:color="1F4E79" w:themeColor="accent1" w:themeShade="80"/>
              <w:right w:val="nil"/>
            </w:tcBorders>
            <w:shd w:val="clear" w:color="auto" w:fill="auto"/>
            <w:vAlign w:val="center"/>
            <w:hideMark/>
          </w:tcPr>
          <w:p w14:paraId="241EE858" w14:textId="77777777" w:rsidR="005357C6" w:rsidRPr="00475564" w:rsidRDefault="005357C6" w:rsidP="00475564">
            <w:pPr>
              <w:keepNext/>
              <w:keepLines/>
              <w:spacing w:before="40" w:after="40"/>
              <w:rPr>
                <w:rFonts w:eastAsia="Times New Roman" w:cs="Arial"/>
                <w:spacing w:val="-2"/>
                <w:sz w:val="14"/>
                <w:szCs w:val="14"/>
              </w:rPr>
            </w:pPr>
            <w:r w:rsidRPr="00475564">
              <w:rPr>
                <w:rFonts w:cs="Arial"/>
                <w:sz w:val="14"/>
                <w:szCs w:val="14"/>
              </w:rPr>
              <w:t>Investment balance</w:t>
            </w:r>
          </w:p>
        </w:tc>
        <w:tc>
          <w:tcPr>
            <w:tcW w:w="1134" w:type="dxa"/>
            <w:tcBorders>
              <w:top w:val="nil"/>
              <w:left w:val="nil"/>
              <w:bottom w:val="single" w:sz="2" w:space="0" w:color="1F4E79" w:themeColor="accent1" w:themeShade="80"/>
              <w:right w:val="nil"/>
            </w:tcBorders>
            <w:shd w:val="clear" w:color="auto" w:fill="auto"/>
          </w:tcPr>
          <w:p w14:paraId="50C43436"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rPr>
            </w:pPr>
            <w:r w:rsidRPr="00475564">
              <w:rPr>
                <w:rFonts w:cs="Arial"/>
                <w:b/>
                <w:bCs/>
                <w:sz w:val="14"/>
                <w:szCs w:val="14"/>
              </w:rPr>
              <w:t xml:space="preserve"> 181,871 </w:t>
            </w:r>
          </w:p>
        </w:tc>
        <w:tc>
          <w:tcPr>
            <w:tcW w:w="1134" w:type="dxa"/>
            <w:tcBorders>
              <w:top w:val="nil"/>
              <w:left w:val="nil"/>
              <w:bottom w:val="single" w:sz="2" w:space="0" w:color="1F4E79" w:themeColor="accent1" w:themeShade="80"/>
              <w:right w:val="nil"/>
            </w:tcBorders>
            <w:shd w:val="clear" w:color="auto" w:fill="auto"/>
          </w:tcPr>
          <w:p w14:paraId="1213D6F5"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75564">
              <w:rPr>
                <w:rFonts w:cs="Arial"/>
                <w:b/>
                <w:bCs/>
                <w:sz w:val="14"/>
                <w:szCs w:val="14"/>
              </w:rPr>
              <w:t xml:space="preserve"> 1,467,817 </w:t>
            </w:r>
          </w:p>
        </w:tc>
        <w:tc>
          <w:tcPr>
            <w:tcW w:w="1134" w:type="dxa"/>
            <w:tcBorders>
              <w:top w:val="nil"/>
              <w:left w:val="nil"/>
              <w:bottom w:val="single" w:sz="2" w:space="0" w:color="1F4E79" w:themeColor="accent1" w:themeShade="80"/>
              <w:right w:val="nil"/>
            </w:tcBorders>
            <w:shd w:val="clear" w:color="auto" w:fill="auto"/>
          </w:tcPr>
          <w:p w14:paraId="1E2A3897"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75564">
              <w:rPr>
                <w:rFonts w:cs="Arial"/>
                <w:b/>
                <w:bCs/>
                <w:sz w:val="14"/>
                <w:szCs w:val="14"/>
              </w:rPr>
              <w:t xml:space="preserve"> 2,436,345 </w:t>
            </w:r>
          </w:p>
        </w:tc>
        <w:tc>
          <w:tcPr>
            <w:tcW w:w="284" w:type="dxa"/>
            <w:tcBorders>
              <w:top w:val="nil"/>
              <w:left w:val="nil"/>
              <w:bottom w:val="single" w:sz="2" w:space="0" w:color="1F4E79" w:themeColor="accent1" w:themeShade="80"/>
              <w:right w:val="nil"/>
            </w:tcBorders>
            <w:shd w:val="clear" w:color="auto" w:fill="auto"/>
            <w:vAlign w:val="center"/>
          </w:tcPr>
          <w:p w14:paraId="54C9CC8D"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p>
        </w:tc>
        <w:tc>
          <w:tcPr>
            <w:tcW w:w="1228" w:type="dxa"/>
            <w:tcBorders>
              <w:top w:val="nil"/>
              <w:left w:val="nil"/>
              <w:bottom w:val="single" w:sz="2" w:space="0" w:color="1F4E79" w:themeColor="accent1" w:themeShade="80"/>
              <w:right w:val="nil"/>
            </w:tcBorders>
            <w:shd w:val="clear" w:color="auto" w:fill="auto"/>
            <w:vAlign w:val="center"/>
          </w:tcPr>
          <w:p w14:paraId="5CB912F0"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75564">
              <w:rPr>
                <w:rFonts w:cs="Arial"/>
                <w:b/>
                <w:bCs/>
                <w:sz w:val="14"/>
                <w:szCs w:val="14"/>
              </w:rPr>
              <w:t>156,123</w:t>
            </w:r>
          </w:p>
        </w:tc>
        <w:tc>
          <w:tcPr>
            <w:tcW w:w="1228" w:type="dxa"/>
            <w:tcBorders>
              <w:top w:val="nil"/>
              <w:left w:val="nil"/>
              <w:bottom w:val="single" w:sz="2" w:space="0" w:color="1F4E79" w:themeColor="accent1" w:themeShade="80"/>
              <w:right w:val="nil"/>
            </w:tcBorders>
            <w:shd w:val="clear" w:color="auto" w:fill="auto"/>
            <w:vAlign w:val="center"/>
          </w:tcPr>
          <w:p w14:paraId="43187999"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75564">
              <w:rPr>
                <w:rFonts w:cs="Arial"/>
                <w:b/>
                <w:bCs/>
                <w:sz w:val="14"/>
                <w:szCs w:val="14"/>
              </w:rPr>
              <w:t>1,254,880</w:t>
            </w:r>
          </w:p>
        </w:tc>
        <w:tc>
          <w:tcPr>
            <w:tcW w:w="1228" w:type="dxa"/>
            <w:tcBorders>
              <w:top w:val="nil"/>
              <w:left w:val="nil"/>
              <w:bottom w:val="single" w:sz="2" w:space="0" w:color="1F4E79" w:themeColor="accent1" w:themeShade="80"/>
              <w:right w:val="nil"/>
            </w:tcBorders>
            <w:shd w:val="clear" w:color="auto" w:fill="auto"/>
            <w:vAlign w:val="center"/>
          </w:tcPr>
          <w:p w14:paraId="1CFDB874" w14:textId="77777777" w:rsidR="005357C6" w:rsidRPr="00475564" w:rsidRDefault="005357C6" w:rsidP="004755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475564">
              <w:rPr>
                <w:rFonts w:cs="Arial"/>
                <w:b/>
                <w:bCs/>
                <w:sz w:val="14"/>
                <w:szCs w:val="14"/>
              </w:rPr>
              <w:t>2,337,086</w:t>
            </w:r>
          </w:p>
        </w:tc>
      </w:tr>
    </w:tbl>
    <w:p w14:paraId="49294D77" w14:textId="77777777" w:rsidR="005357C6" w:rsidRPr="00D44604" w:rsidRDefault="005357C6" w:rsidP="005357C6">
      <w:pPr>
        <w:numPr>
          <w:ilvl w:val="0"/>
          <w:numId w:val="23"/>
        </w:numPr>
        <w:spacing w:line="257" w:lineRule="auto"/>
        <w:ind w:left="284" w:hanging="284"/>
        <w:contextualSpacing/>
        <w:jc w:val="both"/>
        <w:rPr>
          <w:rFonts w:eastAsia="Times New Roman" w:cs="Times New Roman"/>
          <w:spacing w:val="-2"/>
          <w:sz w:val="14"/>
          <w:szCs w:val="18"/>
          <w:lang w:val="en-US" w:eastAsia="pt-BR"/>
        </w:rPr>
      </w:pPr>
      <w:r w:rsidRPr="00D44604">
        <w:rPr>
          <w:rFonts w:eastAsia="Times New Roman" w:cs="Times New Roman"/>
          <w:spacing w:val="-2"/>
          <w:sz w:val="14"/>
          <w:szCs w:val="18"/>
          <w:lang w:val="en-US" w:eastAsia="pt-BR"/>
        </w:rPr>
        <w:t xml:space="preserve">Includes in the book value of the investment of BB </w:t>
      </w:r>
      <w:r>
        <w:rPr>
          <w:rFonts w:eastAsia="Times New Roman" w:cs="Times New Roman"/>
          <w:spacing w:val="-2"/>
          <w:sz w:val="14"/>
          <w:szCs w:val="18"/>
          <w:lang w:val="en-US" w:eastAsia="pt-BR"/>
        </w:rPr>
        <w:t>MAPFRE</w:t>
      </w:r>
      <w:r w:rsidRPr="00D44604">
        <w:rPr>
          <w:rFonts w:eastAsia="Times New Roman" w:cs="Times New Roman"/>
          <w:spacing w:val="-2"/>
          <w:sz w:val="14"/>
          <w:szCs w:val="18"/>
          <w:lang w:val="en-US" w:eastAsia="pt-BR"/>
        </w:rPr>
        <w:t xml:space="preserve">, intangible assets with defined useful life, in the net amortization amount of R$ </w:t>
      </w:r>
      <w:r>
        <w:rPr>
          <w:rFonts w:eastAsia="Times New Roman" w:cs="Times New Roman"/>
          <w:spacing w:val="-2"/>
          <w:sz w:val="14"/>
          <w:szCs w:val="18"/>
          <w:lang w:val="en-US" w:eastAsia="pt-BR"/>
        </w:rPr>
        <w:t>156,281</w:t>
      </w:r>
      <w:r w:rsidRPr="00D44604">
        <w:rPr>
          <w:rFonts w:eastAsia="Times New Roman" w:cs="Times New Roman"/>
          <w:spacing w:val="-2"/>
          <w:sz w:val="14"/>
          <w:szCs w:val="18"/>
          <w:lang w:val="en-US" w:eastAsia="pt-BR"/>
        </w:rPr>
        <w:t xml:space="preserve"> thousand on</w:t>
      </w:r>
      <w:r>
        <w:rPr>
          <w:rFonts w:eastAsia="Times New Roman" w:cs="Times New Roman"/>
          <w:spacing w:val="-2"/>
          <w:sz w:val="14"/>
          <w:szCs w:val="18"/>
          <w:lang w:val="en-US" w:eastAsia="pt-BR"/>
        </w:rPr>
        <w:t xml:space="preserve"> Dec. 31</w:t>
      </w:r>
      <w:r w:rsidRPr="00D44604">
        <w:rPr>
          <w:rFonts w:eastAsia="Times New Roman" w:cs="Times New Roman"/>
          <w:spacing w:val="-2"/>
          <w:sz w:val="14"/>
          <w:szCs w:val="18"/>
          <w:lang w:val="en-US" w:eastAsia="pt-BR"/>
        </w:rPr>
        <w:t>,</w:t>
      </w:r>
      <w:r>
        <w:rPr>
          <w:rFonts w:eastAsia="Times New Roman" w:cs="Times New Roman"/>
          <w:spacing w:val="-2"/>
          <w:sz w:val="14"/>
          <w:szCs w:val="18"/>
          <w:lang w:val="en-US" w:eastAsia="pt-BR"/>
        </w:rPr>
        <w:t xml:space="preserve"> </w:t>
      </w:r>
      <w:r w:rsidRPr="00D44604">
        <w:rPr>
          <w:rFonts w:eastAsia="Times New Roman" w:cs="Times New Roman"/>
          <w:spacing w:val="-2"/>
          <w:sz w:val="14"/>
          <w:szCs w:val="18"/>
          <w:lang w:val="en-US" w:eastAsia="pt-BR"/>
        </w:rPr>
        <w:t>202</w:t>
      </w:r>
      <w:r>
        <w:rPr>
          <w:rFonts w:eastAsia="Times New Roman" w:cs="Times New Roman"/>
          <w:spacing w:val="-2"/>
          <w:sz w:val="14"/>
          <w:szCs w:val="18"/>
          <w:lang w:val="en-US" w:eastAsia="pt-BR"/>
        </w:rPr>
        <w:t>2 (R</w:t>
      </w:r>
      <w:r w:rsidRPr="00D44604">
        <w:rPr>
          <w:rFonts w:eastAsia="Times New Roman" w:cs="Times New Roman"/>
          <w:spacing w:val="-2"/>
          <w:sz w:val="14"/>
          <w:szCs w:val="18"/>
          <w:lang w:val="en-US" w:eastAsia="pt-BR"/>
        </w:rPr>
        <w:t xml:space="preserve">$ </w:t>
      </w:r>
      <w:r>
        <w:rPr>
          <w:rFonts w:eastAsia="Times New Roman" w:cs="Times New Roman"/>
          <w:spacing w:val="-2"/>
          <w:sz w:val="14"/>
          <w:szCs w:val="18"/>
          <w:lang w:val="en-US" w:eastAsia="pt-BR"/>
        </w:rPr>
        <w:t>171,008</w:t>
      </w:r>
      <w:r w:rsidRPr="00A44662">
        <w:rPr>
          <w:rFonts w:eastAsia="Times New Roman" w:cs="Times New Roman"/>
          <w:spacing w:val="-2"/>
          <w:sz w:val="14"/>
          <w:szCs w:val="18"/>
          <w:lang w:val="en-US" w:eastAsia="pt-BR"/>
        </w:rPr>
        <w:t xml:space="preserve"> </w:t>
      </w:r>
      <w:r w:rsidRPr="00D44604">
        <w:rPr>
          <w:rFonts w:eastAsia="Times New Roman" w:cs="Times New Roman"/>
          <w:spacing w:val="-2"/>
          <w:sz w:val="14"/>
          <w:szCs w:val="18"/>
          <w:lang w:val="en-US" w:eastAsia="pt-BR"/>
        </w:rPr>
        <w:t>thousand on Dec 31,20</w:t>
      </w:r>
      <w:r>
        <w:rPr>
          <w:rFonts w:eastAsia="Times New Roman" w:cs="Times New Roman"/>
          <w:spacing w:val="-2"/>
          <w:sz w:val="14"/>
          <w:szCs w:val="18"/>
          <w:lang w:val="en-US" w:eastAsia="pt-BR"/>
        </w:rPr>
        <w:t>21</w:t>
      </w:r>
      <w:r w:rsidRPr="00D44604">
        <w:rPr>
          <w:rFonts w:eastAsia="Times New Roman" w:cs="Times New Roman"/>
          <w:spacing w:val="-2"/>
          <w:sz w:val="14"/>
          <w:szCs w:val="18"/>
          <w:lang w:val="en-US" w:eastAsia="pt-BR"/>
        </w:rPr>
        <w:t>) and intangible assets with indefinite useful life amount of R$ 339,004 thousand from the partnership agreement with Mapfre</w:t>
      </w:r>
      <w:r>
        <w:rPr>
          <w:rFonts w:eastAsia="Times New Roman" w:cs="Times New Roman"/>
          <w:spacing w:val="-2"/>
          <w:sz w:val="14"/>
          <w:szCs w:val="18"/>
          <w:lang w:val="en-US" w:eastAsia="pt-BR"/>
        </w:rPr>
        <w:t>,</w:t>
      </w:r>
    </w:p>
    <w:p w14:paraId="508DAEF6" w14:textId="77777777" w:rsidR="005357C6" w:rsidRPr="00D44604" w:rsidRDefault="005357C6" w:rsidP="00D44604">
      <w:pPr>
        <w:keepNext/>
        <w:keepLines/>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lastRenderedPageBreak/>
        <w:t xml:space="preserve">c.2) Brasilprev, </w:t>
      </w:r>
      <w:r w:rsidRPr="00D44604">
        <w:rPr>
          <w:rFonts w:eastAsia="Times New Roman" w:cs="Times New Roman"/>
          <w:b/>
          <w:color w:val="1F4E79" w:themeColor="accent1" w:themeShade="80"/>
          <w:spacing w:val="-2"/>
          <w:szCs w:val="20"/>
          <w:lang w:eastAsia="pt-BR"/>
        </w:rPr>
        <w:t>Brasilcap, Brasildental, BB Corretora e Ciclic</w:t>
      </w:r>
    </w:p>
    <w:p w14:paraId="667E0050" w14:textId="77777777" w:rsidR="005357C6" w:rsidRPr="00D44604" w:rsidRDefault="005357C6" w:rsidP="00D44604">
      <w:pPr>
        <w:spacing w:after="0" w:line="240" w:lineRule="auto"/>
        <w:rPr>
          <w:rFonts w:eastAsia="Times New Roman" w:cs="Times New Roman"/>
          <w:b/>
          <w:color w:val="1F4E79" w:themeColor="accent1" w:themeShade="80"/>
          <w:spacing w:val="-2"/>
          <w:szCs w:val="20"/>
          <w:lang w:eastAsia="pt-BR"/>
        </w:rPr>
      </w:pPr>
    </w:p>
    <w:p w14:paraId="0ADEDAF4" w14:textId="77777777" w:rsidR="005357C6" w:rsidRPr="00D1543E" w:rsidRDefault="005357C6" w:rsidP="00D1543E">
      <w:pPr>
        <w:spacing w:after="0" w:line="240" w:lineRule="auto"/>
        <w:rPr>
          <w:rFonts w:eastAsia="Times New Roman" w:cs="Times New Roman"/>
          <w:b/>
          <w:color w:val="1F4E79" w:themeColor="accent1" w:themeShade="80"/>
          <w:spacing w:val="-2"/>
          <w:szCs w:val="20"/>
          <w:lang w:eastAsia="pt-BR"/>
        </w:rPr>
      </w:pPr>
      <w:r w:rsidRPr="00D44604">
        <w:rPr>
          <w:rFonts w:eastAsia="Times New Roman" w:cs="Times New Roman"/>
          <w:b/>
          <w:color w:val="1F4E79" w:themeColor="accent1" w:themeShade="80"/>
          <w:spacing w:val="-2"/>
          <w:szCs w:val="20"/>
          <w:lang w:eastAsia="pt-BR"/>
        </w:rPr>
        <w:t>Result Information</w:t>
      </w:r>
    </w:p>
    <w:p w14:paraId="2282669C" w14:textId="77777777" w:rsidR="005357C6" w:rsidRPr="001B58AD" w:rsidRDefault="005357C6" w:rsidP="00D44604">
      <w:pPr>
        <w:keepNext/>
        <w:keepLines/>
        <w:spacing w:after="0"/>
        <w:jc w:val="right"/>
        <w:rPr>
          <w:rFonts w:cs="Arial"/>
          <w:b/>
          <w:sz w:val="14"/>
          <w:szCs w:val="18"/>
          <w:lang w:val="en-US"/>
        </w:rPr>
      </w:pPr>
    </w:p>
    <w:p w14:paraId="7FA72956" w14:textId="77777777" w:rsidR="005357C6" w:rsidRPr="00D44604" w:rsidRDefault="005357C6" w:rsidP="00D44604">
      <w:pPr>
        <w:keepNext/>
        <w:keepLines/>
        <w:spacing w:after="0"/>
        <w:jc w:val="right"/>
        <w:rPr>
          <w:rFonts w:cs="Arial"/>
          <w:b/>
          <w:sz w:val="14"/>
          <w:szCs w:val="18"/>
        </w:rPr>
      </w:pPr>
      <w:r w:rsidRPr="00FC6C4B">
        <w:rPr>
          <w:rFonts w:cs="Arial"/>
          <w:b/>
          <w:sz w:val="14"/>
          <w:szCs w:val="18"/>
        </w:rPr>
        <w:t>R$ thousand</w:t>
      </w:r>
    </w:p>
    <w:tbl>
      <w:tblPr>
        <w:tblW w:w="9639" w:type="dxa"/>
        <w:jc w:val="center"/>
        <w:tblLayout w:type="fixed"/>
        <w:tblLook w:val="04A0" w:firstRow="1" w:lastRow="0" w:firstColumn="1" w:lastColumn="0" w:noHBand="0" w:noVBand="1"/>
      </w:tblPr>
      <w:tblGrid>
        <w:gridCol w:w="2909"/>
        <w:gridCol w:w="1346"/>
        <w:gridCol w:w="1346"/>
        <w:gridCol w:w="1346"/>
        <w:gridCol w:w="1346"/>
        <w:gridCol w:w="1346"/>
      </w:tblGrid>
      <w:tr w:rsidR="005357C6" w:rsidRPr="00D44604" w14:paraId="572210ED" w14:textId="77777777" w:rsidTr="00000E40">
        <w:trPr>
          <w:trHeight w:val="238"/>
          <w:jc w:val="center"/>
        </w:trPr>
        <w:tc>
          <w:tcPr>
            <w:tcW w:w="2909" w:type="dxa"/>
            <w:tcBorders>
              <w:top w:val="single" w:sz="2" w:space="0" w:color="1F4E79" w:themeColor="accent1" w:themeShade="80"/>
              <w:bottom w:val="single" w:sz="2" w:space="0" w:color="1F4E79" w:themeColor="accent1" w:themeShade="80"/>
            </w:tcBorders>
            <w:shd w:val="clear" w:color="auto" w:fill="auto"/>
            <w:vAlign w:val="center"/>
          </w:tcPr>
          <w:p w14:paraId="4AE9D110"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cs="Arial"/>
                <w:b/>
                <w:sz w:val="14"/>
                <w:szCs w:val="14"/>
              </w:rPr>
              <w:t>Segment</w:t>
            </w:r>
          </w:p>
        </w:tc>
        <w:tc>
          <w:tcPr>
            <w:tcW w:w="4038" w:type="dxa"/>
            <w:gridSpan w:val="3"/>
            <w:tcBorders>
              <w:top w:val="single" w:sz="2" w:space="0" w:color="1F4E79" w:themeColor="accent1" w:themeShade="80"/>
              <w:bottom w:val="single" w:sz="2" w:space="0" w:color="1F4E79" w:themeColor="accent1" w:themeShade="80"/>
              <w:right w:val="single" w:sz="2" w:space="0" w:color="8EAADB" w:themeColor="accent5" w:themeTint="99"/>
            </w:tcBorders>
            <w:shd w:val="clear" w:color="auto" w:fill="auto"/>
            <w:vAlign w:val="center"/>
          </w:tcPr>
          <w:p w14:paraId="0706205E"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Insurance</w:t>
            </w:r>
          </w:p>
        </w:tc>
        <w:tc>
          <w:tcPr>
            <w:tcW w:w="2692" w:type="dxa"/>
            <w:gridSpan w:val="2"/>
            <w:tcBorders>
              <w:top w:val="single" w:sz="2" w:space="0" w:color="1F4E79" w:themeColor="accent1" w:themeShade="80"/>
              <w:left w:val="single" w:sz="2" w:space="0" w:color="8EAADB" w:themeColor="accent5" w:themeTint="99"/>
              <w:bottom w:val="single" w:sz="2" w:space="0" w:color="1F4E79" w:themeColor="accent1" w:themeShade="80"/>
            </w:tcBorders>
            <w:shd w:val="clear" w:color="auto" w:fill="auto"/>
            <w:vAlign w:val="center"/>
          </w:tcPr>
          <w:p w14:paraId="1114698D"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Brokerage</w:t>
            </w:r>
          </w:p>
        </w:tc>
      </w:tr>
      <w:tr w:rsidR="005357C6" w:rsidRPr="00D44604" w14:paraId="2E122475" w14:textId="77777777" w:rsidTr="00000E40">
        <w:trPr>
          <w:trHeight w:val="238"/>
          <w:jc w:val="center"/>
        </w:trPr>
        <w:tc>
          <w:tcPr>
            <w:tcW w:w="2909" w:type="dxa"/>
            <w:tcBorders>
              <w:top w:val="single" w:sz="2" w:space="0" w:color="1F4E79" w:themeColor="accent1" w:themeShade="80"/>
              <w:bottom w:val="single" w:sz="2" w:space="0" w:color="1F4E79" w:themeColor="accent1" w:themeShade="80"/>
            </w:tcBorders>
            <w:shd w:val="clear" w:color="auto" w:fill="auto"/>
            <w:vAlign w:val="center"/>
          </w:tcPr>
          <w:p w14:paraId="50F0319C"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cs="Arial"/>
                <w:b/>
                <w:sz w:val="14"/>
                <w:szCs w:val="14"/>
              </w:rPr>
              <w:t>Line of business</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29ABFB86"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Private</w:t>
            </w:r>
          </w:p>
          <w:p w14:paraId="45DD12F4"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Pension Plans</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4D2CFB39"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Capitalization</w:t>
            </w:r>
          </w:p>
          <w:p w14:paraId="51AE98B7"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Plans</w:t>
            </w:r>
          </w:p>
        </w:tc>
        <w:tc>
          <w:tcPr>
            <w:tcW w:w="1346" w:type="dxa"/>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32258A9C"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Health</w:t>
            </w:r>
          </w:p>
        </w:tc>
        <w:tc>
          <w:tcPr>
            <w:tcW w:w="1346"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65434C40"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Brokerage</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61D11B53"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Brokerage</w:t>
            </w:r>
          </w:p>
        </w:tc>
      </w:tr>
      <w:tr w:rsidR="005357C6" w:rsidRPr="00D44604" w14:paraId="4080F57A" w14:textId="77777777" w:rsidTr="00000E40">
        <w:trPr>
          <w:trHeight w:val="238"/>
          <w:jc w:val="center"/>
        </w:trPr>
        <w:tc>
          <w:tcPr>
            <w:tcW w:w="2909" w:type="dxa"/>
            <w:tcBorders>
              <w:top w:val="single" w:sz="2" w:space="0" w:color="1F4E79" w:themeColor="accent1" w:themeShade="80"/>
              <w:bottom w:val="single" w:sz="2" w:space="0" w:color="1F4E79" w:themeColor="accent1" w:themeShade="80"/>
            </w:tcBorders>
            <w:shd w:val="clear" w:color="auto" w:fill="auto"/>
            <w:vAlign w:val="center"/>
          </w:tcPr>
          <w:p w14:paraId="090D6629" w14:textId="77777777" w:rsidR="005357C6" w:rsidRPr="004365F5" w:rsidRDefault="005357C6" w:rsidP="00425E34">
            <w:pPr>
              <w:keepNext/>
              <w:keepLines/>
              <w:spacing w:before="40" w:after="40" w:line="240" w:lineRule="auto"/>
              <w:jc w:val="center"/>
              <w:rPr>
                <w:rFonts w:eastAsia="Times New Roman" w:cs="Arial"/>
                <w:b/>
                <w:spacing w:val="-2"/>
                <w:sz w:val="14"/>
                <w:szCs w:val="14"/>
                <w:lang w:eastAsia="pt-BR"/>
              </w:rPr>
            </w:pPr>
            <w:r w:rsidRPr="00922C7B">
              <w:rPr>
                <w:rFonts w:cs="Arial"/>
                <w:b/>
                <w:sz w:val="14"/>
                <w:szCs w:val="14"/>
              </w:rPr>
              <w:t>2022</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6214FB93"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Brasilprev</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5A041795"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 xml:space="preserve">Brasilcap </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6A099F85"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Brasildental</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0E399CD8"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 xml:space="preserve">BB Corretora </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5342B0AE" w14:textId="77777777" w:rsidR="005357C6" w:rsidRPr="004365F5" w:rsidRDefault="005357C6" w:rsidP="00D44604">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 xml:space="preserve">Ciclic </w:t>
            </w:r>
          </w:p>
        </w:tc>
      </w:tr>
      <w:tr w:rsidR="005357C6" w:rsidRPr="007E5BEF" w14:paraId="1A2F877B" w14:textId="77777777" w:rsidTr="009C25D3">
        <w:trPr>
          <w:trHeight w:val="238"/>
          <w:jc w:val="center"/>
        </w:trPr>
        <w:tc>
          <w:tcPr>
            <w:tcW w:w="2909" w:type="dxa"/>
            <w:tcBorders>
              <w:top w:val="single" w:sz="2" w:space="0" w:color="1F4E79" w:themeColor="accent1" w:themeShade="80"/>
            </w:tcBorders>
            <w:shd w:val="clear" w:color="auto" w:fill="auto"/>
            <w:vAlign w:val="center"/>
          </w:tcPr>
          <w:p w14:paraId="2E56233C" w14:textId="77777777" w:rsidR="005357C6" w:rsidRPr="004365F5" w:rsidRDefault="005357C6" w:rsidP="00475564">
            <w:pPr>
              <w:keepNext/>
              <w:keepLines/>
              <w:spacing w:before="40" w:after="40" w:line="240" w:lineRule="auto"/>
              <w:rPr>
                <w:rFonts w:eastAsia="Times New Roman" w:cs="Arial"/>
                <w:b/>
                <w:spacing w:val="-2"/>
                <w:sz w:val="14"/>
                <w:szCs w:val="14"/>
                <w:lang w:val="en-US" w:eastAsia="pt-BR"/>
              </w:rPr>
            </w:pPr>
            <w:r w:rsidRPr="004365F5">
              <w:rPr>
                <w:rFonts w:eastAsia="Times New Roman" w:cs="Arial"/>
                <w:b/>
                <w:spacing w:val="-2"/>
                <w:sz w:val="14"/>
                <w:szCs w:val="14"/>
                <w:lang w:val="en-US" w:eastAsia="pt-BR"/>
              </w:rPr>
              <w:t>Net income from operations / premiums</w:t>
            </w:r>
          </w:p>
        </w:tc>
        <w:tc>
          <w:tcPr>
            <w:tcW w:w="1346" w:type="dxa"/>
            <w:tcBorders>
              <w:top w:val="single" w:sz="2" w:space="0" w:color="1F4E79" w:themeColor="accent1" w:themeShade="80"/>
            </w:tcBorders>
            <w:shd w:val="clear" w:color="auto" w:fill="auto"/>
            <w:vAlign w:val="center"/>
          </w:tcPr>
          <w:p w14:paraId="39928D70"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475564">
              <w:rPr>
                <w:rFonts w:cs="Arial"/>
                <w:b/>
                <w:sz w:val="14"/>
                <w:szCs w:val="14"/>
                <w:lang w:val="en-US"/>
              </w:rPr>
              <w:t xml:space="preserve">  </w:t>
            </w:r>
            <w:r w:rsidRPr="003E0F6E">
              <w:rPr>
                <w:rFonts w:cs="Arial"/>
                <w:b/>
                <w:sz w:val="14"/>
                <w:szCs w:val="14"/>
              </w:rPr>
              <w:t>2</w:t>
            </w:r>
            <w:r>
              <w:rPr>
                <w:rFonts w:cs="Arial"/>
                <w:b/>
                <w:sz w:val="14"/>
                <w:szCs w:val="14"/>
              </w:rPr>
              <w:t>,</w:t>
            </w:r>
            <w:r w:rsidRPr="003E0F6E">
              <w:rPr>
                <w:rFonts w:cs="Arial"/>
                <w:b/>
                <w:sz w:val="14"/>
                <w:szCs w:val="14"/>
              </w:rPr>
              <w:t>633</w:t>
            </w:r>
            <w:r>
              <w:rPr>
                <w:rFonts w:cs="Arial"/>
                <w:b/>
                <w:sz w:val="14"/>
                <w:szCs w:val="14"/>
              </w:rPr>
              <w:t>,</w:t>
            </w:r>
            <w:r w:rsidRPr="003E0F6E">
              <w:rPr>
                <w:rFonts w:cs="Arial"/>
                <w:b/>
                <w:sz w:val="14"/>
                <w:szCs w:val="14"/>
              </w:rPr>
              <w:t xml:space="preserve">112 </w:t>
            </w:r>
          </w:p>
        </w:tc>
        <w:tc>
          <w:tcPr>
            <w:tcW w:w="1346" w:type="dxa"/>
            <w:tcBorders>
              <w:top w:val="single" w:sz="2" w:space="0" w:color="1F4E79" w:themeColor="accent1" w:themeShade="80"/>
            </w:tcBorders>
            <w:shd w:val="clear" w:color="auto" w:fill="auto"/>
            <w:vAlign w:val="center"/>
          </w:tcPr>
          <w:p w14:paraId="4648D6F5"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(39</w:t>
            </w:r>
            <w:r>
              <w:rPr>
                <w:rFonts w:cs="Arial"/>
                <w:b/>
                <w:sz w:val="14"/>
                <w:szCs w:val="14"/>
              </w:rPr>
              <w:t>,</w:t>
            </w:r>
            <w:r w:rsidRPr="003E0F6E">
              <w:rPr>
                <w:rFonts w:cs="Arial"/>
                <w:b/>
                <w:sz w:val="14"/>
                <w:szCs w:val="14"/>
              </w:rPr>
              <w:t>308)</w:t>
            </w:r>
          </w:p>
        </w:tc>
        <w:tc>
          <w:tcPr>
            <w:tcW w:w="1346" w:type="dxa"/>
            <w:tcBorders>
              <w:top w:val="single" w:sz="2" w:space="0" w:color="1F4E79" w:themeColor="accent1" w:themeShade="80"/>
            </w:tcBorders>
            <w:shd w:val="clear" w:color="auto" w:fill="auto"/>
            <w:vAlign w:val="center"/>
          </w:tcPr>
          <w:p w14:paraId="736B439A"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73</w:t>
            </w:r>
            <w:r>
              <w:rPr>
                <w:rFonts w:cs="Arial"/>
                <w:b/>
                <w:sz w:val="14"/>
                <w:szCs w:val="14"/>
              </w:rPr>
              <w:t>,</w:t>
            </w:r>
            <w:r w:rsidRPr="003E0F6E">
              <w:rPr>
                <w:rFonts w:cs="Arial"/>
                <w:b/>
                <w:sz w:val="14"/>
                <w:szCs w:val="14"/>
              </w:rPr>
              <w:t xml:space="preserve">422 </w:t>
            </w:r>
          </w:p>
        </w:tc>
        <w:tc>
          <w:tcPr>
            <w:tcW w:w="1346" w:type="dxa"/>
            <w:tcBorders>
              <w:top w:val="single" w:sz="2" w:space="0" w:color="1F4E79" w:themeColor="accent1" w:themeShade="80"/>
            </w:tcBorders>
            <w:shd w:val="clear" w:color="auto" w:fill="auto"/>
            <w:vAlign w:val="center"/>
          </w:tcPr>
          <w:p w14:paraId="750D5989"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w:t>
            </w:r>
            <w:r>
              <w:rPr>
                <w:rFonts w:cs="Arial"/>
                <w:b/>
                <w:sz w:val="14"/>
                <w:szCs w:val="14"/>
              </w:rPr>
              <w:t>,</w:t>
            </w:r>
            <w:r w:rsidRPr="003E0F6E">
              <w:rPr>
                <w:rFonts w:cs="Arial"/>
                <w:b/>
                <w:sz w:val="14"/>
                <w:szCs w:val="14"/>
              </w:rPr>
              <w:t>803</w:t>
            </w:r>
            <w:r>
              <w:rPr>
                <w:rFonts w:cs="Arial"/>
                <w:b/>
                <w:sz w:val="14"/>
                <w:szCs w:val="14"/>
              </w:rPr>
              <w:t>,</w:t>
            </w:r>
            <w:r w:rsidRPr="003E0F6E">
              <w:rPr>
                <w:rFonts w:cs="Arial"/>
                <w:b/>
                <w:sz w:val="14"/>
                <w:szCs w:val="14"/>
              </w:rPr>
              <w:t xml:space="preserve">104 </w:t>
            </w:r>
          </w:p>
        </w:tc>
        <w:tc>
          <w:tcPr>
            <w:tcW w:w="1346" w:type="dxa"/>
            <w:tcBorders>
              <w:top w:val="single" w:sz="2" w:space="0" w:color="1F4E79" w:themeColor="accent1" w:themeShade="80"/>
            </w:tcBorders>
            <w:shd w:val="clear" w:color="auto" w:fill="auto"/>
            <w:vAlign w:val="center"/>
          </w:tcPr>
          <w:p w14:paraId="1C30E0DF"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26</w:t>
            </w:r>
            <w:r>
              <w:rPr>
                <w:rFonts w:cs="Arial"/>
                <w:b/>
                <w:sz w:val="14"/>
                <w:szCs w:val="14"/>
              </w:rPr>
              <w:t>,</w:t>
            </w:r>
            <w:r w:rsidRPr="003E0F6E">
              <w:rPr>
                <w:rFonts w:cs="Arial"/>
                <w:b/>
                <w:sz w:val="14"/>
                <w:szCs w:val="14"/>
              </w:rPr>
              <w:t xml:space="preserve">156 </w:t>
            </w:r>
          </w:p>
        </w:tc>
      </w:tr>
      <w:tr w:rsidR="005357C6" w:rsidRPr="00D44604" w14:paraId="1ABCEF2D" w14:textId="77777777" w:rsidTr="009C25D3">
        <w:trPr>
          <w:trHeight w:val="238"/>
          <w:jc w:val="center"/>
        </w:trPr>
        <w:tc>
          <w:tcPr>
            <w:tcW w:w="2909" w:type="dxa"/>
            <w:shd w:val="clear" w:color="auto" w:fill="auto"/>
            <w:vAlign w:val="center"/>
          </w:tcPr>
          <w:p w14:paraId="2C6D4390"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Social Security</w:t>
            </w:r>
          </w:p>
        </w:tc>
        <w:tc>
          <w:tcPr>
            <w:tcW w:w="1346" w:type="dxa"/>
            <w:shd w:val="clear" w:color="auto" w:fill="auto"/>
            <w:vAlign w:val="center"/>
          </w:tcPr>
          <w:p w14:paraId="76C5C8E5"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56</w:t>
            </w:r>
            <w:r>
              <w:rPr>
                <w:rFonts w:cs="Arial"/>
                <w:sz w:val="14"/>
                <w:szCs w:val="14"/>
              </w:rPr>
              <w:t>,</w:t>
            </w:r>
            <w:r w:rsidRPr="006947CF">
              <w:rPr>
                <w:rFonts w:cs="Arial"/>
                <w:sz w:val="14"/>
                <w:szCs w:val="14"/>
              </w:rPr>
              <w:t>245</w:t>
            </w:r>
            <w:r>
              <w:rPr>
                <w:rFonts w:cs="Arial"/>
                <w:sz w:val="14"/>
                <w:szCs w:val="14"/>
              </w:rPr>
              <w:t>,</w:t>
            </w:r>
            <w:r w:rsidRPr="006947CF">
              <w:rPr>
                <w:rFonts w:cs="Arial"/>
                <w:sz w:val="14"/>
                <w:szCs w:val="14"/>
              </w:rPr>
              <w:t xml:space="preserve">425 </w:t>
            </w:r>
          </w:p>
        </w:tc>
        <w:tc>
          <w:tcPr>
            <w:tcW w:w="1346" w:type="dxa"/>
            <w:shd w:val="clear" w:color="auto" w:fill="auto"/>
            <w:vAlign w:val="center"/>
          </w:tcPr>
          <w:p w14:paraId="1CB8F460"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7E83D206"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221D3781"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55E70523"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r>
      <w:tr w:rsidR="005357C6" w:rsidRPr="00D44604" w14:paraId="5A19D149" w14:textId="77777777" w:rsidTr="009C25D3">
        <w:trPr>
          <w:trHeight w:val="238"/>
          <w:jc w:val="center"/>
        </w:trPr>
        <w:tc>
          <w:tcPr>
            <w:tcW w:w="2909" w:type="dxa"/>
            <w:shd w:val="clear" w:color="auto" w:fill="auto"/>
            <w:vAlign w:val="center"/>
          </w:tcPr>
          <w:p w14:paraId="5D30548F"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Capitalization</w:t>
            </w:r>
          </w:p>
        </w:tc>
        <w:tc>
          <w:tcPr>
            <w:tcW w:w="1346" w:type="dxa"/>
            <w:shd w:val="clear" w:color="auto" w:fill="auto"/>
            <w:vAlign w:val="center"/>
          </w:tcPr>
          <w:p w14:paraId="2228C92B"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346" w:type="dxa"/>
            <w:shd w:val="clear" w:color="auto" w:fill="auto"/>
            <w:vAlign w:val="center"/>
          </w:tcPr>
          <w:p w14:paraId="11BA3A96"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697</w:t>
            </w:r>
            <w:r>
              <w:rPr>
                <w:rFonts w:cs="Arial"/>
                <w:sz w:val="14"/>
                <w:szCs w:val="14"/>
              </w:rPr>
              <w:t>,</w:t>
            </w:r>
            <w:r w:rsidRPr="006947CF">
              <w:rPr>
                <w:rFonts w:cs="Arial"/>
                <w:sz w:val="14"/>
                <w:szCs w:val="14"/>
              </w:rPr>
              <w:t xml:space="preserve">875 </w:t>
            </w:r>
          </w:p>
        </w:tc>
        <w:tc>
          <w:tcPr>
            <w:tcW w:w="1346" w:type="dxa"/>
            <w:shd w:val="clear" w:color="auto" w:fill="auto"/>
            <w:vAlign w:val="center"/>
          </w:tcPr>
          <w:p w14:paraId="3066364E"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5C3E0F72"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53E382B2"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r>
      <w:tr w:rsidR="005357C6" w:rsidRPr="00D44604" w14:paraId="47AC15C3" w14:textId="77777777" w:rsidTr="009C25D3">
        <w:trPr>
          <w:trHeight w:val="238"/>
          <w:jc w:val="center"/>
        </w:trPr>
        <w:tc>
          <w:tcPr>
            <w:tcW w:w="2909" w:type="dxa"/>
            <w:shd w:val="clear" w:color="auto" w:fill="auto"/>
            <w:vAlign w:val="center"/>
          </w:tcPr>
          <w:p w14:paraId="2B7EC991"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Health care</w:t>
            </w:r>
          </w:p>
        </w:tc>
        <w:tc>
          <w:tcPr>
            <w:tcW w:w="1346" w:type="dxa"/>
            <w:shd w:val="clear" w:color="auto" w:fill="auto"/>
            <w:vAlign w:val="center"/>
          </w:tcPr>
          <w:p w14:paraId="3A0796AB"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346" w:type="dxa"/>
            <w:shd w:val="clear" w:color="auto" w:fill="auto"/>
            <w:vAlign w:val="center"/>
          </w:tcPr>
          <w:p w14:paraId="502BF38A"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412AD1AB"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122</w:t>
            </w:r>
            <w:r>
              <w:rPr>
                <w:rFonts w:cs="Arial"/>
                <w:sz w:val="14"/>
                <w:szCs w:val="14"/>
              </w:rPr>
              <w:t>,</w:t>
            </w:r>
            <w:r w:rsidRPr="006947CF">
              <w:rPr>
                <w:rFonts w:cs="Arial"/>
                <w:sz w:val="14"/>
                <w:szCs w:val="14"/>
              </w:rPr>
              <w:t xml:space="preserve">904 </w:t>
            </w:r>
          </w:p>
        </w:tc>
        <w:tc>
          <w:tcPr>
            <w:tcW w:w="1346" w:type="dxa"/>
            <w:shd w:val="clear" w:color="auto" w:fill="auto"/>
            <w:vAlign w:val="center"/>
          </w:tcPr>
          <w:p w14:paraId="22BA737A"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65ECC771"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r>
      <w:tr w:rsidR="005357C6" w:rsidRPr="00D44604" w14:paraId="1FB90E30" w14:textId="77777777" w:rsidTr="009C25D3">
        <w:trPr>
          <w:trHeight w:val="238"/>
          <w:jc w:val="center"/>
        </w:trPr>
        <w:tc>
          <w:tcPr>
            <w:tcW w:w="2909" w:type="dxa"/>
            <w:shd w:val="clear" w:color="auto" w:fill="auto"/>
            <w:vAlign w:val="center"/>
          </w:tcPr>
          <w:p w14:paraId="2FCBC045"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Brokerage</w:t>
            </w:r>
          </w:p>
        </w:tc>
        <w:tc>
          <w:tcPr>
            <w:tcW w:w="1346" w:type="dxa"/>
            <w:shd w:val="clear" w:color="auto" w:fill="auto"/>
            <w:vAlign w:val="center"/>
          </w:tcPr>
          <w:p w14:paraId="369BD628"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346" w:type="dxa"/>
            <w:shd w:val="clear" w:color="auto" w:fill="auto"/>
            <w:vAlign w:val="center"/>
          </w:tcPr>
          <w:p w14:paraId="13739420"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54065010"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113A57BF"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w:t>
            </w:r>
            <w:r>
              <w:rPr>
                <w:rFonts w:cs="Arial"/>
                <w:sz w:val="14"/>
                <w:szCs w:val="14"/>
              </w:rPr>
              <w:t>,</w:t>
            </w:r>
            <w:r w:rsidRPr="006947CF">
              <w:rPr>
                <w:rFonts w:cs="Arial"/>
                <w:sz w:val="14"/>
                <w:szCs w:val="14"/>
              </w:rPr>
              <w:t>008</w:t>
            </w:r>
            <w:r>
              <w:rPr>
                <w:rFonts w:cs="Arial"/>
                <w:sz w:val="14"/>
                <w:szCs w:val="14"/>
              </w:rPr>
              <w:t>,</w:t>
            </w:r>
            <w:r w:rsidRPr="006947CF">
              <w:rPr>
                <w:rFonts w:cs="Arial"/>
                <w:sz w:val="14"/>
                <w:szCs w:val="14"/>
              </w:rPr>
              <w:t xml:space="preserve">974 </w:t>
            </w:r>
          </w:p>
        </w:tc>
        <w:tc>
          <w:tcPr>
            <w:tcW w:w="1346" w:type="dxa"/>
            <w:shd w:val="clear" w:color="auto" w:fill="auto"/>
            <w:vAlign w:val="center"/>
          </w:tcPr>
          <w:p w14:paraId="0644FD60"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40</w:t>
            </w:r>
            <w:r>
              <w:rPr>
                <w:rFonts w:cs="Arial"/>
                <w:sz w:val="14"/>
                <w:szCs w:val="14"/>
              </w:rPr>
              <w:t>,</w:t>
            </w:r>
            <w:r w:rsidRPr="006947CF">
              <w:rPr>
                <w:rFonts w:cs="Arial"/>
                <w:sz w:val="14"/>
                <w:szCs w:val="14"/>
              </w:rPr>
              <w:t xml:space="preserve">651 </w:t>
            </w:r>
          </w:p>
        </w:tc>
      </w:tr>
      <w:tr w:rsidR="005357C6" w:rsidRPr="00D44604" w14:paraId="3009A4A4" w14:textId="77777777" w:rsidTr="009C25D3">
        <w:trPr>
          <w:trHeight w:val="238"/>
          <w:jc w:val="center"/>
        </w:trPr>
        <w:tc>
          <w:tcPr>
            <w:tcW w:w="2909" w:type="dxa"/>
            <w:shd w:val="clear" w:color="auto" w:fill="auto"/>
            <w:vAlign w:val="center"/>
          </w:tcPr>
          <w:p w14:paraId="196217C3" w14:textId="77777777" w:rsidR="005357C6" w:rsidRPr="004365F5" w:rsidRDefault="005357C6" w:rsidP="00475564">
            <w:pPr>
              <w:keepNext/>
              <w:keepLines/>
              <w:spacing w:before="40" w:after="40" w:line="240" w:lineRule="auto"/>
              <w:ind w:left="113"/>
              <w:rPr>
                <w:rFonts w:eastAsia="Times New Roman" w:cs="Arial"/>
                <w:bCs/>
                <w:spacing w:val="-2"/>
                <w:sz w:val="14"/>
                <w:szCs w:val="14"/>
                <w:lang w:eastAsia="pt-BR"/>
              </w:rPr>
            </w:pPr>
            <w:r w:rsidRPr="004365F5">
              <w:rPr>
                <w:rFonts w:eastAsia="Times New Roman" w:cs="Arial"/>
                <w:bCs/>
                <w:color w:val="000000"/>
                <w:spacing w:val="-2"/>
                <w:sz w:val="14"/>
                <w:szCs w:val="14"/>
                <w:lang w:eastAsia="pt-BR"/>
              </w:rPr>
              <w:t>Costs / expenses</w:t>
            </w:r>
          </w:p>
        </w:tc>
        <w:tc>
          <w:tcPr>
            <w:tcW w:w="1346" w:type="dxa"/>
            <w:shd w:val="clear" w:color="auto" w:fill="auto"/>
            <w:vAlign w:val="center"/>
          </w:tcPr>
          <w:p w14:paraId="633662E3"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(53</w:t>
            </w:r>
            <w:r>
              <w:rPr>
                <w:rFonts w:cs="Arial"/>
                <w:sz w:val="14"/>
                <w:szCs w:val="14"/>
              </w:rPr>
              <w:t>,</w:t>
            </w:r>
            <w:r w:rsidRPr="006947CF">
              <w:rPr>
                <w:rFonts w:cs="Arial"/>
                <w:sz w:val="14"/>
                <w:szCs w:val="14"/>
              </w:rPr>
              <w:t>612</w:t>
            </w:r>
            <w:r>
              <w:rPr>
                <w:rFonts w:cs="Arial"/>
                <w:sz w:val="14"/>
                <w:szCs w:val="14"/>
              </w:rPr>
              <w:t>,</w:t>
            </w:r>
            <w:r w:rsidRPr="006947CF">
              <w:rPr>
                <w:rFonts w:cs="Arial"/>
                <w:sz w:val="14"/>
                <w:szCs w:val="14"/>
              </w:rPr>
              <w:t>313)</w:t>
            </w:r>
          </w:p>
        </w:tc>
        <w:tc>
          <w:tcPr>
            <w:tcW w:w="1346" w:type="dxa"/>
            <w:shd w:val="clear" w:color="auto" w:fill="auto"/>
            <w:vAlign w:val="center"/>
          </w:tcPr>
          <w:p w14:paraId="387C9082"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(737</w:t>
            </w:r>
            <w:r>
              <w:rPr>
                <w:rFonts w:cs="Arial"/>
                <w:sz w:val="14"/>
                <w:szCs w:val="14"/>
              </w:rPr>
              <w:t>,</w:t>
            </w:r>
            <w:r w:rsidRPr="006947CF">
              <w:rPr>
                <w:rFonts w:cs="Arial"/>
                <w:sz w:val="14"/>
                <w:szCs w:val="14"/>
              </w:rPr>
              <w:t>183)</w:t>
            </w:r>
          </w:p>
        </w:tc>
        <w:tc>
          <w:tcPr>
            <w:tcW w:w="1346" w:type="dxa"/>
            <w:shd w:val="clear" w:color="auto" w:fill="auto"/>
            <w:vAlign w:val="center"/>
          </w:tcPr>
          <w:p w14:paraId="1DC0903D"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(49</w:t>
            </w:r>
            <w:r>
              <w:rPr>
                <w:rFonts w:cs="Arial"/>
                <w:sz w:val="14"/>
                <w:szCs w:val="14"/>
              </w:rPr>
              <w:t>,</w:t>
            </w:r>
            <w:r w:rsidRPr="006947CF">
              <w:rPr>
                <w:rFonts w:cs="Arial"/>
                <w:sz w:val="14"/>
                <w:szCs w:val="14"/>
              </w:rPr>
              <w:t>482)</w:t>
            </w:r>
          </w:p>
        </w:tc>
        <w:tc>
          <w:tcPr>
            <w:tcW w:w="1346" w:type="dxa"/>
            <w:shd w:val="clear" w:color="auto" w:fill="auto"/>
            <w:vAlign w:val="center"/>
          </w:tcPr>
          <w:p w14:paraId="7F6A32CC"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(205</w:t>
            </w:r>
            <w:r>
              <w:rPr>
                <w:rFonts w:cs="Arial"/>
                <w:sz w:val="14"/>
                <w:szCs w:val="14"/>
              </w:rPr>
              <w:t>,</w:t>
            </w:r>
            <w:r w:rsidRPr="006947CF">
              <w:rPr>
                <w:rFonts w:cs="Arial"/>
                <w:sz w:val="14"/>
                <w:szCs w:val="14"/>
              </w:rPr>
              <w:t>870)</w:t>
            </w:r>
          </w:p>
        </w:tc>
        <w:tc>
          <w:tcPr>
            <w:tcW w:w="1346" w:type="dxa"/>
            <w:shd w:val="clear" w:color="auto" w:fill="auto"/>
            <w:vAlign w:val="center"/>
          </w:tcPr>
          <w:p w14:paraId="282BB69E"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(14</w:t>
            </w:r>
            <w:r>
              <w:rPr>
                <w:rFonts w:cs="Arial"/>
                <w:sz w:val="14"/>
                <w:szCs w:val="14"/>
              </w:rPr>
              <w:t>,</w:t>
            </w:r>
            <w:r w:rsidRPr="006947CF">
              <w:rPr>
                <w:rFonts w:cs="Arial"/>
                <w:sz w:val="14"/>
                <w:szCs w:val="14"/>
              </w:rPr>
              <w:t>495)</w:t>
            </w:r>
          </w:p>
        </w:tc>
      </w:tr>
      <w:tr w:rsidR="005357C6" w:rsidRPr="007E5BEF" w14:paraId="565C1565" w14:textId="77777777" w:rsidTr="009C25D3">
        <w:trPr>
          <w:trHeight w:val="238"/>
          <w:jc w:val="center"/>
        </w:trPr>
        <w:tc>
          <w:tcPr>
            <w:tcW w:w="2909" w:type="dxa"/>
            <w:shd w:val="clear" w:color="auto" w:fill="auto"/>
            <w:vAlign w:val="center"/>
          </w:tcPr>
          <w:p w14:paraId="7CFDE7DD" w14:textId="77777777" w:rsidR="005357C6" w:rsidRPr="004365F5" w:rsidRDefault="005357C6" w:rsidP="00475564">
            <w:pPr>
              <w:keepNext/>
              <w:keepLines/>
              <w:spacing w:before="40" w:after="40" w:line="240" w:lineRule="auto"/>
              <w:rPr>
                <w:rFonts w:eastAsia="Times New Roman" w:cs="Arial"/>
                <w:b/>
                <w:spacing w:val="-2"/>
                <w:sz w:val="14"/>
                <w:szCs w:val="14"/>
                <w:lang w:eastAsia="pt-BR"/>
              </w:rPr>
            </w:pPr>
            <w:r w:rsidRPr="004365F5">
              <w:rPr>
                <w:rFonts w:eastAsia="Times New Roman" w:cs="Arial"/>
                <w:b/>
                <w:spacing w:val="-2"/>
                <w:sz w:val="14"/>
                <w:szCs w:val="14"/>
                <w:lang w:eastAsia="pt-BR"/>
              </w:rPr>
              <w:t>Financial result</w:t>
            </w:r>
          </w:p>
        </w:tc>
        <w:tc>
          <w:tcPr>
            <w:tcW w:w="1346" w:type="dxa"/>
            <w:shd w:val="clear" w:color="auto" w:fill="auto"/>
            <w:vAlign w:val="center"/>
          </w:tcPr>
          <w:p w14:paraId="33B503A5"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329</w:t>
            </w:r>
            <w:r>
              <w:rPr>
                <w:rFonts w:cs="Arial"/>
                <w:b/>
                <w:sz w:val="14"/>
                <w:szCs w:val="14"/>
              </w:rPr>
              <w:t>,</w:t>
            </w:r>
            <w:r w:rsidRPr="003E0F6E">
              <w:rPr>
                <w:rFonts w:cs="Arial"/>
                <w:b/>
                <w:sz w:val="14"/>
                <w:szCs w:val="14"/>
              </w:rPr>
              <w:t xml:space="preserve">585 </w:t>
            </w:r>
          </w:p>
        </w:tc>
        <w:tc>
          <w:tcPr>
            <w:tcW w:w="1346" w:type="dxa"/>
            <w:shd w:val="clear" w:color="auto" w:fill="auto"/>
            <w:vAlign w:val="center"/>
          </w:tcPr>
          <w:p w14:paraId="42599C3F"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328</w:t>
            </w:r>
            <w:r>
              <w:rPr>
                <w:rFonts w:cs="Arial"/>
                <w:b/>
                <w:sz w:val="14"/>
                <w:szCs w:val="14"/>
              </w:rPr>
              <w:t>,</w:t>
            </w:r>
            <w:r w:rsidRPr="003E0F6E">
              <w:rPr>
                <w:rFonts w:cs="Arial"/>
                <w:b/>
                <w:sz w:val="14"/>
                <w:szCs w:val="14"/>
              </w:rPr>
              <w:t>01</w:t>
            </w:r>
            <w:r>
              <w:rPr>
                <w:rFonts w:cs="Arial"/>
                <w:b/>
                <w:sz w:val="14"/>
                <w:szCs w:val="14"/>
              </w:rPr>
              <w:t>5</w:t>
            </w:r>
            <w:r w:rsidRPr="003E0F6E">
              <w:rPr>
                <w:rFonts w:cs="Arial"/>
                <w:b/>
                <w:sz w:val="14"/>
                <w:szCs w:val="14"/>
              </w:rPr>
              <w:t xml:space="preserve"> </w:t>
            </w:r>
          </w:p>
        </w:tc>
        <w:tc>
          <w:tcPr>
            <w:tcW w:w="1346" w:type="dxa"/>
            <w:shd w:val="clear" w:color="auto" w:fill="auto"/>
            <w:vAlign w:val="center"/>
          </w:tcPr>
          <w:p w14:paraId="02CBE56C"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w:t>
            </w:r>
            <w:r>
              <w:rPr>
                <w:rFonts w:cs="Arial"/>
                <w:b/>
                <w:sz w:val="14"/>
                <w:szCs w:val="14"/>
              </w:rPr>
              <w:t>,</w:t>
            </w:r>
            <w:r w:rsidRPr="003E0F6E">
              <w:rPr>
                <w:rFonts w:cs="Arial"/>
                <w:b/>
                <w:sz w:val="14"/>
                <w:szCs w:val="14"/>
              </w:rPr>
              <w:t xml:space="preserve">725 </w:t>
            </w:r>
          </w:p>
        </w:tc>
        <w:tc>
          <w:tcPr>
            <w:tcW w:w="1346" w:type="dxa"/>
            <w:shd w:val="clear" w:color="auto" w:fill="auto"/>
            <w:vAlign w:val="center"/>
          </w:tcPr>
          <w:p w14:paraId="632D0D1D"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365</w:t>
            </w:r>
            <w:r>
              <w:rPr>
                <w:rFonts w:cs="Arial"/>
                <w:b/>
                <w:sz w:val="14"/>
                <w:szCs w:val="14"/>
              </w:rPr>
              <w:t>,</w:t>
            </w:r>
            <w:r w:rsidRPr="003E0F6E">
              <w:rPr>
                <w:rFonts w:cs="Arial"/>
                <w:b/>
                <w:sz w:val="14"/>
                <w:szCs w:val="14"/>
              </w:rPr>
              <w:t xml:space="preserve">294 </w:t>
            </w:r>
          </w:p>
        </w:tc>
        <w:tc>
          <w:tcPr>
            <w:tcW w:w="1346" w:type="dxa"/>
            <w:shd w:val="clear" w:color="auto" w:fill="auto"/>
            <w:vAlign w:val="center"/>
          </w:tcPr>
          <w:p w14:paraId="525D0A2C"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(922)</w:t>
            </w:r>
          </w:p>
        </w:tc>
      </w:tr>
      <w:tr w:rsidR="005357C6" w:rsidRPr="00D44604" w14:paraId="36651A40" w14:textId="77777777" w:rsidTr="009C25D3">
        <w:trPr>
          <w:trHeight w:val="238"/>
          <w:jc w:val="center"/>
        </w:trPr>
        <w:tc>
          <w:tcPr>
            <w:tcW w:w="2909" w:type="dxa"/>
            <w:shd w:val="clear" w:color="auto" w:fill="auto"/>
            <w:vAlign w:val="center"/>
          </w:tcPr>
          <w:p w14:paraId="25ADB49C" w14:textId="77777777" w:rsidR="005357C6" w:rsidRPr="004365F5" w:rsidRDefault="005357C6" w:rsidP="00475564">
            <w:pPr>
              <w:keepNext/>
              <w:keepLines/>
              <w:spacing w:before="40" w:after="40" w:line="240" w:lineRule="auto"/>
              <w:ind w:left="113"/>
              <w:rPr>
                <w:rFonts w:eastAsia="Times New Roman" w:cs="Arial"/>
                <w:bCs/>
                <w:spacing w:val="-2"/>
                <w:sz w:val="14"/>
                <w:szCs w:val="14"/>
                <w:lang w:eastAsia="pt-BR"/>
              </w:rPr>
            </w:pPr>
            <w:r w:rsidRPr="004365F5">
              <w:rPr>
                <w:rFonts w:eastAsia="Times New Roman" w:cs="Arial"/>
                <w:bCs/>
                <w:spacing w:val="-2"/>
                <w:sz w:val="14"/>
                <w:szCs w:val="14"/>
                <w:lang w:eastAsia="pt-BR"/>
              </w:rPr>
              <w:t>Interest income</w:t>
            </w:r>
          </w:p>
        </w:tc>
        <w:tc>
          <w:tcPr>
            <w:tcW w:w="1346" w:type="dxa"/>
            <w:shd w:val="clear" w:color="auto" w:fill="auto"/>
            <w:vAlign w:val="center"/>
          </w:tcPr>
          <w:p w14:paraId="13F69440"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5</w:t>
            </w:r>
            <w:r>
              <w:rPr>
                <w:rFonts w:cs="Arial"/>
                <w:sz w:val="14"/>
                <w:szCs w:val="14"/>
              </w:rPr>
              <w:t>,</w:t>
            </w:r>
            <w:r w:rsidRPr="006947CF">
              <w:rPr>
                <w:rFonts w:cs="Arial"/>
                <w:sz w:val="14"/>
                <w:szCs w:val="14"/>
              </w:rPr>
              <w:t>099</w:t>
            </w:r>
            <w:r>
              <w:rPr>
                <w:rFonts w:cs="Arial"/>
                <w:sz w:val="14"/>
                <w:szCs w:val="14"/>
              </w:rPr>
              <w:t>,</w:t>
            </w:r>
            <w:r w:rsidRPr="006947CF">
              <w:rPr>
                <w:rFonts w:cs="Arial"/>
                <w:sz w:val="14"/>
                <w:szCs w:val="14"/>
              </w:rPr>
              <w:t xml:space="preserve">355 </w:t>
            </w:r>
          </w:p>
        </w:tc>
        <w:tc>
          <w:tcPr>
            <w:tcW w:w="1346" w:type="dxa"/>
            <w:shd w:val="clear" w:color="auto" w:fill="auto"/>
            <w:vAlign w:val="center"/>
          </w:tcPr>
          <w:p w14:paraId="75A20AFA"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864</w:t>
            </w:r>
            <w:r>
              <w:rPr>
                <w:rFonts w:cs="Arial"/>
                <w:sz w:val="14"/>
                <w:szCs w:val="14"/>
              </w:rPr>
              <w:t>,</w:t>
            </w:r>
            <w:r w:rsidRPr="006947CF">
              <w:rPr>
                <w:rFonts w:cs="Arial"/>
                <w:sz w:val="14"/>
                <w:szCs w:val="14"/>
              </w:rPr>
              <w:t xml:space="preserve">107 </w:t>
            </w:r>
          </w:p>
        </w:tc>
        <w:tc>
          <w:tcPr>
            <w:tcW w:w="1346" w:type="dxa"/>
            <w:shd w:val="clear" w:color="auto" w:fill="auto"/>
            <w:vAlign w:val="center"/>
          </w:tcPr>
          <w:p w14:paraId="648C0DB5"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6BF6C061"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382</w:t>
            </w:r>
            <w:r>
              <w:rPr>
                <w:rFonts w:cs="Arial"/>
                <w:sz w:val="14"/>
                <w:szCs w:val="14"/>
              </w:rPr>
              <w:t>,</w:t>
            </w:r>
            <w:r w:rsidRPr="006947CF">
              <w:rPr>
                <w:rFonts w:cs="Arial"/>
                <w:sz w:val="14"/>
                <w:szCs w:val="14"/>
              </w:rPr>
              <w:t xml:space="preserve">584 </w:t>
            </w:r>
          </w:p>
        </w:tc>
        <w:tc>
          <w:tcPr>
            <w:tcW w:w="1346" w:type="dxa"/>
            <w:shd w:val="clear" w:color="auto" w:fill="auto"/>
            <w:vAlign w:val="center"/>
          </w:tcPr>
          <w:p w14:paraId="743F2B17"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 </w:t>
            </w:r>
          </w:p>
        </w:tc>
      </w:tr>
      <w:tr w:rsidR="005357C6" w:rsidRPr="00D44604" w14:paraId="2D54DA5F" w14:textId="77777777" w:rsidTr="009C25D3">
        <w:trPr>
          <w:trHeight w:val="238"/>
          <w:jc w:val="center"/>
        </w:trPr>
        <w:tc>
          <w:tcPr>
            <w:tcW w:w="2909" w:type="dxa"/>
            <w:shd w:val="clear" w:color="auto" w:fill="auto"/>
            <w:vAlign w:val="center"/>
          </w:tcPr>
          <w:p w14:paraId="5FACDDB1" w14:textId="77777777" w:rsidR="005357C6" w:rsidRPr="004365F5" w:rsidRDefault="005357C6" w:rsidP="00475564">
            <w:pPr>
              <w:keepNext/>
              <w:keepLines/>
              <w:spacing w:before="40" w:after="40" w:line="240" w:lineRule="auto"/>
              <w:ind w:left="113"/>
              <w:rPr>
                <w:rFonts w:eastAsia="Times New Roman" w:cs="Arial"/>
                <w:bCs/>
                <w:spacing w:val="-2"/>
                <w:sz w:val="14"/>
                <w:szCs w:val="14"/>
                <w:lang w:eastAsia="pt-BR"/>
              </w:rPr>
            </w:pPr>
            <w:r w:rsidRPr="004365F5">
              <w:rPr>
                <w:rFonts w:eastAsia="Times New Roman" w:cs="Arial"/>
                <w:bCs/>
                <w:spacing w:val="-2"/>
                <w:sz w:val="14"/>
                <w:szCs w:val="14"/>
                <w:lang w:eastAsia="pt-BR"/>
              </w:rPr>
              <w:t>Other financial income</w:t>
            </w:r>
          </w:p>
        </w:tc>
        <w:tc>
          <w:tcPr>
            <w:tcW w:w="1346" w:type="dxa"/>
            <w:shd w:val="clear" w:color="auto" w:fill="auto"/>
            <w:vAlign w:val="center"/>
          </w:tcPr>
          <w:p w14:paraId="05C1C458"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25</w:t>
            </w:r>
            <w:r>
              <w:rPr>
                <w:rFonts w:cs="Arial"/>
                <w:sz w:val="14"/>
                <w:szCs w:val="14"/>
              </w:rPr>
              <w:t>,</w:t>
            </w:r>
            <w:r w:rsidRPr="006947CF">
              <w:rPr>
                <w:rFonts w:cs="Arial"/>
                <w:sz w:val="14"/>
                <w:szCs w:val="14"/>
              </w:rPr>
              <w:t>130</w:t>
            </w:r>
            <w:r>
              <w:rPr>
                <w:rFonts w:cs="Arial"/>
                <w:sz w:val="14"/>
                <w:szCs w:val="14"/>
              </w:rPr>
              <w:t>,</w:t>
            </w:r>
            <w:r w:rsidRPr="006947CF">
              <w:rPr>
                <w:rFonts w:cs="Arial"/>
                <w:sz w:val="14"/>
                <w:szCs w:val="14"/>
              </w:rPr>
              <w:t xml:space="preserve">584 </w:t>
            </w:r>
          </w:p>
        </w:tc>
        <w:tc>
          <w:tcPr>
            <w:tcW w:w="1346" w:type="dxa"/>
            <w:shd w:val="clear" w:color="auto" w:fill="auto"/>
            <w:vAlign w:val="center"/>
          </w:tcPr>
          <w:p w14:paraId="75960CCD"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311</w:t>
            </w:r>
            <w:r>
              <w:rPr>
                <w:rFonts w:cs="Arial"/>
                <w:sz w:val="14"/>
                <w:szCs w:val="14"/>
              </w:rPr>
              <w:t>,</w:t>
            </w:r>
            <w:r w:rsidRPr="006947CF">
              <w:rPr>
                <w:rFonts w:cs="Arial"/>
                <w:sz w:val="14"/>
                <w:szCs w:val="14"/>
              </w:rPr>
              <w:t xml:space="preserve">088 </w:t>
            </w:r>
          </w:p>
        </w:tc>
        <w:tc>
          <w:tcPr>
            <w:tcW w:w="1346" w:type="dxa"/>
            <w:shd w:val="clear" w:color="auto" w:fill="auto"/>
            <w:vAlign w:val="center"/>
          </w:tcPr>
          <w:p w14:paraId="18761474"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w:t>
            </w:r>
            <w:r>
              <w:rPr>
                <w:rFonts w:cs="Arial"/>
                <w:sz w:val="14"/>
                <w:szCs w:val="14"/>
              </w:rPr>
              <w:t>,</w:t>
            </w:r>
            <w:r w:rsidRPr="006947CF">
              <w:rPr>
                <w:rFonts w:cs="Arial"/>
                <w:sz w:val="14"/>
                <w:szCs w:val="14"/>
              </w:rPr>
              <w:t xml:space="preserve">526 </w:t>
            </w:r>
          </w:p>
        </w:tc>
        <w:tc>
          <w:tcPr>
            <w:tcW w:w="1346" w:type="dxa"/>
            <w:shd w:val="clear" w:color="auto" w:fill="auto"/>
            <w:vAlign w:val="center"/>
          </w:tcPr>
          <w:p w14:paraId="04FB62E9"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3B0E4409"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111 </w:t>
            </w:r>
          </w:p>
        </w:tc>
      </w:tr>
      <w:tr w:rsidR="005357C6" w:rsidRPr="00D44604" w14:paraId="76CFF1C6" w14:textId="77777777" w:rsidTr="009C25D3">
        <w:trPr>
          <w:trHeight w:val="238"/>
          <w:jc w:val="center"/>
        </w:trPr>
        <w:tc>
          <w:tcPr>
            <w:tcW w:w="2909" w:type="dxa"/>
            <w:shd w:val="clear" w:color="auto" w:fill="auto"/>
            <w:vAlign w:val="center"/>
          </w:tcPr>
          <w:p w14:paraId="2B4A44D5" w14:textId="77777777" w:rsidR="005357C6" w:rsidRPr="004365F5" w:rsidRDefault="005357C6" w:rsidP="00475564">
            <w:pPr>
              <w:keepNext/>
              <w:keepLines/>
              <w:spacing w:before="40" w:after="40" w:line="240" w:lineRule="auto"/>
              <w:ind w:left="113"/>
              <w:rPr>
                <w:rFonts w:eastAsia="Times New Roman" w:cs="Arial"/>
                <w:b/>
                <w:bCs/>
                <w:color w:val="000000"/>
                <w:spacing w:val="-2"/>
                <w:sz w:val="14"/>
                <w:szCs w:val="14"/>
                <w:lang w:eastAsia="pt-BR"/>
              </w:rPr>
            </w:pPr>
            <w:r w:rsidRPr="004365F5">
              <w:rPr>
                <w:rFonts w:eastAsia="Times New Roman" w:cs="Arial"/>
                <w:bCs/>
                <w:spacing w:val="-2"/>
                <w:sz w:val="14"/>
                <w:szCs w:val="14"/>
                <w:lang w:eastAsia="pt-BR"/>
              </w:rPr>
              <w:t>Interest expense</w:t>
            </w:r>
          </w:p>
        </w:tc>
        <w:tc>
          <w:tcPr>
            <w:tcW w:w="1346" w:type="dxa"/>
            <w:shd w:val="clear" w:color="auto" w:fill="auto"/>
            <w:vAlign w:val="center"/>
          </w:tcPr>
          <w:p w14:paraId="5B3F5C72"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w:t>
            </w:r>
            <w:r>
              <w:rPr>
                <w:rFonts w:cs="Arial"/>
                <w:sz w:val="14"/>
                <w:szCs w:val="14"/>
              </w:rPr>
              <w:t>,</w:t>
            </w:r>
            <w:r w:rsidRPr="006947CF">
              <w:rPr>
                <w:rFonts w:cs="Arial"/>
                <w:sz w:val="14"/>
                <w:szCs w:val="14"/>
              </w:rPr>
              <w:t>272</w:t>
            </w:r>
            <w:r>
              <w:rPr>
                <w:rFonts w:cs="Arial"/>
                <w:sz w:val="14"/>
                <w:szCs w:val="14"/>
              </w:rPr>
              <w:t>,</w:t>
            </w:r>
            <w:r w:rsidRPr="006947CF">
              <w:rPr>
                <w:rFonts w:cs="Arial"/>
                <w:sz w:val="14"/>
                <w:szCs w:val="14"/>
              </w:rPr>
              <w:t>274)</w:t>
            </w:r>
          </w:p>
        </w:tc>
        <w:tc>
          <w:tcPr>
            <w:tcW w:w="1346" w:type="dxa"/>
            <w:shd w:val="clear" w:color="auto" w:fill="auto"/>
            <w:vAlign w:val="center"/>
          </w:tcPr>
          <w:p w14:paraId="28CA5CAE"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(558</w:t>
            </w:r>
            <w:r>
              <w:rPr>
                <w:rFonts w:cs="Arial"/>
                <w:sz w:val="14"/>
                <w:szCs w:val="14"/>
              </w:rPr>
              <w:t>,</w:t>
            </w:r>
            <w:r w:rsidRPr="006947CF">
              <w:rPr>
                <w:rFonts w:cs="Arial"/>
                <w:sz w:val="14"/>
                <w:szCs w:val="14"/>
              </w:rPr>
              <w:t>794)</w:t>
            </w:r>
          </w:p>
        </w:tc>
        <w:tc>
          <w:tcPr>
            <w:tcW w:w="1346" w:type="dxa"/>
            <w:shd w:val="clear" w:color="auto" w:fill="auto"/>
            <w:vAlign w:val="center"/>
          </w:tcPr>
          <w:p w14:paraId="76523BD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 </w:t>
            </w:r>
          </w:p>
        </w:tc>
        <w:tc>
          <w:tcPr>
            <w:tcW w:w="1346" w:type="dxa"/>
            <w:shd w:val="clear" w:color="auto" w:fill="auto"/>
            <w:vAlign w:val="center"/>
          </w:tcPr>
          <w:p w14:paraId="4BCE0BD5"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(17</w:t>
            </w:r>
            <w:r>
              <w:rPr>
                <w:rFonts w:cs="Arial"/>
                <w:sz w:val="14"/>
                <w:szCs w:val="14"/>
              </w:rPr>
              <w:t>,</w:t>
            </w:r>
            <w:r w:rsidRPr="006947CF">
              <w:rPr>
                <w:rFonts w:cs="Arial"/>
                <w:sz w:val="14"/>
                <w:szCs w:val="14"/>
              </w:rPr>
              <w:t>082)</w:t>
            </w:r>
          </w:p>
        </w:tc>
        <w:tc>
          <w:tcPr>
            <w:tcW w:w="1346" w:type="dxa"/>
            <w:shd w:val="clear" w:color="auto" w:fill="auto"/>
            <w:vAlign w:val="center"/>
          </w:tcPr>
          <w:p w14:paraId="3AA8BFB9"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(21)</w:t>
            </w:r>
          </w:p>
        </w:tc>
      </w:tr>
      <w:tr w:rsidR="005357C6" w:rsidRPr="00D44604" w14:paraId="49D5D2AE" w14:textId="77777777" w:rsidTr="009C25D3">
        <w:trPr>
          <w:trHeight w:val="238"/>
          <w:jc w:val="center"/>
        </w:trPr>
        <w:tc>
          <w:tcPr>
            <w:tcW w:w="2909" w:type="dxa"/>
            <w:shd w:val="clear" w:color="auto" w:fill="auto"/>
            <w:vAlign w:val="center"/>
          </w:tcPr>
          <w:p w14:paraId="227B2368" w14:textId="77777777" w:rsidR="005357C6" w:rsidRPr="004365F5" w:rsidRDefault="005357C6" w:rsidP="00475564">
            <w:pPr>
              <w:keepNext/>
              <w:keepLines/>
              <w:spacing w:before="40" w:after="40" w:line="240" w:lineRule="auto"/>
              <w:ind w:left="113"/>
              <w:rPr>
                <w:rFonts w:eastAsia="Times New Roman" w:cs="Arial"/>
                <w:b/>
                <w:bCs/>
                <w:spacing w:val="-2"/>
                <w:sz w:val="14"/>
                <w:szCs w:val="14"/>
                <w:lang w:eastAsia="pt-BR"/>
              </w:rPr>
            </w:pPr>
            <w:r w:rsidRPr="004365F5">
              <w:rPr>
                <w:rFonts w:eastAsia="Times New Roman" w:cs="Arial"/>
                <w:bCs/>
                <w:spacing w:val="-2"/>
                <w:sz w:val="14"/>
                <w:szCs w:val="14"/>
                <w:lang w:eastAsia="pt-BR"/>
              </w:rPr>
              <w:t>Other financial expenses</w:t>
            </w:r>
          </w:p>
        </w:tc>
        <w:tc>
          <w:tcPr>
            <w:tcW w:w="1346" w:type="dxa"/>
            <w:shd w:val="clear" w:color="auto" w:fill="auto"/>
            <w:vAlign w:val="center"/>
          </w:tcPr>
          <w:p w14:paraId="690A049A"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(27</w:t>
            </w:r>
            <w:r>
              <w:rPr>
                <w:rFonts w:cs="Arial"/>
                <w:sz w:val="14"/>
                <w:szCs w:val="14"/>
              </w:rPr>
              <w:t>,</w:t>
            </w:r>
            <w:r w:rsidRPr="006947CF">
              <w:rPr>
                <w:rFonts w:cs="Arial"/>
                <w:sz w:val="14"/>
                <w:szCs w:val="14"/>
              </w:rPr>
              <w:t>628</w:t>
            </w:r>
            <w:r>
              <w:rPr>
                <w:rFonts w:cs="Arial"/>
                <w:sz w:val="14"/>
                <w:szCs w:val="14"/>
              </w:rPr>
              <w:t>,</w:t>
            </w:r>
            <w:r w:rsidRPr="006947CF">
              <w:rPr>
                <w:rFonts w:cs="Arial"/>
                <w:sz w:val="14"/>
                <w:szCs w:val="14"/>
              </w:rPr>
              <w:t>080)</w:t>
            </w:r>
          </w:p>
        </w:tc>
        <w:tc>
          <w:tcPr>
            <w:tcW w:w="1346" w:type="dxa"/>
            <w:shd w:val="clear" w:color="auto" w:fill="auto"/>
            <w:vAlign w:val="center"/>
          </w:tcPr>
          <w:p w14:paraId="405F6E26"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(288</w:t>
            </w:r>
            <w:r>
              <w:rPr>
                <w:rFonts w:cs="Arial"/>
                <w:sz w:val="14"/>
                <w:szCs w:val="14"/>
              </w:rPr>
              <w:t>,</w:t>
            </w:r>
            <w:r w:rsidRPr="006947CF">
              <w:rPr>
                <w:rFonts w:cs="Arial"/>
                <w:sz w:val="14"/>
                <w:szCs w:val="14"/>
              </w:rPr>
              <w:t>386)</w:t>
            </w:r>
          </w:p>
        </w:tc>
        <w:tc>
          <w:tcPr>
            <w:tcW w:w="1346" w:type="dxa"/>
            <w:shd w:val="clear" w:color="auto" w:fill="auto"/>
            <w:vAlign w:val="center"/>
          </w:tcPr>
          <w:p w14:paraId="2811785B"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199 </w:t>
            </w:r>
          </w:p>
        </w:tc>
        <w:tc>
          <w:tcPr>
            <w:tcW w:w="1346" w:type="dxa"/>
            <w:shd w:val="clear" w:color="auto" w:fill="auto"/>
            <w:vAlign w:val="center"/>
          </w:tcPr>
          <w:p w14:paraId="4142F8A6"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(208)</w:t>
            </w:r>
          </w:p>
        </w:tc>
        <w:tc>
          <w:tcPr>
            <w:tcW w:w="1346" w:type="dxa"/>
            <w:shd w:val="clear" w:color="auto" w:fill="auto"/>
            <w:vAlign w:val="center"/>
          </w:tcPr>
          <w:p w14:paraId="4149DDFC"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(1</w:t>
            </w:r>
            <w:r>
              <w:rPr>
                <w:rFonts w:cs="Arial"/>
                <w:sz w:val="14"/>
                <w:szCs w:val="14"/>
              </w:rPr>
              <w:t>,</w:t>
            </w:r>
            <w:r w:rsidRPr="006947CF">
              <w:rPr>
                <w:rFonts w:cs="Arial"/>
                <w:sz w:val="14"/>
                <w:szCs w:val="14"/>
              </w:rPr>
              <w:t>016)</w:t>
            </w:r>
          </w:p>
        </w:tc>
      </w:tr>
      <w:tr w:rsidR="005357C6" w:rsidRPr="007E5BEF" w14:paraId="59FCD99F" w14:textId="77777777" w:rsidTr="009C25D3">
        <w:trPr>
          <w:trHeight w:val="238"/>
          <w:jc w:val="center"/>
        </w:trPr>
        <w:tc>
          <w:tcPr>
            <w:tcW w:w="2909" w:type="dxa"/>
            <w:shd w:val="clear" w:color="auto" w:fill="auto"/>
            <w:vAlign w:val="center"/>
          </w:tcPr>
          <w:p w14:paraId="2B0037A7"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Equity result</w:t>
            </w:r>
          </w:p>
        </w:tc>
        <w:tc>
          <w:tcPr>
            <w:tcW w:w="1346" w:type="dxa"/>
            <w:shd w:val="clear" w:color="auto" w:fill="auto"/>
            <w:vAlign w:val="center"/>
          </w:tcPr>
          <w:p w14:paraId="4263BE5C"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(40</w:t>
            </w:r>
            <w:r>
              <w:rPr>
                <w:rFonts w:cs="Arial"/>
                <w:b/>
                <w:sz w:val="14"/>
                <w:szCs w:val="14"/>
              </w:rPr>
              <w:t>,</w:t>
            </w:r>
            <w:r w:rsidRPr="003E0F6E">
              <w:rPr>
                <w:rFonts w:cs="Arial"/>
                <w:b/>
                <w:sz w:val="14"/>
                <w:szCs w:val="14"/>
              </w:rPr>
              <w:t>410)</w:t>
            </w:r>
          </w:p>
        </w:tc>
        <w:tc>
          <w:tcPr>
            <w:tcW w:w="1346" w:type="dxa"/>
            <w:shd w:val="clear" w:color="auto" w:fill="auto"/>
            <w:vAlign w:val="center"/>
          </w:tcPr>
          <w:p w14:paraId="078AAE36"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(907)</w:t>
            </w:r>
          </w:p>
        </w:tc>
        <w:tc>
          <w:tcPr>
            <w:tcW w:w="1346" w:type="dxa"/>
            <w:shd w:val="clear" w:color="auto" w:fill="auto"/>
            <w:vAlign w:val="center"/>
          </w:tcPr>
          <w:p w14:paraId="6E49F879"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(32)</w:t>
            </w:r>
          </w:p>
        </w:tc>
        <w:tc>
          <w:tcPr>
            <w:tcW w:w="1346" w:type="dxa"/>
            <w:shd w:val="clear" w:color="auto" w:fill="auto"/>
            <w:vAlign w:val="center"/>
          </w:tcPr>
          <w:p w14:paraId="26CE3644"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(989)</w:t>
            </w:r>
          </w:p>
        </w:tc>
        <w:tc>
          <w:tcPr>
            <w:tcW w:w="1346" w:type="dxa"/>
            <w:shd w:val="clear" w:color="auto" w:fill="auto"/>
            <w:vAlign w:val="center"/>
          </w:tcPr>
          <w:p w14:paraId="50048F5E"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(17</w:t>
            </w:r>
            <w:r>
              <w:rPr>
                <w:rFonts w:cs="Arial"/>
                <w:b/>
                <w:sz w:val="14"/>
                <w:szCs w:val="14"/>
              </w:rPr>
              <w:t>,</w:t>
            </w:r>
            <w:r w:rsidRPr="003E0F6E">
              <w:rPr>
                <w:rFonts w:cs="Arial"/>
                <w:b/>
                <w:sz w:val="14"/>
                <w:szCs w:val="14"/>
              </w:rPr>
              <w:t>472)</w:t>
            </w:r>
          </w:p>
        </w:tc>
      </w:tr>
      <w:tr w:rsidR="005357C6" w:rsidRPr="00D44604" w14:paraId="7F20438D" w14:textId="77777777" w:rsidTr="009C25D3">
        <w:trPr>
          <w:trHeight w:val="238"/>
          <w:jc w:val="center"/>
        </w:trPr>
        <w:tc>
          <w:tcPr>
            <w:tcW w:w="2909" w:type="dxa"/>
            <w:shd w:val="clear" w:color="auto" w:fill="auto"/>
            <w:vAlign w:val="center"/>
          </w:tcPr>
          <w:p w14:paraId="543585BF" w14:textId="77777777" w:rsidR="005357C6" w:rsidRPr="004365F5" w:rsidRDefault="005357C6" w:rsidP="00475564">
            <w:pPr>
              <w:keepNext/>
              <w:keepLines/>
              <w:spacing w:before="40" w:after="40" w:line="240" w:lineRule="auto"/>
              <w:ind w:left="113"/>
              <w:rPr>
                <w:rFonts w:eastAsia="Times New Roman" w:cs="Arial"/>
                <w:b/>
                <w:color w:val="000000"/>
                <w:spacing w:val="-2"/>
                <w:sz w:val="14"/>
                <w:szCs w:val="14"/>
                <w:lang w:eastAsia="pt-BR"/>
              </w:rPr>
            </w:pPr>
            <w:r w:rsidRPr="004365F5">
              <w:rPr>
                <w:rFonts w:eastAsia="Times New Roman" w:cs="Arial"/>
                <w:bCs/>
                <w:color w:val="000000"/>
                <w:spacing w:val="-2"/>
                <w:sz w:val="14"/>
                <w:szCs w:val="14"/>
                <w:lang w:eastAsia="pt-BR"/>
              </w:rPr>
              <w:t>Depreciation and amortization</w:t>
            </w:r>
          </w:p>
        </w:tc>
        <w:tc>
          <w:tcPr>
            <w:tcW w:w="1346" w:type="dxa"/>
            <w:shd w:val="clear" w:color="auto" w:fill="auto"/>
            <w:vAlign w:val="center"/>
          </w:tcPr>
          <w:p w14:paraId="2458DA30" w14:textId="77777777" w:rsidR="005357C6" w:rsidRPr="004365F5" w:rsidRDefault="005357C6" w:rsidP="00475564">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(40</w:t>
            </w:r>
            <w:r>
              <w:rPr>
                <w:rFonts w:cs="Arial"/>
                <w:sz w:val="14"/>
                <w:szCs w:val="14"/>
              </w:rPr>
              <w:t>,</w:t>
            </w:r>
            <w:r w:rsidRPr="006947CF">
              <w:rPr>
                <w:rFonts w:cs="Arial"/>
                <w:sz w:val="14"/>
                <w:szCs w:val="14"/>
              </w:rPr>
              <w:t>410)</w:t>
            </w:r>
          </w:p>
        </w:tc>
        <w:tc>
          <w:tcPr>
            <w:tcW w:w="1346" w:type="dxa"/>
            <w:shd w:val="clear" w:color="auto" w:fill="auto"/>
            <w:vAlign w:val="center"/>
          </w:tcPr>
          <w:p w14:paraId="7FB72931" w14:textId="77777777" w:rsidR="005357C6" w:rsidRPr="004365F5" w:rsidRDefault="005357C6" w:rsidP="00475564">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(907)</w:t>
            </w:r>
          </w:p>
        </w:tc>
        <w:tc>
          <w:tcPr>
            <w:tcW w:w="1346" w:type="dxa"/>
            <w:shd w:val="clear" w:color="auto" w:fill="auto"/>
            <w:vAlign w:val="center"/>
          </w:tcPr>
          <w:p w14:paraId="30B44120" w14:textId="77777777" w:rsidR="005357C6" w:rsidRPr="004365F5" w:rsidRDefault="005357C6" w:rsidP="00475564">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(32)</w:t>
            </w:r>
          </w:p>
        </w:tc>
        <w:tc>
          <w:tcPr>
            <w:tcW w:w="1346" w:type="dxa"/>
            <w:shd w:val="clear" w:color="auto" w:fill="auto"/>
            <w:vAlign w:val="center"/>
          </w:tcPr>
          <w:p w14:paraId="0E333A13" w14:textId="77777777" w:rsidR="005357C6" w:rsidRPr="004365F5" w:rsidRDefault="005357C6" w:rsidP="00475564">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(989)</w:t>
            </w:r>
          </w:p>
        </w:tc>
        <w:tc>
          <w:tcPr>
            <w:tcW w:w="1346" w:type="dxa"/>
            <w:shd w:val="clear" w:color="auto" w:fill="auto"/>
            <w:vAlign w:val="center"/>
          </w:tcPr>
          <w:p w14:paraId="5E47AF63" w14:textId="77777777" w:rsidR="005357C6" w:rsidRPr="004365F5" w:rsidRDefault="005357C6" w:rsidP="00475564">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(1</w:t>
            </w:r>
            <w:r>
              <w:rPr>
                <w:rFonts w:cs="Arial"/>
                <w:sz w:val="14"/>
                <w:szCs w:val="14"/>
              </w:rPr>
              <w:t>,</w:t>
            </w:r>
            <w:r w:rsidRPr="006947CF">
              <w:rPr>
                <w:rFonts w:cs="Arial"/>
                <w:sz w:val="14"/>
                <w:szCs w:val="14"/>
              </w:rPr>
              <w:t>385)</w:t>
            </w:r>
          </w:p>
        </w:tc>
      </w:tr>
      <w:tr w:rsidR="005357C6" w:rsidRPr="00D44604" w14:paraId="0FCFFB8A" w14:textId="77777777" w:rsidTr="009C25D3">
        <w:trPr>
          <w:trHeight w:val="238"/>
          <w:jc w:val="center"/>
        </w:trPr>
        <w:tc>
          <w:tcPr>
            <w:tcW w:w="2909" w:type="dxa"/>
            <w:shd w:val="clear" w:color="auto" w:fill="auto"/>
            <w:vAlign w:val="center"/>
          </w:tcPr>
          <w:p w14:paraId="13CC6938"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Other equity income / expenses</w:t>
            </w:r>
          </w:p>
        </w:tc>
        <w:tc>
          <w:tcPr>
            <w:tcW w:w="1346" w:type="dxa"/>
            <w:shd w:val="clear" w:color="auto" w:fill="auto"/>
            <w:vAlign w:val="center"/>
          </w:tcPr>
          <w:p w14:paraId="23ED3986"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5EC49BA6"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37942491"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494BB2C8"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78166FE7"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(16</w:t>
            </w:r>
            <w:r>
              <w:rPr>
                <w:rFonts w:cs="Arial"/>
                <w:sz w:val="14"/>
                <w:szCs w:val="14"/>
              </w:rPr>
              <w:t>,</w:t>
            </w:r>
            <w:r w:rsidRPr="006947CF">
              <w:rPr>
                <w:rFonts w:cs="Arial"/>
                <w:sz w:val="14"/>
                <w:szCs w:val="14"/>
              </w:rPr>
              <w:t>087)</w:t>
            </w:r>
          </w:p>
        </w:tc>
      </w:tr>
      <w:tr w:rsidR="005357C6" w:rsidRPr="007E5BEF" w14:paraId="0F96CA71" w14:textId="77777777" w:rsidTr="009C25D3">
        <w:trPr>
          <w:trHeight w:val="238"/>
          <w:jc w:val="center"/>
        </w:trPr>
        <w:tc>
          <w:tcPr>
            <w:tcW w:w="2909" w:type="dxa"/>
            <w:shd w:val="clear" w:color="auto" w:fill="auto"/>
            <w:vAlign w:val="center"/>
          </w:tcPr>
          <w:p w14:paraId="38F1921C"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Other income and expenses</w:t>
            </w:r>
          </w:p>
        </w:tc>
        <w:tc>
          <w:tcPr>
            <w:tcW w:w="1346" w:type="dxa"/>
            <w:shd w:val="clear" w:color="auto" w:fill="auto"/>
            <w:vAlign w:val="center"/>
          </w:tcPr>
          <w:p w14:paraId="267EFFC2"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(652</w:t>
            </w:r>
            <w:r>
              <w:rPr>
                <w:rFonts w:cs="Arial"/>
                <w:b/>
                <w:sz w:val="14"/>
                <w:szCs w:val="14"/>
              </w:rPr>
              <w:t>,</w:t>
            </w:r>
            <w:r w:rsidRPr="003E0F6E">
              <w:rPr>
                <w:rFonts w:cs="Arial"/>
                <w:b/>
                <w:sz w:val="14"/>
                <w:szCs w:val="14"/>
              </w:rPr>
              <w:t>229)</w:t>
            </w:r>
          </w:p>
        </w:tc>
        <w:tc>
          <w:tcPr>
            <w:tcW w:w="1346" w:type="dxa"/>
            <w:shd w:val="clear" w:color="auto" w:fill="auto"/>
            <w:vAlign w:val="center"/>
          </w:tcPr>
          <w:p w14:paraId="7126892B"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58</w:t>
            </w:r>
            <w:r>
              <w:rPr>
                <w:rFonts w:cs="Arial"/>
                <w:b/>
                <w:sz w:val="14"/>
                <w:szCs w:val="14"/>
              </w:rPr>
              <w:t>,</w:t>
            </w:r>
            <w:r w:rsidRPr="003E0F6E">
              <w:rPr>
                <w:rFonts w:cs="Arial"/>
                <w:b/>
                <w:sz w:val="14"/>
                <w:szCs w:val="14"/>
              </w:rPr>
              <w:t xml:space="preserve">423 </w:t>
            </w:r>
          </w:p>
        </w:tc>
        <w:tc>
          <w:tcPr>
            <w:tcW w:w="1346" w:type="dxa"/>
            <w:shd w:val="clear" w:color="auto" w:fill="auto"/>
            <w:vAlign w:val="center"/>
          </w:tcPr>
          <w:p w14:paraId="6E6932B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(35</w:t>
            </w:r>
            <w:r>
              <w:rPr>
                <w:rFonts w:cs="Arial"/>
                <w:b/>
                <w:sz w:val="14"/>
                <w:szCs w:val="14"/>
              </w:rPr>
              <w:t>,</w:t>
            </w:r>
            <w:r w:rsidRPr="003E0F6E">
              <w:rPr>
                <w:rFonts w:cs="Arial"/>
                <w:b/>
                <w:sz w:val="14"/>
                <w:szCs w:val="14"/>
              </w:rPr>
              <w:t>550)</w:t>
            </w:r>
          </w:p>
        </w:tc>
        <w:tc>
          <w:tcPr>
            <w:tcW w:w="1346" w:type="dxa"/>
            <w:shd w:val="clear" w:color="auto" w:fill="auto"/>
            <w:vAlign w:val="center"/>
          </w:tcPr>
          <w:p w14:paraId="54CAF570"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(40</w:t>
            </w:r>
            <w:r>
              <w:rPr>
                <w:rFonts w:cs="Arial"/>
                <w:b/>
                <w:sz w:val="14"/>
                <w:szCs w:val="14"/>
              </w:rPr>
              <w:t>,</w:t>
            </w:r>
            <w:r w:rsidRPr="003E0F6E">
              <w:rPr>
                <w:rFonts w:cs="Arial"/>
                <w:b/>
                <w:sz w:val="14"/>
                <w:szCs w:val="14"/>
              </w:rPr>
              <w:t>485)</w:t>
            </w:r>
          </w:p>
        </w:tc>
        <w:tc>
          <w:tcPr>
            <w:tcW w:w="1346" w:type="dxa"/>
            <w:shd w:val="clear" w:color="auto" w:fill="auto"/>
            <w:vAlign w:val="center"/>
          </w:tcPr>
          <w:p w14:paraId="09369FA2"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w:t>
            </w:r>
            <w:r>
              <w:rPr>
                <w:rFonts w:cs="Arial"/>
                <w:b/>
                <w:sz w:val="14"/>
                <w:szCs w:val="14"/>
              </w:rPr>
              <w:t>,</w:t>
            </w:r>
            <w:r w:rsidRPr="003E0F6E">
              <w:rPr>
                <w:rFonts w:cs="Arial"/>
                <w:b/>
                <w:sz w:val="14"/>
                <w:szCs w:val="14"/>
              </w:rPr>
              <w:t>613)</w:t>
            </w:r>
          </w:p>
        </w:tc>
      </w:tr>
      <w:tr w:rsidR="005357C6" w:rsidRPr="00D44604" w14:paraId="1371D6D8" w14:textId="77777777" w:rsidTr="009C25D3">
        <w:trPr>
          <w:trHeight w:val="238"/>
          <w:jc w:val="center"/>
        </w:trPr>
        <w:tc>
          <w:tcPr>
            <w:tcW w:w="2909" w:type="dxa"/>
            <w:shd w:val="clear" w:color="auto" w:fill="auto"/>
            <w:vAlign w:val="center"/>
          </w:tcPr>
          <w:p w14:paraId="26E11A8F"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Other revenue</w:t>
            </w:r>
          </w:p>
        </w:tc>
        <w:tc>
          <w:tcPr>
            <w:tcW w:w="1346" w:type="dxa"/>
            <w:shd w:val="clear" w:color="auto" w:fill="auto"/>
            <w:vAlign w:val="center"/>
          </w:tcPr>
          <w:p w14:paraId="24C49AB2"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16</w:t>
            </w:r>
            <w:r>
              <w:rPr>
                <w:rFonts w:cs="Arial"/>
                <w:sz w:val="14"/>
                <w:szCs w:val="14"/>
              </w:rPr>
              <w:t>,</w:t>
            </w:r>
            <w:r w:rsidRPr="006947CF">
              <w:rPr>
                <w:rFonts w:cs="Arial"/>
                <w:sz w:val="14"/>
                <w:szCs w:val="14"/>
              </w:rPr>
              <w:t xml:space="preserve">807 </w:t>
            </w:r>
          </w:p>
        </w:tc>
        <w:tc>
          <w:tcPr>
            <w:tcW w:w="1346" w:type="dxa"/>
            <w:shd w:val="clear" w:color="auto" w:fill="auto"/>
            <w:vAlign w:val="center"/>
          </w:tcPr>
          <w:p w14:paraId="256F61BA"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59</w:t>
            </w:r>
            <w:r>
              <w:rPr>
                <w:rFonts w:cs="Arial"/>
                <w:sz w:val="14"/>
                <w:szCs w:val="14"/>
              </w:rPr>
              <w:t>,</w:t>
            </w:r>
            <w:r w:rsidRPr="006947CF">
              <w:rPr>
                <w:rFonts w:cs="Arial"/>
                <w:sz w:val="14"/>
                <w:szCs w:val="14"/>
              </w:rPr>
              <w:t xml:space="preserve">465 </w:t>
            </w:r>
          </w:p>
        </w:tc>
        <w:tc>
          <w:tcPr>
            <w:tcW w:w="1346" w:type="dxa"/>
            <w:shd w:val="clear" w:color="auto" w:fill="auto"/>
            <w:vAlign w:val="center"/>
          </w:tcPr>
          <w:p w14:paraId="3D04E5DA"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118 </w:t>
            </w:r>
          </w:p>
        </w:tc>
        <w:tc>
          <w:tcPr>
            <w:tcW w:w="1346" w:type="dxa"/>
            <w:shd w:val="clear" w:color="auto" w:fill="auto"/>
            <w:vAlign w:val="center"/>
          </w:tcPr>
          <w:p w14:paraId="7FF2A865"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1B33207B"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9 </w:t>
            </w:r>
          </w:p>
        </w:tc>
      </w:tr>
      <w:tr w:rsidR="005357C6" w:rsidRPr="00D44604" w14:paraId="1F96308C" w14:textId="77777777" w:rsidTr="009C25D3">
        <w:trPr>
          <w:trHeight w:val="238"/>
          <w:jc w:val="center"/>
        </w:trPr>
        <w:tc>
          <w:tcPr>
            <w:tcW w:w="2909" w:type="dxa"/>
            <w:shd w:val="clear" w:color="auto" w:fill="auto"/>
            <w:vAlign w:val="center"/>
          </w:tcPr>
          <w:p w14:paraId="114BCCE0"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Other expenses</w:t>
            </w:r>
          </w:p>
        </w:tc>
        <w:tc>
          <w:tcPr>
            <w:tcW w:w="1346" w:type="dxa"/>
            <w:shd w:val="clear" w:color="auto" w:fill="auto"/>
            <w:vAlign w:val="center"/>
          </w:tcPr>
          <w:p w14:paraId="23FF6DE4"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(669</w:t>
            </w:r>
            <w:r>
              <w:rPr>
                <w:rFonts w:cs="Arial"/>
                <w:sz w:val="14"/>
                <w:szCs w:val="14"/>
              </w:rPr>
              <w:t>,</w:t>
            </w:r>
            <w:r w:rsidRPr="006947CF">
              <w:rPr>
                <w:rFonts w:cs="Arial"/>
                <w:sz w:val="14"/>
                <w:szCs w:val="14"/>
              </w:rPr>
              <w:t>036)</w:t>
            </w:r>
          </w:p>
        </w:tc>
        <w:tc>
          <w:tcPr>
            <w:tcW w:w="1346" w:type="dxa"/>
            <w:shd w:val="clear" w:color="auto" w:fill="auto"/>
            <w:vAlign w:val="center"/>
          </w:tcPr>
          <w:p w14:paraId="1927865E"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w:t>
            </w:r>
            <w:r>
              <w:rPr>
                <w:rFonts w:cs="Arial"/>
                <w:sz w:val="14"/>
                <w:szCs w:val="14"/>
              </w:rPr>
              <w:t>,</w:t>
            </w:r>
            <w:r w:rsidRPr="006947CF">
              <w:rPr>
                <w:rFonts w:cs="Arial"/>
                <w:sz w:val="14"/>
                <w:szCs w:val="14"/>
              </w:rPr>
              <w:t>042)</w:t>
            </w:r>
          </w:p>
        </w:tc>
        <w:tc>
          <w:tcPr>
            <w:tcW w:w="1346" w:type="dxa"/>
            <w:shd w:val="clear" w:color="auto" w:fill="auto"/>
            <w:vAlign w:val="center"/>
          </w:tcPr>
          <w:p w14:paraId="1C5A8304"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(35</w:t>
            </w:r>
            <w:r>
              <w:rPr>
                <w:rFonts w:cs="Arial"/>
                <w:sz w:val="14"/>
                <w:szCs w:val="14"/>
              </w:rPr>
              <w:t>,</w:t>
            </w:r>
            <w:r w:rsidRPr="006947CF">
              <w:rPr>
                <w:rFonts w:cs="Arial"/>
                <w:sz w:val="14"/>
                <w:szCs w:val="14"/>
              </w:rPr>
              <w:t>668)</w:t>
            </w:r>
          </w:p>
        </w:tc>
        <w:tc>
          <w:tcPr>
            <w:tcW w:w="1346" w:type="dxa"/>
            <w:shd w:val="clear" w:color="auto" w:fill="auto"/>
            <w:vAlign w:val="center"/>
          </w:tcPr>
          <w:p w14:paraId="5760F323"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(40</w:t>
            </w:r>
            <w:r>
              <w:rPr>
                <w:rFonts w:cs="Arial"/>
                <w:sz w:val="14"/>
                <w:szCs w:val="14"/>
              </w:rPr>
              <w:t>,</w:t>
            </w:r>
            <w:r w:rsidRPr="006947CF">
              <w:rPr>
                <w:rFonts w:cs="Arial"/>
                <w:sz w:val="14"/>
                <w:szCs w:val="14"/>
              </w:rPr>
              <w:t>485)</w:t>
            </w:r>
          </w:p>
        </w:tc>
        <w:tc>
          <w:tcPr>
            <w:tcW w:w="1346" w:type="dxa"/>
            <w:shd w:val="clear" w:color="auto" w:fill="auto"/>
            <w:vAlign w:val="center"/>
          </w:tcPr>
          <w:p w14:paraId="3D5C78E1"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(8</w:t>
            </w:r>
            <w:r>
              <w:rPr>
                <w:rFonts w:cs="Arial"/>
                <w:sz w:val="14"/>
                <w:szCs w:val="14"/>
              </w:rPr>
              <w:t>,</w:t>
            </w:r>
            <w:r w:rsidRPr="006947CF">
              <w:rPr>
                <w:rFonts w:cs="Arial"/>
                <w:sz w:val="14"/>
                <w:szCs w:val="14"/>
              </w:rPr>
              <w:t>622)</w:t>
            </w:r>
          </w:p>
        </w:tc>
      </w:tr>
      <w:tr w:rsidR="005357C6" w:rsidRPr="007E5BEF" w14:paraId="0E14649A" w14:textId="77777777" w:rsidTr="009C25D3">
        <w:trPr>
          <w:trHeight w:val="238"/>
          <w:jc w:val="center"/>
        </w:trPr>
        <w:tc>
          <w:tcPr>
            <w:tcW w:w="2909" w:type="dxa"/>
            <w:shd w:val="clear" w:color="auto" w:fill="auto"/>
            <w:vAlign w:val="center"/>
          </w:tcPr>
          <w:p w14:paraId="5FD13869"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Operational result</w:t>
            </w:r>
          </w:p>
        </w:tc>
        <w:tc>
          <w:tcPr>
            <w:tcW w:w="1346" w:type="dxa"/>
            <w:shd w:val="clear" w:color="auto" w:fill="auto"/>
            <w:vAlign w:val="center"/>
          </w:tcPr>
          <w:p w14:paraId="786DEDE8"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270</w:t>
            </w:r>
            <w:r>
              <w:rPr>
                <w:rFonts w:cs="Arial"/>
                <w:b/>
                <w:sz w:val="14"/>
                <w:szCs w:val="14"/>
              </w:rPr>
              <w:t>,</w:t>
            </w:r>
            <w:r w:rsidRPr="003E0F6E">
              <w:rPr>
                <w:rFonts w:cs="Arial"/>
                <w:b/>
                <w:sz w:val="14"/>
                <w:szCs w:val="14"/>
              </w:rPr>
              <w:t xml:space="preserve">058 </w:t>
            </w:r>
          </w:p>
        </w:tc>
        <w:tc>
          <w:tcPr>
            <w:tcW w:w="1346" w:type="dxa"/>
            <w:shd w:val="clear" w:color="auto" w:fill="auto"/>
            <w:vAlign w:val="center"/>
          </w:tcPr>
          <w:p w14:paraId="2C4CCE59"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346</w:t>
            </w:r>
            <w:r>
              <w:rPr>
                <w:rFonts w:cs="Arial"/>
                <w:b/>
                <w:sz w:val="14"/>
                <w:szCs w:val="14"/>
              </w:rPr>
              <w:t>,</w:t>
            </w:r>
            <w:r w:rsidRPr="003E0F6E">
              <w:rPr>
                <w:rFonts w:cs="Arial"/>
                <w:b/>
                <w:sz w:val="14"/>
                <w:szCs w:val="14"/>
              </w:rPr>
              <w:t>22</w:t>
            </w:r>
            <w:r>
              <w:rPr>
                <w:rFonts w:cs="Arial"/>
                <w:b/>
                <w:sz w:val="14"/>
                <w:szCs w:val="14"/>
              </w:rPr>
              <w:t>3</w:t>
            </w:r>
            <w:r w:rsidRPr="003E0F6E">
              <w:rPr>
                <w:rFonts w:cs="Arial"/>
                <w:b/>
                <w:sz w:val="14"/>
                <w:szCs w:val="14"/>
              </w:rPr>
              <w:t xml:space="preserve"> </w:t>
            </w:r>
          </w:p>
        </w:tc>
        <w:tc>
          <w:tcPr>
            <w:tcW w:w="1346" w:type="dxa"/>
            <w:shd w:val="clear" w:color="auto" w:fill="auto"/>
            <w:vAlign w:val="center"/>
          </w:tcPr>
          <w:p w14:paraId="199509EC"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42</w:t>
            </w:r>
            <w:r>
              <w:rPr>
                <w:rFonts w:cs="Arial"/>
                <w:b/>
                <w:sz w:val="14"/>
                <w:szCs w:val="14"/>
              </w:rPr>
              <w:t>,</w:t>
            </w:r>
            <w:r w:rsidRPr="003E0F6E">
              <w:rPr>
                <w:rFonts w:cs="Arial"/>
                <w:b/>
                <w:sz w:val="14"/>
                <w:szCs w:val="14"/>
              </w:rPr>
              <w:t xml:space="preserve">565 </w:t>
            </w:r>
          </w:p>
        </w:tc>
        <w:tc>
          <w:tcPr>
            <w:tcW w:w="1346" w:type="dxa"/>
            <w:shd w:val="clear" w:color="auto" w:fill="auto"/>
            <w:vAlign w:val="center"/>
          </w:tcPr>
          <w:p w14:paraId="05AA5132"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w:t>
            </w:r>
            <w:r>
              <w:rPr>
                <w:rFonts w:cs="Arial"/>
                <w:b/>
                <w:sz w:val="14"/>
                <w:szCs w:val="14"/>
              </w:rPr>
              <w:t>,</w:t>
            </w:r>
            <w:r w:rsidRPr="003E0F6E">
              <w:rPr>
                <w:rFonts w:cs="Arial"/>
                <w:b/>
                <w:sz w:val="14"/>
                <w:szCs w:val="14"/>
              </w:rPr>
              <w:t>126</w:t>
            </w:r>
            <w:r>
              <w:rPr>
                <w:rFonts w:cs="Arial"/>
                <w:b/>
                <w:sz w:val="14"/>
                <w:szCs w:val="14"/>
              </w:rPr>
              <w:t>,</w:t>
            </w:r>
            <w:r w:rsidRPr="003E0F6E">
              <w:rPr>
                <w:rFonts w:cs="Arial"/>
                <w:b/>
                <w:sz w:val="14"/>
                <w:szCs w:val="14"/>
              </w:rPr>
              <w:t xml:space="preserve">924 </w:t>
            </w:r>
          </w:p>
        </w:tc>
        <w:tc>
          <w:tcPr>
            <w:tcW w:w="1346" w:type="dxa"/>
            <w:shd w:val="clear" w:color="auto" w:fill="auto"/>
            <w:vAlign w:val="center"/>
          </w:tcPr>
          <w:p w14:paraId="71F98FF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(851)</w:t>
            </w:r>
          </w:p>
        </w:tc>
      </w:tr>
      <w:tr w:rsidR="005357C6" w:rsidRPr="007E5BEF" w14:paraId="7D823397" w14:textId="77777777" w:rsidTr="009C25D3">
        <w:trPr>
          <w:trHeight w:val="238"/>
          <w:jc w:val="center"/>
        </w:trPr>
        <w:tc>
          <w:tcPr>
            <w:tcW w:w="2909" w:type="dxa"/>
            <w:shd w:val="clear" w:color="auto" w:fill="auto"/>
            <w:vAlign w:val="center"/>
          </w:tcPr>
          <w:p w14:paraId="3F641D38" w14:textId="77777777" w:rsidR="005357C6" w:rsidRPr="004365F5" w:rsidRDefault="005357C6" w:rsidP="00475564">
            <w:pPr>
              <w:keepNext/>
              <w:keepLines/>
              <w:spacing w:before="40" w:after="40" w:line="240" w:lineRule="auto"/>
              <w:ind w:left="113"/>
              <w:rPr>
                <w:rFonts w:eastAsia="Times New Roman" w:cs="Arial"/>
                <w:b/>
                <w:color w:val="000000"/>
                <w:spacing w:val="-2"/>
                <w:sz w:val="14"/>
                <w:szCs w:val="14"/>
                <w:lang w:val="en-US" w:eastAsia="pt-BR"/>
              </w:rPr>
            </w:pPr>
            <w:r w:rsidRPr="00944050">
              <w:rPr>
                <w:rFonts w:eastAsia="Times New Roman" w:cs="Arial"/>
                <w:bCs/>
                <w:color w:val="000000"/>
                <w:spacing w:val="-2"/>
                <w:sz w:val="14"/>
                <w:szCs w:val="14"/>
                <w:lang w:val="en-US" w:eastAsia="pt-BR"/>
              </w:rPr>
              <w:t>Gains / losses on non-current assets</w:t>
            </w:r>
          </w:p>
        </w:tc>
        <w:tc>
          <w:tcPr>
            <w:tcW w:w="1346" w:type="dxa"/>
            <w:shd w:val="clear" w:color="auto" w:fill="auto"/>
            <w:vAlign w:val="center"/>
          </w:tcPr>
          <w:p w14:paraId="7EC1CCCD"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475564">
              <w:rPr>
                <w:rFonts w:cs="Arial"/>
                <w:sz w:val="14"/>
                <w:szCs w:val="14"/>
                <w:lang w:val="en-US"/>
              </w:rPr>
              <w:t xml:space="preserve">  </w:t>
            </w:r>
            <w:r w:rsidRPr="006947CF">
              <w:rPr>
                <w:rFonts w:cs="Arial"/>
                <w:sz w:val="14"/>
                <w:szCs w:val="14"/>
              </w:rPr>
              <w:t xml:space="preserve">7 </w:t>
            </w:r>
          </w:p>
        </w:tc>
        <w:tc>
          <w:tcPr>
            <w:tcW w:w="1346" w:type="dxa"/>
            <w:shd w:val="clear" w:color="auto" w:fill="auto"/>
            <w:vAlign w:val="center"/>
          </w:tcPr>
          <w:p w14:paraId="6BDABE0B"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(315)</w:t>
            </w:r>
          </w:p>
        </w:tc>
        <w:tc>
          <w:tcPr>
            <w:tcW w:w="1346" w:type="dxa"/>
            <w:shd w:val="clear" w:color="auto" w:fill="auto"/>
            <w:vAlign w:val="center"/>
          </w:tcPr>
          <w:p w14:paraId="41B9A9A7"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 </w:t>
            </w:r>
          </w:p>
        </w:tc>
        <w:tc>
          <w:tcPr>
            <w:tcW w:w="1346" w:type="dxa"/>
            <w:shd w:val="clear" w:color="auto" w:fill="auto"/>
            <w:vAlign w:val="center"/>
          </w:tcPr>
          <w:p w14:paraId="0AAE36AD"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 </w:t>
            </w:r>
          </w:p>
        </w:tc>
        <w:tc>
          <w:tcPr>
            <w:tcW w:w="1346" w:type="dxa"/>
            <w:shd w:val="clear" w:color="auto" w:fill="auto"/>
            <w:vAlign w:val="center"/>
          </w:tcPr>
          <w:p w14:paraId="58743781"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 </w:t>
            </w:r>
          </w:p>
        </w:tc>
      </w:tr>
      <w:tr w:rsidR="005357C6" w:rsidRPr="007E5BEF" w14:paraId="383CDF22" w14:textId="77777777" w:rsidTr="009C25D3">
        <w:trPr>
          <w:trHeight w:val="238"/>
          <w:jc w:val="center"/>
        </w:trPr>
        <w:tc>
          <w:tcPr>
            <w:tcW w:w="2909" w:type="dxa"/>
            <w:shd w:val="clear" w:color="auto" w:fill="auto"/>
            <w:vAlign w:val="center"/>
          </w:tcPr>
          <w:p w14:paraId="07021EFF"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Income before taxes</w:t>
            </w:r>
          </w:p>
        </w:tc>
        <w:tc>
          <w:tcPr>
            <w:tcW w:w="1346" w:type="dxa"/>
            <w:shd w:val="clear" w:color="auto" w:fill="auto"/>
            <w:vAlign w:val="center"/>
          </w:tcPr>
          <w:p w14:paraId="776BC8EB"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270</w:t>
            </w:r>
            <w:r>
              <w:rPr>
                <w:rFonts w:cs="Arial"/>
                <w:b/>
                <w:sz w:val="14"/>
                <w:szCs w:val="14"/>
              </w:rPr>
              <w:t>,</w:t>
            </w:r>
            <w:r w:rsidRPr="003E0F6E">
              <w:rPr>
                <w:rFonts w:cs="Arial"/>
                <w:b/>
                <w:sz w:val="14"/>
                <w:szCs w:val="14"/>
              </w:rPr>
              <w:t xml:space="preserve">065 </w:t>
            </w:r>
          </w:p>
        </w:tc>
        <w:tc>
          <w:tcPr>
            <w:tcW w:w="1346" w:type="dxa"/>
            <w:shd w:val="clear" w:color="auto" w:fill="auto"/>
            <w:vAlign w:val="center"/>
          </w:tcPr>
          <w:p w14:paraId="7D07C69E"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345</w:t>
            </w:r>
            <w:r>
              <w:rPr>
                <w:rFonts w:cs="Arial"/>
                <w:b/>
                <w:sz w:val="14"/>
                <w:szCs w:val="14"/>
              </w:rPr>
              <w:t>,</w:t>
            </w:r>
            <w:r w:rsidRPr="003E0F6E">
              <w:rPr>
                <w:rFonts w:cs="Arial"/>
                <w:b/>
                <w:sz w:val="14"/>
                <w:szCs w:val="14"/>
              </w:rPr>
              <w:t>90</w:t>
            </w:r>
            <w:r>
              <w:rPr>
                <w:rFonts w:cs="Arial"/>
                <w:b/>
                <w:sz w:val="14"/>
                <w:szCs w:val="14"/>
              </w:rPr>
              <w:t>8</w:t>
            </w:r>
            <w:r w:rsidRPr="003E0F6E">
              <w:rPr>
                <w:rFonts w:cs="Arial"/>
                <w:b/>
                <w:sz w:val="14"/>
                <w:szCs w:val="14"/>
              </w:rPr>
              <w:t xml:space="preserve"> </w:t>
            </w:r>
          </w:p>
        </w:tc>
        <w:tc>
          <w:tcPr>
            <w:tcW w:w="1346" w:type="dxa"/>
            <w:shd w:val="clear" w:color="auto" w:fill="auto"/>
            <w:vAlign w:val="center"/>
          </w:tcPr>
          <w:p w14:paraId="2E5BA74A"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42</w:t>
            </w:r>
            <w:r>
              <w:rPr>
                <w:rFonts w:cs="Arial"/>
                <w:b/>
                <w:sz w:val="14"/>
                <w:szCs w:val="14"/>
              </w:rPr>
              <w:t>,</w:t>
            </w:r>
            <w:r w:rsidRPr="003E0F6E">
              <w:rPr>
                <w:rFonts w:cs="Arial"/>
                <w:b/>
                <w:sz w:val="14"/>
                <w:szCs w:val="14"/>
              </w:rPr>
              <w:t xml:space="preserve">565 </w:t>
            </w:r>
          </w:p>
        </w:tc>
        <w:tc>
          <w:tcPr>
            <w:tcW w:w="1346" w:type="dxa"/>
            <w:shd w:val="clear" w:color="auto" w:fill="auto"/>
            <w:vAlign w:val="center"/>
          </w:tcPr>
          <w:p w14:paraId="0D2DA085"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w:t>
            </w:r>
            <w:r>
              <w:rPr>
                <w:rFonts w:cs="Arial"/>
                <w:b/>
                <w:sz w:val="14"/>
                <w:szCs w:val="14"/>
              </w:rPr>
              <w:t>,</w:t>
            </w:r>
            <w:r w:rsidRPr="003E0F6E">
              <w:rPr>
                <w:rFonts w:cs="Arial"/>
                <w:b/>
                <w:sz w:val="14"/>
                <w:szCs w:val="14"/>
              </w:rPr>
              <w:t>126</w:t>
            </w:r>
            <w:r>
              <w:rPr>
                <w:rFonts w:cs="Arial"/>
                <w:b/>
                <w:sz w:val="14"/>
                <w:szCs w:val="14"/>
              </w:rPr>
              <w:t>,</w:t>
            </w:r>
            <w:r w:rsidRPr="003E0F6E">
              <w:rPr>
                <w:rFonts w:cs="Arial"/>
                <w:b/>
                <w:sz w:val="14"/>
                <w:szCs w:val="14"/>
              </w:rPr>
              <w:t xml:space="preserve">924 </w:t>
            </w:r>
          </w:p>
        </w:tc>
        <w:tc>
          <w:tcPr>
            <w:tcW w:w="1346" w:type="dxa"/>
            <w:shd w:val="clear" w:color="auto" w:fill="auto"/>
            <w:vAlign w:val="center"/>
          </w:tcPr>
          <w:p w14:paraId="2A73D19B"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(851)</w:t>
            </w:r>
          </w:p>
        </w:tc>
      </w:tr>
      <w:tr w:rsidR="005357C6" w:rsidRPr="00D44604" w14:paraId="43C5BE53" w14:textId="77777777" w:rsidTr="009C25D3">
        <w:trPr>
          <w:trHeight w:val="238"/>
          <w:jc w:val="center"/>
        </w:trPr>
        <w:tc>
          <w:tcPr>
            <w:tcW w:w="2909" w:type="dxa"/>
            <w:shd w:val="clear" w:color="auto" w:fill="auto"/>
            <w:vAlign w:val="center"/>
          </w:tcPr>
          <w:p w14:paraId="1248DB32" w14:textId="77777777" w:rsidR="005357C6" w:rsidRPr="004365F5" w:rsidRDefault="005357C6" w:rsidP="00475564">
            <w:pPr>
              <w:keepNext/>
              <w:keepLines/>
              <w:spacing w:before="40" w:after="40" w:line="240" w:lineRule="auto"/>
              <w:ind w:left="113"/>
              <w:rPr>
                <w:rFonts w:eastAsia="Times New Roman" w:cs="Arial"/>
                <w:b/>
                <w:color w:val="000000"/>
                <w:spacing w:val="-2"/>
                <w:sz w:val="14"/>
                <w:szCs w:val="14"/>
                <w:lang w:eastAsia="pt-BR"/>
              </w:rPr>
            </w:pPr>
            <w:r w:rsidRPr="004365F5">
              <w:rPr>
                <w:rFonts w:eastAsia="Times New Roman" w:cs="Arial"/>
                <w:bCs/>
                <w:color w:val="000000"/>
                <w:spacing w:val="-2"/>
                <w:sz w:val="14"/>
                <w:szCs w:val="14"/>
                <w:lang w:eastAsia="pt-BR"/>
              </w:rPr>
              <w:t>Taxes</w:t>
            </w:r>
          </w:p>
        </w:tc>
        <w:tc>
          <w:tcPr>
            <w:tcW w:w="1346" w:type="dxa"/>
            <w:shd w:val="clear" w:color="auto" w:fill="auto"/>
            <w:vAlign w:val="center"/>
          </w:tcPr>
          <w:p w14:paraId="100DB75A"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(763</w:t>
            </w:r>
            <w:r>
              <w:rPr>
                <w:rFonts w:cs="Arial"/>
                <w:sz w:val="14"/>
                <w:szCs w:val="14"/>
              </w:rPr>
              <w:t>,</w:t>
            </w:r>
            <w:r w:rsidRPr="006947CF">
              <w:rPr>
                <w:rFonts w:cs="Arial"/>
                <w:sz w:val="14"/>
                <w:szCs w:val="14"/>
              </w:rPr>
              <w:t>227)</w:t>
            </w:r>
          </w:p>
        </w:tc>
        <w:tc>
          <w:tcPr>
            <w:tcW w:w="1346" w:type="dxa"/>
            <w:shd w:val="clear" w:color="auto" w:fill="auto"/>
            <w:vAlign w:val="center"/>
          </w:tcPr>
          <w:p w14:paraId="793FB549"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(122</w:t>
            </w:r>
            <w:r>
              <w:rPr>
                <w:rFonts w:cs="Arial"/>
                <w:sz w:val="14"/>
                <w:szCs w:val="14"/>
              </w:rPr>
              <w:t>,</w:t>
            </w:r>
            <w:r w:rsidRPr="006947CF">
              <w:rPr>
                <w:rFonts w:cs="Arial"/>
                <w:sz w:val="14"/>
                <w:szCs w:val="14"/>
              </w:rPr>
              <w:t>157)</w:t>
            </w:r>
          </w:p>
        </w:tc>
        <w:tc>
          <w:tcPr>
            <w:tcW w:w="1346" w:type="dxa"/>
            <w:shd w:val="clear" w:color="auto" w:fill="auto"/>
            <w:vAlign w:val="center"/>
          </w:tcPr>
          <w:p w14:paraId="1C1A973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(14</w:t>
            </w:r>
            <w:r>
              <w:rPr>
                <w:rFonts w:cs="Arial"/>
                <w:sz w:val="14"/>
                <w:szCs w:val="14"/>
              </w:rPr>
              <w:t>,</w:t>
            </w:r>
            <w:r w:rsidRPr="006947CF">
              <w:rPr>
                <w:rFonts w:cs="Arial"/>
                <w:sz w:val="14"/>
                <w:szCs w:val="14"/>
              </w:rPr>
              <w:t>423)</w:t>
            </w:r>
          </w:p>
        </w:tc>
        <w:tc>
          <w:tcPr>
            <w:tcW w:w="1346" w:type="dxa"/>
            <w:shd w:val="clear" w:color="auto" w:fill="auto"/>
            <w:vAlign w:val="center"/>
          </w:tcPr>
          <w:p w14:paraId="432745BC"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(1</w:t>
            </w:r>
            <w:r>
              <w:rPr>
                <w:rFonts w:cs="Arial"/>
                <w:sz w:val="14"/>
                <w:szCs w:val="14"/>
              </w:rPr>
              <w:t>,</w:t>
            </w:r>
            <w:r w:rsidRPr="006947CF">
              <w:rPr>
                <w:rFonts w:cs="Arial"/>
                <w:sz w:val="14"/>
                <w:szCs w:val="14"/>
              </w:rPr>
              <w:t>397</w:t>
            </w:r>
            <w:r>
              <w:rPr>
                <w:rFonts w:cs="Arial"/>
                <w:sz w:val="14"/>
                <w:szCs w:val="14"/>
              </w:rPr>
              <w:t>,</w:t>
            </w:r>
            <w:r w:rsidRPr="006947CF">
              <w:rPr>
                <w:rFonts w:cs="Arial"/>
                <w:sz w:val="14"/>
                <w:szCs w:val="14"/>
              </w:rPr>
              <w:t>446)</w:t>
            </w:r>
          </w:p>
        </w:tc>
        <w:tc>
          <w:tcPr>
            <w:tcW w:w="1346" w:type="dxa"/>
            <w:shd w:val="clear" w:color="auto" w:fill="auto"/>
            <w:vAlign w:val="center"/>
          </w:tcPr>
          <w:p w14:paraId="54AB1EB4"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(47)</w:t>
            </w:r>
          </w:p>
        </w:tc>
      </w:tr>
      <w:tr w:rsidR="005357C6" w:rsidRPr="00D44604" w14:paraId="5C41ED0E" w14:textId="77777777" w:rsidTr="009C25D3">
        <w:trPr>
          <w:trHeight w:val="238"/>
          <w:jc w:val="center"/>
        </w:trPr>
        <w:tc>
          <w:tcPr>
            <w:tcW w:w="2909" w:type="dxa"/>
            <w:shd w:val="clear" w:color="auto" w:fill="auto"/>
            <w:vAlign w:val="center"/>
          </w:tcPr>
          <w:p w14:paraId="14235550" w14:textId="77777777" w:rsidR="005357C6" w:rsidRPr="004365F5" w:rsidRDefault="005357C6" w:rsidP="00475564">
            <w:pPr>
              <w:keepNext/>
              <w:keepLines/>
              <w:spacing w:before="40" w:after="40" w:line="240" w:lineRule="auto"/>
              <w:ind w:left="113"/>
              <w:rPr>
                <w:rFonts w:eastAsia="Times New Roman" w:cs="Arial"/>
                <w:b/>
                <w:color w:val="000000"/>
                <w:spacing w:val="-2"/>
                <w:sz w:val="14"/>
                <w:szCs w:val="14"/>
                <w:lang w:eastAsia="pt-BR"/>
              </w:rPr>
            </w:pPr>
            <w:r w:rsidRPr="004365F5">
              <w:rPr>
                <w:rFonts w:eastAsia="Times New Roman" w:cs="Arial"/>
                <w:bCs/>
                <w:color w:val="000000"/>
                <w:spacing w:val="-2"/>
                <w:sz w:val="14"/>
                <w:szCs w:val="14"/>
                <w:lang w:eastAsia="pt-BR"/>
              </w:rPr>
              <w:t>Profit sharing</w:t>
            </w:r>
          </w:p>
        </w:tc>
        <w:tc>
          <w:tcPr>
            <w:tcW w:w="1346" w:type="dxa"/>
            <w:shd w:val="clear" w:color="auto" w:fill="auto"/>
            <w:vAlign w:val="center"/>
          </w:tcPr>
          <w:p w14:paraId="2A8CABC4"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(17</w:t>
            </w:r>
            <w:r>
              <w:rPr>
                <w:rFonts w:cs="Arial"/>
                <w:sz w:val="14"/>
                <w:szCs w:val="14"/>
              </w:rPr>
              <w:t>,</w:t>
            </w:r>
            <w:r w:rsidRPr="006947CF">
              <w:rPr>
                <w:rFonts w:cs="Arial"/>
                <w:sz w:val="14"/>
                <w:szCs w:val="14"/>
              </w:rPr>
              <w:t>691)</w:t>
            </w:r>
          </w:p>
        </w:tc>
        <w:tc>
          <w:tcPr>
            <w:tcW w:w="1346" w:type="dxa"/>
            <w:shd w:val="clear" w:color="auto" w:fill="auto"/>
            <w:vAlign w:val="center"/>
          </w:tcPr>
          <w:p w14:paraId="71A63F8A"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(5</w:t>
            </w:r>
            <w:r>
              <w:rPr>
                <w:rFonts w:cs="Arial"/>
                <w:sz w:val="14"/>
                <w:szCs w:val="14"/>
              </w:rPr>
              <w:t>,</w:t>
            </w:r>
            <w:r w:rsidRPr="006947CF">
              <w:rPr>
                <w:rFonts w:cs="Arial"/>
                <w:sz w:val="14"/>
                <w:szCs w:val="14"/>
              </w:rPr>
              <w:t>983)</w:t>
            </w:r>
          </w:p>
        </w:tc>
        <w:tc>
          <w:tcPr>
            <w:tcW w:w="1346" w:type="dxa"/>
            <w:shd w:val="clear" w:color="auto" w:fill="auto"/>
            <w:vAlign w:val="center"/>
          </w:tcPr>
          <w:p w14:paraId="11E079F6"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(272)</w:t>
            </w:r>
          </w:p>
        </w:tc>
        <w:tc>
          <w:tcPr>
            <w:tcW w:w="1346" w:type="dxa"/>
            <w:shd w:val="clear" w:color="auto" w:fill="auto"/>
            <w:vAlign w:val="center"/>
          </w:tcPr>
          <w:p w14:paraId="6BB38A56"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 </w:t>
            </w:r>
          </w:p>
        </w:tc>
        <w:tc>
          <w:tcPr>
            <w:tcW w:w="1346" w:type="dxa"/>
            <w:shd w:val="clear" w:color="auto" w:fill="auto"/>
            <w:vAlign w:val="center"/>
          </w:tcPr>
          <w:p w14:paraId="61CEF961"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 </w:t>
            </w:r>
          </w:p>
        </w:tc>
      </w:tr>
      <w:tr w:rsidR="005357C6" w:rsidRPr="007E5BEF" w14:paraId="142A3585" w14:textId="77777777" w:rsidTr="009C25D3">
        <w:trPr>
          <w:trHeight w:val="238"/>
          <w:jc w:val="center"/>
        </w:trPr>
        <w:tc>
          <w:tcPr>
            <w:tcW w:w="2909" w:type="dxa"/>
            <w:shd w:val="clear" w:color="auto" w:fill="auto"/>
            <w:vAlign w:val="center"/>
          </w:tcPr>
          <w:p w14:paraId="683024B9" w14:textId="77777777" w:rsidR="005357C6" w:rsidRPr="004365F5" w:rsidRDefault="005357C6" w:rsidP="0008030B">
            <w:pPr>
              <w:keepNext/>
              <w:keepLines/>
              <w:spacing w:before="40" w:after="40" w:line="240" w:lineRule="auto"/>
              <w:rPr>
                <w:rFonts w:eastAsia="Times New Roman" w:cs="Arial"/>
                <w:b/>
                <w:color w:val="000000"/>
                <w:spacing w:val="-2"/>
                <w:sz w:val="14"/>
                <w:szCs w:val="14"/>
                <w:lang w:val="en-US" w:eastAsia="pt-BR"/>
              </w:rPr>
            </w:pPr>
            <w:r w:rsidRPr="004365F5">
              <w:rPr>
                <w:rFonts w:eastAsia="Times New Roman" w:cs="Arial"/>
                <w:b/>
                <w:color w:val="000000"/>
                <w:spacing w:val="-2"/>
                <w:sz w:val="14"/>
                <w:szCs w:val="14"/>
                <w:lang w:val="en-US" w:eastAsia="pt-BR"/>
              </w:rPr>
              <w:t>Net profit (loss) for the year</w:t>
            </w:r>
          </w:p>
        </w:tc>
        <w:tc>
          <w:tcPr>
            <w:tcW w:w="1346" w:type="dxa"/>
            <w:shd w:val="clear" w:color="auto" w:fill="auto"/>
            <w:vAlign w:val="center"/>
          </w:tcPr>
          <w:p w14:paraId="19FDC9F7"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475564">
              <w:rPr>
                <w:rFonts w:cs="Arial"/>
                <w:b/>
                <w:sz w:val="14"/>
                <w:szCs w:val="14"/>
                <w:lang w:val="en-US"/>
              </w:rPr>
              <w:t xml:space="preserve">  </w:t>
            </w:r>
            <w:r w:rsidRPr="003E0F6E">
              <w:rPr>
                <w:rFonts w:cs="Arial"/>
                <w:b/>
                <w:sz w:val="14"/>
                <w:szCs w:val="14"/>
              </w:rPr>
              <w:t>1</w:t>
            </w:r>
            <w:r>
              <w:rPr>
                <w:rFonts w:cs="Arial"/>
                <w:b/>
                <w:sz w:val="14"/>
                <w:szCs w:val="14"/>
              </w:rPr>
              <w:t>,</w:t>
            </w:r>
            <w:r w:rsidRPr="003E0F6E">
              <w:rPr>
                <w:rFonts w:cs="Arial"/>
                <w:b/>
                <w:sz w:val="14"/>
                <w:szCs w:val="14"/>
              </w:rPr>
              <w:t>489</w:t>
            </w:r>
            <w:r>
              <w:rPr>
                <w:rFonts w:cs="Arial"/>
                <w:b/>
                <w:sz w:val="14"/>
                <w:szCs w:val="14"/>
              </w:rPr>
              <w:t>,</w:t>
            </w:r>
            <w:r w:rsidRPr="003E0F6E">
              <w:rPr>
                <w:rFonts w:cs="Arial"/>
                <w:b/>
                <w:sz w:val="14"/>
                <w:szCs w:val="14"/>
              </w:rPr>
              <w:t xml:space="preserve">147 </w:t>
            </w:r>
          </w:p>
        </w:tc>
        <w:tc>
          <w:tcPr>
            <w:tcW w:w="1346" w:type="dxa"/>
            <w:shd w:val="clear" w:color="auto" w:fill="auto"/>
            <w:vAlign w:val="center"/>
          </w:tcPr>
          <w:p w14:paraId="3839CCC4"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0C26D7">
              <w:rPr>
                <w:rFonts w:cs="Arial"/>
                <w:b/>
                <w:sz w:val="14"/>
                <w:szCs w:val="14"/>
              </w:rPr>
              <w:t xml:space="preserve">  217</w:t>
            </w:r>
            <w:r>
              <w:rPr>
                <w:rFonts w:cs="Arial"/>
                <w:b/>
                <w:sz w:val="14"/>
                <w:szCs w:val="14"/>
              </w:rPr>
              <w:t>,</w:t>
            </w:r>
            <w:r w:rsidRPr="000C26D7">
              <w:rPr>
                <w:rFonts w:cs="Arial"/>
                <w:b/>
                <w:sz w:val="14"/>
                <w:szCs w:val="14"/>
              </w:rPr>
              <w:t xml:space="preserve">768 </w:t>
            </w:r>
          </w:p>
        </w:tc>
        <w:tc>
          <w:tcPr>
            <w:tcW w:w="1346" w:type="dxa"/>
            <w:shd w:val="clear" w:color="auto" w:fill="auto"/>
            <w:vAlign w:val="center"/>
          </w:tcPr>
          <w:p w14:paraId="1C715259"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27</w:t>
            </w:r>
            <w:r>
              <w:rPr>
                <w:rFonts w:cs="Arial"/>
                <w:b/>
                <w:sz w:val="14"/>
                <w:szCs w:val="14"/>
              </w:rPr>
              <w:t>,</w:t>
            </w:r>
            <w:r w:rsidRPr="003E0F6E">
              <w:rPr>
                <w:rFonts w:cs="Arial"/>
                <w:b/>
                <w:sz w:val="14"/>
                <w:szCs w:val="14"/>
              </w:rPr>
              <w:t xml:space="preserve">870 </w:t>
            </w:r>
          </w:p>
        </w:tc>
        <w:tc>
          <w:tcPr>
            <w:tcW w:w="1346" w:type="dxa"/>
            <w:shd w:val="clear" w:color="auto" w:fill="auto"/>
            <w:vAlign w:val="center"/>
          </w:tcPr>
          <w:p w14:paraId="4270DD53"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729</w:t>
            </w:r>
            <w:r>
              <w:rPr>
                <w:rFonts w:cs="Arial"/>
                <w:b/>
                <w:sz w:val="14"/>
                <w:szCs w:val="14"/>
              </w:rPr>
              <w:t>,</w:t>
            </w:r>
            <w:r w:rsidRPr="003E0F6E">
              <w:rPr>
                <w:rFonts w:cs="Arial"/>
                <w:b/>
                <w:sz w:val="14"/>
                <w:szCs w:val="14"/>
              </w:rPr>
              <w:t xml:space="preserve">478 </w:t>
            </w:r>
          </w:p>
        </w:tc>
        <w:tc>
          <w:tcPr>
            <w:tcW w:w="1346" w:type="dxa"/>
            <w:shd w:val="clear" w:color="auto" w:fill="auto"/>
            <w:vAlign w:val="center"/>
          </w:tcPr>
          <w:p w14:paraId="7EE78D71"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(898)</w:t>
            </w:r>
          </w:p>
        </w:tc>
      </w:tr>
      <w:tr w:rsidR="005357C6" w:rsidRPr="00D1543E" w14:paraId="73281920" w14:textId="77777777" w:rsidTr="00F312BE">
        <w:trPr>
          <w:trHeight w:val="238"/>
          <w:jc w:val="center"/>
        </w:trPr>
        <w:tc>
          <w:tcPr>
            <w:tcW w:w="2909" w:type="dxa"/>
            <w:shd w:val="clear" w:color="auto" w:fill="auto"/>
            <w:vAlign w:val="center"/>
          </w:tcPr>
          <w:p w14:paraId="3253E065" w14:textId="77777777" w:rsidR="005357C6" w:rsidRPr="00D1543E" w:rsidRDefault="005357C6" w:rsidP="0008030B">
            <w:pPr>
              <w:keepNext/>
              <w:keepLines/>
              <w:spacing w:before="40" w:after="40" w:line="240" w:lineRule="auto"/>
              <w:ind w:left="113"/>
              <w:rPr>
                <w:rFonts w:eastAsia="Times New Roman" w:cs="Arial"/>
                <w:bCs/>
                <w:color w:val="000000"/>
                <w:spacing w:val="-2"/>
                <w:sz w:val="14"/>
                <w:szCs w:val="14"/>
                <w:lang w:eastAsia="pt-BR"/>
              </w:rPr>
            </w:pPr>
            <w:r w:rsidRPr="00D1543E">
              <w:rPr>
                <w:rFonts w:eastAsia="Times New Roman" w:cs="Arial"/>
                <w:bCs/>
                <w:color w:val="000000"/>
                <w:spacing w:val="-2"/>
                <w:sz w:val="14"/>
                <w:szCs w:val="14"/>
                <w:lang w:eastAsia="pt-BR"/>
              </w:rPr>
              <w:t>Other comprehensive results</w:t>
            </w:r>
          </w:p>
        </w:tc>
        <w:tc>
          <w:tcPr>
            <w:tcW w:w="1346" w:type="dxa"/>
            <w:shd w:val="clear" w:color="auto" w:fill="auto"/>
            <w:vAlign w:val="center"/>
          </w:tcPr>
          <w:p w14:paraId="56D45B8E" w14:textId="77777777" w:rsidR="005357C6" w:rsidRPr="00D1543E" w:rsidRDefault="005357C6" w:rsidP="0008030B">
            <w:pPr>
              <w:keepNext/>
              <w:keepLines/>
              <w:spacing w:before="40" w:after="40" w:line="240" w:lineRule="auto"/>
              <w:ind w:left="113"/>
              <w:jc w:val="right"/>
              <w:rPr>
                <w:rFonts w:eastAsia="Times New Roman" w:cs="Arial"/>
                <w:bCs/>
                <w:color w:val="000000"/>
                <w:spacing w:val="-2"/>
                <w:sz w:val="14"/>
                <w:szCs w:val="14"/>
                <w:lang w:eastAsia="pt-BR"/>
              </w:rPr>
            </w:pPr>
            <w:r w:rsidRPr="006947CF">
              <w:rPr>
                <w:rFonts w:cs="Arial"/>
                <w:sz w:val="14"/>
                <w:szCs w:val="14"/>
              </w:rPr>
              <w:t xml:space="preserve">  (1</w:t>
            </w:r>
            <w:r>
              <w:rPr>
                <w:rFonts w:cs="Arial"/>
                <w:sz w:val="14"/>
                <w:szCs w:val="14"/>
              </w:rPr>
              <w:t>,</w:t>
            </w:r>
            <w:r w:rsidRPr="006947CF">
              <w:rPr>
                <w:rFonts w:cs="Arial"/>
                <w:sz w:val="14"/>
                <w:szCs w:val="14"/>
              </w:rPr>
              <w:t>017)</w:t>
            </w:r>
          </w:p>
        </w:tc>
        <w:tc>
          <w:tcPr>
            <w:tcW w:w="1346" w:type="dxa"/>
            <w:shd w:val="clear" w:color="auto" w:fill="auto"/>
          </w:tcPr>
          <w:p w14:paraId="2BC940C3" w14:textId="77777777" w:rsidR="005357C6" w:rsidRPr="00D1543E" w:rsidRDefault="005357C6" w:rsidP="0008030B">
            <w:pPr>
              <w:keepNext/>
              <w:keepLines/>
              <w:spacing w:before="40" w:after="40" w:line="240" w:lineRule="auto"/>
              <w:ind w:left="113"/>
              <w:jc w:val="right"/>
              <w:rPr>
                <w:rFonts w:eastAsia="Times New Roman" w:cs="Arial"/>
                <w:bCs/>
                <w:color w:val="000000"/>
                <w:spacing w:val="-2"/>
                <w:sz w:val="14"/>
                <w:szCs w:val="14"/>
                <w:lang w:eastAsia="pt-BR"/>
              </w:rPr>
            </w:pPr>
            <w:r w:rsidRPr="000C26D7">
              <w:rPr>
                <w:rFonts w:cs="Arial"/>
                <w:sz w:val="14"/>
                <w:szCs w:val="14"/>
              </w:rPr>
              <w:t>14</w:t>
            </w:r>
            <w:r>
              <w:rPr>
                <w:rFonts w:cs="Arial"/>
                <w:sz w:val="14"/>
                <w:szCs w:val="14"/>
              </w:rPr>
              <w:t>,</w:t>
            </w:r>
            <w:r w:rsidRPr="000C26D7">
              <w:rPr>
                <w:rFonts w:cs="Arial"/>
                <w:sz w:val="14"/>
                <w:szCs w:val="14"/>
              </w:rPr>
              <w:t>321</w:t>
            </w:r>
          </w:p>
        </w:tc>
        <w:tc>
          <w:tcPr>
            <w:tcW w:w="1346" w:type="dxa"/>
            <w:shd w:val="clear" w:color="auto" w:fill="auto"/>
            <w:vAlign w:val="center"/>
          </w:tcPr>
          <w:p w14:paraId="62C63B13" w14:textId="77777777" w:rsidR="005357C6" w:rsidRPr="00D1543E" w:rsidRDefault="005357C6" w:rsidP="0008030B">
            <w:pPr>
              <w:keepNext/>
              <w:keepLines/>
              <w:spacing w:before="40" w:after="40" w:line="240" w:lineRule="auto"/>
              <w:ind w:left="113"/>
              <w:jc w:val="right"/>
              <w:rPr>
                <w:rFonts w:eastAsia="Times New Roman" w:cs="Arial"/>
                <w:bCs/>
                <w:color w:val="000000"/>
                <w:spacing w:val="-2"/>
                <w:sz w:val="14"/>
                <w:szCs w:val="14"/>
                <w:lang w:eastAsia="pt-BR"/>
              </w:rPr>
            </w:pPr>
            <w:r w:rsidRPr="003E0F6E">
              <w:rPr>
                <w:rFonts w:cs="Arial"/>
                <w:sz w:val="14"/>
                <w:szCs w:val="14"/>
              </w:rPr>
              <w:t xml:space="preserve">  -- </w:t>
            </w:r>
          </w:p>
        </w:tc>
        <w:tc>
          <w:tcPr>
            <w:tcW w:w="1346" w:type="dxa"/>
            <w:shd w:val="clear" w:color="auto" w:fill="auto"/>
            <w:vAlign w:val="center"/>
          </w:tcPr>
          <w:p w14:paraId="69D5379E" w14:textId="77777777" w:rsidR="005357C6" w:rsidRPr="00D1543E" w:rsidRDefault="005357C6" w:rsidP="0008030B">
            <w:pPr>
              <w:keepNext/>
              <w:keepLines/>
              <w:spacing w:before="40" w:after="40" w:line="240" w:lineRule="auto"/>
              <w:ind w:left="113"/>
              <w:jc w:val="right"/>
              <w:rPr>
                <w:rFonts w:eastAsia="Times New Roman" w:cs="Arial"/>
                <w:bCs/>
                <w:color w:val="000000"/>
                <w:spacing w:val="-2"/>
                <w:sz w:val="14"/>
                <w:szCs w:val="14"/>
                <w:lang w:eastAsia="pt-BR"/>
              </w:rPr>
            </w:pPr>
            <w:r w:rsidRPr="003E0F6E">
              <w:rPr>
                <w:rFonts w:cs="Arial"/>
                <w:sz w:val="14"/>
                <w:szCs w:val="14"/>
              </w:rPr>
              <w:t xml:space="preserve">  -- </w:t>
            </w:r>
          </w:p>
        </w:tc>
        <w:tc>
          <w:tcPr>
            <w:tcW w:w="1346" w:type="dxa"/>
            <w:shd w:val="clear" w:color="auto" w:fill="auto"/>
            <w:vAlign w:val="center"/>
          </w:tcPr>
          <w:p w14:paraId="33C3A1EF" w14:textId="77777777" w:rsidR="005357C6" w:rsidRPr="00D1543E" w:rsidRDefault="005357C6" w:rsidP="0008030B">
            <w:pPr>
              <w:keepNext/>
              <w:keepLines/>
              <w:spacing w:before="40" w:after="40" w:line="240" w:lineRule="auto"/>
              <w:ind w:left="113"/>
              <w:jc w:val="right"/>
              <w:rPr>
                <w:rFonts w:eastAsia="Times New Roman" w:cs="Arial"/>
                <w:bCs/>
                <w:color w:val="000000"/>
                <w:spacing w:val="-2"/>
                <w:sz w:val="14"/>
                <w:szCs w:val="14"/>
                <w:lang w:eastAsia="pt-BR"/>
              </w:rPr>
            </w:pPr>
            <w:r w:rsidRPr="003E0F6E">
              <w:rPr>
                <w:rFonts w:cs="Arial"/>
                <w:sz w:val="14"/>
                <w:szCs w:val="14"/>
              </w:rPr>
              <w:t xml:space="preserve">  -- </w:t>
            </w:r>
          </w:p>
        </w:tc>
      </w:tr>
      <w:tr w:rsidR="005357C6" w:rsidRPr="007E5BEF" w14:paraId="5D97E4BB" w14:textId="77777777" w:rsidTr="00F312BE">
        <w:trPr>
          <w:trHeight w:val="238"/>
          <w:jc w:val="center"/>
        </w:trPr>
        <w:tc>
          <w:tcPr>
            <w:tcW w:w="2909" w:type="dxa"/>
            <w:shd w:val="clear" w:color="auto" w:fill="auto"/>
            <w:vAlign w:val="center"/>
          </w:tcPr>
          <w:p w14:paraId="6458CF84" w14:textId="77777777" w:rsidR="005357C6" w:rsidRPr="004365F5" w:rsidRDefault="005357C6" w:rsidP="0008030B">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Total comprehensive result</w:t>
            </w:r>
          </w:p>
        </w:tc>
        <w:tc>
          <w:tcPr>
            <w:tcW w:w="1346" w:type="dxa"/>
            <w:shd w:val="clear" w:color="auto" w:fill="auto"/>
            <w:vAlign w:val="center"/>
          </w:tcPr>
          <w:p w14:paraId="3E1DF490"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w:t>
            </w:r>
            <w:r>
              <w:rPr>
                <w:rFonts w:cs="Arial"/>
                <w:b/>
                <w:sz w:val="14"/>
                <w:szCs w:val="14"/>
              </w:rPr>
              <w:t>,</w:t>
            </w:r>
            <w:r w:rsidRPr="003E0F6E">
              <w:rPr>
                <w:rFonts w:cs="Arial"/>
                <w:b/>
                <w:sz w:val="14"/>
                <w:szCs w:val="14"/>
              </w:rPr>
              <w:t>488</w:t>
            </w:r>
            <w:r>
              <w:rPr>
                <w:rFonts w:cs="Arial"/>
                <w:b/>
                <w:sz w:val="14"/>
                <w:szCs w:val="14"/>
              </w:rPr>
              <w:t>,</w:t>
            </w:r>
            <w:r w:rsidRPr="003E0F6E">
              <w:rPr>
                <w:rFonts w:cs="Arial"/>
                <w:b/>
                <w:sz w:val="14"/>
                <w:szCs w:val="14"/>
              </w:rPr>
              <w:t xml:space="preserve">130 </w:t>
            </w:r>
          </w:p>
        </w:tc>
        <w:tc>
          <w:tcPr>
            <w:tcW w:w="1346" w:type="dxa"/>
            <w:shd w:val="clear" w:color="auto" w:fill="auto"/>
          </w:tcPr>
          <w:p w14:paraId="1E3C0A96"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0C26D7">
              <w:rPr>
                <w:rFonts w:cs="Arial"/>
                <w:b/>
                <w:sz w:val="14"/>
                <w:szCs w:val="14"/>
              </w:rPr>
              <w:t>232</w:t>
            </w:r>
            <w:r>
              <w:rPr>
                <w:rFonts w:cs="Arial"/>
                <w:b/>
                <w:sz w:val="14"/>
                <w:szCs w:val="14"/>
              </w:rPr>
              <w:t>,</w:t>
            </w:r>
            <w:r w:rsidRPr="000C26D7">
              <w:rPr>
                <w:rFonts w:cs="Arial"/>
                <w:b/>
                <w:sz w:val="14"/>
                <w:szCs w:val="14"/>
              </w:rPr>
              <w:t>089</w:t>
            </w:r>
          </w:p>
        </w:tc>
        <w:tc>
          <w:tcPr>
            <w:tcW w:w="1346" w:type="dxa"/>
            <w:shd w:val="clear" w:color="auto" w:fill="auto"/>
            <w:vAlign w:val="center"/>
          </w:tcPr>
          <w:p w14:paraId="006EE0E8"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27</w:t>
            </w:r>
            <w:r>
              <w:rPr>
                <w:rFonts w:cs="Arial"/>
                <w:b/>
                <w:sz w:val="14"/>
                <w:szCs w:val="14"/>
              </w:rPr>
              <w:t>,</w:t>
            </w:r>
            <w:r w:rsidRPr="003E0F6E">
              <w:rPr>
                <w:rFonts w:cs="Arial"/>
                <w:b/>
                <w:sz w:val="14"/>
                <w:szCs w:val="14"/>
              </w:rPr>
              <w:t xml:space="preserve">870 </w:t>
            </w:r>
          </w:p>
        </w:tc>
        <w:tc>
          <w:tcPr>
            <w:tcW w:w="1346" w:type="dxa"/>
            <w:shd w:val="clear" w:color="auto" w:fill="auto"/>
            <w:vAlign w:val="center"/>
          </w:tcPr>
          <w:p w14:paraId="38B6D18A"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729</w:t>
            </w:r>
            <w:r>
              <w:rPr>
                <w:rFonts w:cs="Arial"/>
                <w:b/>
                <w:sz w:val="14"/>
                <w:szCs w:val="14"/>
              </w:rPr>
              <w:t>,</w:t>
            </w:r>
            <w:r w:rsidRPr="003E0F6E">
              <w:rPr>
                <w:rFonts w:cs="Arial"/>
                <w:b/>
                <w:sz w:val="14"/>
                <w:szCs w:val="14"/>
              </w:rPr>
              <w:t xml:space="preserve">478 </w:t>
            </w:r>
          </w:p>
        </w:tc>
        <w:tc>
          <w:tcPr>
            <w:tcW w:w="1346" w:type="dxa"/>
            <w:shd w:val="clear" w:color="auto" w:fill="auto"/>
            <w:vAlign w:val="center"/>
          </w:tcPr>
          <w:p w14:paraId="589169E2"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(898)</w:t>
            </w:r>
          </w:p>
        </w:tc>
      </w:tr>
      <w:tr w:rsidR="005357C6" w:rsidRPr="007E5BEF" w14:paraId="7472032E" w14:textId="77777777" w:rsidTr="009C25D3">
        <w:trPr>
          <w:trHeight w:val="238"/>
          <w:jc w:val="center"/>
        </w:trPr>
        <w:tc>
          <w:tcPr>
            <w:tcW w:w="2909" w:type="dxa"/>
            <w:shd w:val="clear" w:color="auto" w:fill="auto"/>
            <w:vAlign w:val="center"/>
          </w:tcPr>
          <w:p w14:paraId="272ECDC6"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Attributable to BB Seguridade</w:t>
            </w:r>
          </w:p>
        </w:tc>
        <w:tc>
          <w:tcPr>
            <w:tcW w:w="1346" w:type="dxa"/>
            <w:shd w:val="clear" w:color="auto" w:fill="auto"/>
            <w:vAlign w:val="center"/>
          </w:tcPr>
          <w:p w14:paraId="4998F7BA"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w:t>
            </w:r>
            <w:r>
              <w:rPr>
                <w:rFonts w:cs="Arial"/>
                <w:b/>
                <w:sz w:val="14"/>
                <w:szCs w:val="14"/>
              </w:rPr>
              <w:t>,</w:t>
            </w:r>
            <w:r w:rsidRPr="003E0F6E">
              <w:rPr>
                <w:rFonts w:cs="Arial"/>
                <w:b/>
                <w:sz w:val="14"/>
                <w:szCs w:val="14"/>
              </w:rPr>
              <w:t>116</w:t>
            </w:r>
            <w:r>
              <w:rPr>
                <w:rFonts w:cs="Arial"/>
                <w:b/>
                <w:sz w:val="14"/>
                <w:szCs w:val="14"/>
              </w:rPr>
              <w:t>,</w:t>
            </w:r>
            <w:r w:rsidRPr="003E0F6E">
              <w:rPr>
                <w:rFonts w:cs="Arial"/>
                <w:b/>
                <w:sz w:val="14"/>
                <w:szCs w:val="14"/>
              </w:rPr>
              <w:t xml:space="preserve">786 </w:t>
            </w:r>
          </w:p>
        </w:tc>
        <w:tc>
          <w:tcPr>
            <w:tcW w:w="1346" w:type="dxa"/>
            <w:shd w:val="clear" w:color="auto" w:fill="auto"/>
            <w:vAlign w:val="center"/>
          </w:tcPr>
          <w:p w14:paraId="0C646966"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145</w:t>
            </w:r>
            <w:r>
              <w:rPr>
                <w:rFonts w:cs="Arial"/>
                <w:b/>
                <w:sz w:val="14"/>
                <w:szCs w:val="14"/>
              </w:rPr>
              <w:t>,</w:t>
            </w:r>
            <w:r w:rsidRPr="003E0F6E">
              <w:rPr>
                <w:rFonts w:cs="Arial"/>
                <w:b/>
                <w:sz w:val="14"/>
                <w:szCs w:val="14"/>
              </w:rPr>
              <w:t xml:space="preserve">199 </w:t>
            </w:r>
          </w:p>
        </w:tc>
        <w:tc>
          <w:tcPr>
            <w:tcW w:w="1346" w:type="dxa"/>
            <w:shd w:val="clear" w:color="auto" w:fill="auto"/>
            <w:vAlign w:val="center"/>
          </w:tcPr>
          <w:p w14:paraId="032C24D5"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20</w:t>
            </w:r>
            <w:r>
              <w:rPr>
                <w:rFonts w:cs="Arial"/>
                <w:b/>
                <w:sz w:val="14"/>
                <w:szCs w:val="14"/>
              </w:rPr>
              <w:t>,</w:t>
            </w:r>
            <w:r w:rsidRPr="003E0F6E">
              <w:rPr>
                <w:rFonts w:cs="Arial"/>
                <w:b/>
                <w:sz w:val="14"/>
                <w:szCs w:val="14"/>
              </w:rPr>
              <w:t xml:space="preserve">902 </w:t>
            </w:r>
          </w:p>
        </w:tc>
        <w:tc>
          <w:tcPr>
            <w:tcW w:w="1346" w:type="dxa"/>
            <w:shd w:val="clear" w:color="auto" w:fill="auto"/>
            <w:vAlign w:val="center"/>
          </w:tcPr>
          <w:p w14:paraId="4F8DAA6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729</w:t>
            </w:r>
            <w:r>
              <w:rPr>
                <w:rFonts w:cs="Arial"/>
                <w:b/>
                <w:sz w:val="14"/>
                <w:szCs w:val="14"/>
              </w:rPr>
              <w:t>,</w:t>
            </w:r>
            <w:r w:rsidRPr="003E0F6E">
              <w:rPr>
                <w:rFonts w:cs="Arial"/>
                <w:b/>
                <w:sz w:val="14"/>
                <w:szCs w:val="14"/>
              </w:rPr>
              <w:t xml:space="preserve">478 </w:t>
            </w:r>
          </w:p>
        </w:tc>
        <w:tc>
          <w:tcPr>
            <w:tcW w:w="1346" w:type="dxa"/>
            <w:shd w:val="clear" w:color="auto" w:fill="auto"/>
            <w:vAlign w:val="center"/>
          </w:tcPr>
          <w:p w14:paraId="08CE7BDA"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(673)</w:t>
            </w:r>
          </w:p>
        </w:tc>
      </w:tr>
      <w:tr w:rsidR="005357C6" w:rsidRPr="007E5BEF" w14:paraId="7FBD5517" w14:textId="77777777" w:rsidTr="009C25D3">
        <w:trPr>
          <w:trHeight w:val="238"/>
          <w:jc w:val="center"/>
        </w:trPr>
        <w:tc>
          <w:tcPr>
            <w:tcW w:w="2909" w:type="dxa"/>
            <w:tcBorders>
              <w:bottom w:val="single" w:sz="2" w:space="0" w:color="1F4E79" w:themeColor="accent1" w:themeShade="80"/>
            </w:tcBorders>
            <w:shd w:val="clear" w:color="auto" w:fill="auto"/>
            <w:vAlign w:val="center"/>
          </w:tcPr>
          <w:p w14:paraId="54F0E343"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Equivalence result</w:t>
            </w:r>
          </w:p>
        </w:tc>
        <w:tc>
          <w:tcPr>
            <w:tcW w:w="1346" w:type="dxa"/>
            <w:tcBorders>
              <w:bottom w:val="single" w:sz="2" w:space="0" w:color="1F4E79" w:themeColor="accent1" w:themeShade="80"/>
            </w:tcBorders>
            <w:shd w:val="clear" w:color="auto" w:fill="auto"/>
            <w:vAlign w:val="center"/>
          </w:tcPr>
          <w:p w14:paraId="384B5C61"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w:t>
            </w:r>
            <w:r>
              <w:rPr>
                <w:rFonts w:cs="Arial"/>
                <w:b/>
                <w:sz w:val="14"/>
                <w:szCs w:val="14"/>
              </w:rPr>
              <w:t>,</w:t>
            </w:r>
            <w:r w:rsidRPr="003E0F6E">
              <w:rPr>
                <w:rFonts w:cs="Arial"/>
                <w:b/>
                <w:sz w:val="14"/>
                <w:szCs w:val="14"/>
              </w:rPr>
              <w:t>116</w:t>
            </w:r>
            <w:r>
              <w:rPr>
                <w:rFonts w:cs="Arial"/>
                <w:b/>
                <w:sz w:val="14"/>
                <w:szCs w:val="14"/>
              </w:rPr>
              <w:t>,</w:t>
            </w:r>
            <w:r w:rsidRPr="003E0F6E">
              <w:rPr>
                <w:rFonts w:cs="Arial"/>
                <w:b/>
                <w:sz w:val="14"/>
                <w:szCs w:val="14"/>
              </w:rPr>
              <w:t xml:space="preserve">786 </w:t>
            </w:r>
          </w:p>
        </w:tc>
        <w:tc>
          <w:tcPr>
            <w:tcW w:w="1346" w:type="dxa"/>
            <w:tcBorders>
              <w:bottom w:val="single" w:sz="2" w:space="0" w:color="1F4E79" w:themeColor="accent1" w:themeShade="80"/>
            </w:tcBorders>
            <w:shd w:val="clear" w:color="auto" w:fill="auto"/>
            <w:vAlign w:val="center"/>
          </w:tcPr>
          <w:p w14:paraId="3E23C350"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145</w:t>
            </w:r>
            <w:r>
              <w:rPr>
                <w:rFonts w:cs="Arial"/>
                <w:b/>
                <w:sz w:val="14"/>
                <w:szCs w:val="14"/>
              </w:rPr>
              <w:t>,</w:t>
            </w:r>
            <w:r w:rsidRPr="003E0F6E">
              <w:rPr>
                <w:rFonts w:cs="Arial"/>
                <w:b/>
                <w:sz w:val="14"/>
                <w:szCs w:val="14"/>
              </w:rPr>
              <w:t xml:space="preserve">199 </w:t>
            </w:r>
          </w:p>
        </w:tc>
        <w:tc>
          <w:tcPr>
            <w:tcW w:w="1346" w:type="dxa"/>
            <w:tcBorders>
              <w:bottom w:val="single" w:sz="2" w:space="0" w:color="1F4E79" w:themeColor="accent1" w:themeShade="80"/>
            </w:tcBorders>
            <w:shd w:val="clear" w:color="auto" w:fill="auto"/>
            <w:vAlign w:val="center"/>
          </w:tcPr>
          <w:p w14:paraId="7D08B83D"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20</w:t>
            </w:r>
            <w:r>
              <w:rPr>
                <w:rFonts w:cs="Arial"/>
                <w:b/>
                <w:sz w:val="14"/>
                <w:szCs w:val="14"/>
              </w:rPr>
              <w:t>,</w:t>
            </w:r>
            <w:r w:rsidRPr="003E0F6E">
              <w:rPr>
                <w:rFonts w:cs="Arial"/>
                <w:b/>
                <w:sz w:val="14"/>
                <w:szCs w:val="14"/>
              </w:rPr>
              <w:t xml:space="preserve">902 </w:t>
            </w:r>
          </w:p>
        </w:tc>
        <w:tc>
          <w:tcPr>
            <w:tcW w:w="1346" w:type="dxa"/>
            <w:tcBorders>
              <w:bottom w:val="single" w:sz="2" w:space="0" w:color="1F4E79" w:themeColor="accent1" w:themeShade="80"/>
            </w:tcBorders>
            <w:shd w:val="clear" w:color="auto" w:fill="auto"/>
            <w:vAlign w:val="center"/>
          </w:tcPr>
          <w:p w14:paraId="5290F6BE"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729</w:t>
            </w:r>
            <w:r>
              <w:rPr>
                <w:rFonts w:cs="Arial"/>
                <w:b/>
                <w:sz w:val="14"/>
                <w:szCs w:val="14"/>
              </w:rPr>
              <w:t>,</w:t>
            </w:r>
            <w:r w:rsidRPr="003E0F6E">
              <w:rPr>
                <w:rFonts w:cs="Arial"/>
                <w:b/>
                <w:sz w:val="14"/>
                <w:szCs w:val="14"/>
              </w:rPr>
              <w:t xml:space="preserve">478 </w:t>
            </w:r>
          </w:p>
        </w:tc>
        <w:tc>
          <w:tcPr>
            <w:tcW w:w="1346" w:type="dxa"/>
            <w:tcBorders>
              <w:bottom w:val="single" w:sz="2" w:space="0" w:color="1F4E79" w:themeColor="accent1" w:themeShade="80"/>
            </w:tcBorders>
            <w:shd w:val="clear" w:color="auto" w:fill="auto"/>
            <w:vAlign w:val="center"/>
          </w:tcPr>
          <w:p w14:paraId="1E56B729"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(673)</w:t>
            </w:r>
          </w:p>
        </w:tc>
      </w:tr>
    </w:tbl>
    <w:p w14:paraId="1D765236" w14:textId="77777777" w:rsidR="005357C6" w:rsidRPr="00446D2D" w:rsidRDefault="005357C6" w:rsidP="005357C6">
      <w:pPr>
        <w:pStyle w:val="PargrafodaLista"/>
        <w:numPr>
          <w:ilvl w:val="0"/>
          <w:numId w:val="29"/>
        </w:numPr>
        <w:rPr>
          <w:rFonts w:ascii="Arial" w:eastAsia="Times New Roman" w:hAnsi="Arial" w:cs="Times New Roman"/>
          <w:spacing w:val="-2"/>
          <w:sz w:val="14"/>
          <w:szCs w:val="18"/>
          <w:lang w:val="en-US" w:eastAsia="pt-BR"/>
        </w:rPr>
      </w:pPr>
      <w:r w:rsidRPr="006333F2">
        <w:rPr>
          <w:rFonts w:ascii="Arial" w:eastAsia="Times New Roman" w:hAnsi="Arial" w:cs="Times New Roman"/>
          <w:spacing w:val="-2"/>
          <w:sz w:val="14"/>
          <w:szCs w:val="18"/>
          <w:lang w:val="en-US" w:eastAsia="pt-BR"/>
        </w:rPr>
        <w:t>Refers to changes in net income adjusted in the respective quarter.</w:t>
      </w:r>
    </w:p>
    <w:p w14:paraId="5F3CA906" w14:textId="77777777" w:rsidR="005357C6" w:rsidRPr="006333F2" w:rsidRDefault="005357C6" w:rsidP="001756D2">
      <w:pPr>
        <w:keepNext/>
        <w:keepLines/>
        <w:spacing w:after="0"/>
        <w:jc w:val="right"/>
        <w:rPr>
          <w:rFonts w:cs="Arial"/>
          <w:b/>
          <w:sz w:val="14"/>
          <w:szCs w:val="18"/>
          <w:lang w:val="en-US"/>
        </w:rPr>
      </w:pPr>
      <w:r w:rsidRPr="006333F2">
        <w:rPr>
          <w:rFonts w:cs="Arial"/>
          <w:b/>
          <w:sz w:val="14"/>
          <w:szCs w:val="18"/>
          <w:lang w:val="en-US"/>
        </w:rPr>
        <w:lastRenderedPageBreak/>
        <w:t>R$ thousand</w:t>
      </w:r>
    </w:p>
    <w:tbl>
      <w:tblPr>
        <w:tblW w:w="9639" w:type="dxa"/>
        <w:jc w:val="center"/>
        <w:tblLayout w:type="fixed"/>
        <w:tblLook w:val="04A0" w:firstRow="1" w:lastRow="0" w:firstColumn="1" w:lastColumn="0" w:noHBand="0" w:noVBand="1"/>
      </w:tblPr>
      <w:tblGrid>
        <w:gridCol w:w="2909"/>
        <w:gridCol w:w="1346"/>
        <w:gridCol w:w="1346"/>
        <w:gridCol w:w="1346"/>
        <w:gridCol w:w="1346"/>
        <w:gridCol w:w="1346"/>
      </w:tblGrid>
      <w:tr w:rsidR="005357C6" w:rsidRPr="00D44604" w14:paraId="12E67773" w14:textId="77777777" w:rsidTr="00510C96">
        <w:trPr>
          <w:trHeight w:val="238"/>
          <w:jc w:val="center"/>
        </w:trPr>
        <w:tc>
          <w:tcPr>
            <w:tcW w:w="2909" w:type="dxa"/>
            <w:tcBorders>
              <w:top w:val="single" w:sz="2" w:space="0" w:color="1F4E79" w:themeColor="accent1" w:themeShade="80"/>
              <w:bottom w:val="single" w:sz="2" w:space="0" w:color="1F4E79" w:themeColor="accent1" w:themeShade="80"/>
            </w:tcBorders>
            <w:shd w:val="clear" w:color="auto" w:fill="auto"/>
            <w:vAlign w:val="center"/>
          </w:tcPr>
          <w:p w14:paraId="352D28FE"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cs="Arial"/>
                <w:b/>
                <w:sz w:val="14"/>
                <w:szCs w:val="14"/>
              </w:rPr>
              <w:t>Segment</w:t>
            </w:r>
          </w:p>
        </w:tc>
        <w:tc>
          <w:tcPr>
            <w:tcW w:w="4038" w:type="dxa"/>
            <w:gridSpan w:val="3"/>
            <w:tcBorders>
              <w:top w:val="single" w:sz="2" w:space="0" w:color="1F4E79" w:themeColor="accent1" w:themeShade="80"/>
              <w:bottom w:val="single" w:sz="2" w:space="0" w:color="1F4E79" w:themeColor="accent1" w:themeShade="80"/>
              <w:right w:val="single" w:sz="2" w:space="0" w:color="8EAADB" w:themeColor="accent5" w:themeTint="99"/>
            </w:tcBorders>
            <w:shd w:val="clear" w:color="auto" w:fill="auto"/>
            <w:vAlign w:val="center"/>
          </w:tcPr>
          <w:p w14:paraId="208A5BA3"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Insurance</w:t>
            </w:r>
          </w:p>
        </w:tc>
        <w:tc>
          <w:tcPr>
            <w:tcW w:w="2692" w:type="dxa"/>
            <w:gridSpan w:val="2"/>
            <w:tcBorders>
              <w:top w:val="single" w:sz="2" w:space="0" w:color="1F4E79" w:themeColor="accent1" w:themeShade="80"/>
              <w:left w:val="single" w:sz="2" w:space="0" w:color="8EAADB" w:themeColor="accent5" w:themeTint="99"/>
              <w:bottom w:val="single" w:sz="2" w:space="0" w:color="1F4E79" w:themeColor="accent1" w:themeShade="80"/>
            </w:tcBorders>
            <w:shd w:val="clear" w:color="auto" w:fill="auto"/>
            <w:vAlign w:val="center"/>
          </w:tcPr>
          <w:p w14:paraId="76EA3B00"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Brokerage</w:t>
            </w:r>
          </w:p>
        </w:tc>
      </w:tr>
      <w:tr w:rsidR="005357C6" w:rsidRPr="00D44604" w14:paraId="35404F00" w14:textId="77777777" w:rsidTr="00510C96">
        <w:trPr>
          <w:trHeight w:val="238"/>
          <w:jc w:val="center"/>
        </w:trPr>
        <w:tc>
          <w:tcPr>
            <w:tcW w:w="2909" w:type="dxa"/>
            <w:tcBorders>
              <w:top w:val="single" w:sz="2" w:space="0" w:color="1F4E79" w:themeColor="accent1" w:themeShade="80"/>
              <w:bottom w:val="single" w:sz="2" w:space="0" w:color="1F4E79" w:themeColor="accent1" w:themeShade="80"/>
            </w:tcBorders>
            <w:shd w:val="clear" w:color="auto" w:fill="auto"/>
            <w:vAlign w:val="center"/>
          </w:tcPr>
          <w:p w14:paraId="2E81216A"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cs="Arial"/>
                <w:b/>
                <w:sz w:val="14"/>
                <w:szCs w:val="14"/>
              </w:rPr>
              <w:t>Line of business</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2AEBA08C"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Private</w:t>
            </w:r>
          </w:p>
          <w:p w14:paraId="2C7AE7D0"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Pension Plans</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021BDEF3"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Capitalization</w:t>
            </w:r>
          </w:p>
          <w:p w14:paraId="0244AF3A"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Plans</w:t>
            </w:r>
          </w:p>
        </w:tc>
        <w:tc>
          <w:tcPr>
            <w:tcW w:w="1346" w:type="dxa"/>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2002F83A"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Health</w:t>
            </w:r>
          </w:p>
        </w:tc>
        <w:tc>
          <w:tcPr>
            <w:tcW w:w="1346"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2CF97D5E"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Brokerage</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7A4B4919"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Brokerage</w:t>
            </w:r>
          </w:p>
        </w:tc>
      </w:tr>
      <w:tr w:rsidR="005357C6" w:rsidRPr="00D44604" w14:paraId="3081E93A" w14:textId="77777777" w:rsidTr="00510C96">
        <w:trPr>
          <w:trHeight w:val="238"/>
          <w:jc w:val="center"/>
        </w:trPr>
        <w:tc>
          <w:tcPr>
            <w:tcW w:w="2909" w:type="dxa"/>
            <w:tcBorders>
              <w:top w:val="single" w:sz="2" w:space="0" w:color="1F4E79" w:themeColor="accent1" w:themeShade="80"/>
              <w:bottom w:val="single" w:sz="2" w:space="0" w:color="1F4E79" w:themeColor="accent1" w:themeShade="80"/>
            </w:tcBorders>
            <w:shd w:val="clear" w:color="auto" w:fill="auto"/>
            <w:vAlign w:val="center"/>
          </w:tcPr>
          <w:p w14:paraId="7F2383D8"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922C7B">
              <w:rPr>
                <w:rFonts w:cs="Arial"/>
                <w:b/>
                <w:sz w:val="14"/>
                <w:szCs w:val="14"/>
              </w:rPr>
              <w:t>202</w:t>
            </w:r>
            <w:r>
              <w:rPr>
                <w:rFonts w:cs="Arial"/>
                <w:b/>
                <w:sz w:val="14"/>
                <w:szCs w:val="14"/>
              </w:rPr>
              <w:t>1</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1085F54D"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Brasilprev</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7E2039F3"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 xml:space="preserve">Brasilcap </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355C1B36"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Brasildental</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298CAAE1"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 xml:space="preserve">BB Corretora </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14843F6D" w14:textId="77777777" w:rsidR="005357C6" w:rsidRPr="004365F5" w:rsidRDefault="005357C6" w:rsidP="00510C96">
            <w:pPr>
              <w:keepNext/>
              <w:keepLines/>
              <w:spacing w:before="40" w:after="40" w:line="240" w:lineRule="auto"/>
              <w:jc w:val="center"/>
              <w:rPr>
                <w:rFonts w:eastAsia="Times New Roman" w:cs="Arial"/>
                <w:b/>
                <w:spacing w:val="-2"/>
                <w:sz w:val="14"/>
                <w:szCs w:val="14"/>
                <w:lang w:eastAsia="pt-BR"/>
              </w:rPr>
            </w:pPr>
            <w:r w:rsidRPr="004365F5">
              <w:rPr>
                <w:rFonts w:eastAsia="Times New Roman" w:cs="Arial"/>
                <w:b/>
                <w:spacing w:val="-2"/>
                <w:sz w:val="14"/>
                <w:szCs w:val="14"/>
                <w:lang w:eastAsia="pt-BR"/>
              </w:rPr>
              <w:t xml:space="preserve">Ciclic </w:t>
            </w:r>
          </w:p>
        </w:tc>
      </w:tr>
      <w:tr w:rsidR="005357C6" w:rsidRPr="007E5BEF" w14:paraId="546F3B56" w14:textId="77777777" w:rsidTr="00242BB3">
        <w:trPr>
          <w:trHeight w:val="238"/>
          <w:jc w:val="center"/>
        </w:trPr>
        <w:tc>
          <w:tcPr>
            <w:tcW w:w="2909" w:type="dxa"/>
            <w:tcBorders>
              <w:top w:val="single" w:sz="2" w:space="0" w:color="1F4E79" w:themeColor="accent1" w:themeShade="80"/>
            </w:tcBorders>
            <w:shd w:val="clear" w:color="auto" w:fill="auto"/>
            <w:vAlign w:val="center"/>
          </w:tcPr>
          <w:p w14:paraId="02DD2B7E" w14:textId="77777777" w:rsidR="005357C6" w:rsidRPr="004365F5" w:rsidRDefault="005357C6" w:rsidP="00475564">
            <w:pPr>
              <w:keepNext/>
              <w:keepLines/>
              <w:spacing w:before="40" w:after="40" w:line="240" w:lineRule="auto"/>
              <w:rPr>
                <w:rFonts w:eastAsia="Times New Roman" w:cs="Arial"/>
                <w:b/>
                <w:spacing w:val="-2"/>
                <w:sz w:val="14"/>
                <w:szCs w:val="14"/>
                <w:lang w:val="en-US" w:eastAsia="pt-BR"/>
              </w:rPr>
            </w:pPr>
            <w:r w:rsidRPr="004365F5">
              <w:rPr>
                <w:rFonts w:eastAsia="Times New Roman" w:cs="Arial"/>
                <w:b/>
                <w:spacing w:val="-2"/>
                <w:sz w:val="14"/>
                <w:szCs w:val="14"/>
                <w:lang w:val="en-US" w:eastAsia="pt-BR"/>
              </w:rPr>
              <w:t>Net income from operations / premiums</w:t>
            </w:r>
          </w:p>
        </w:tc>
        <w:tc>
          <w:tcPr>
            <w:tcW w:w="1346" w:type="dxa"/>
            <w:tcBorders>
              <w:top w:val="single" w:sz="2" w:space="0" w:color="1F4E79" w:themeColor="accent1" w:themeShade="80"/>
            </w:tcBorders>
            <w:shd w:val="clear" w:color="auto" w:fill="auto"/>
            <w:vAlign w:val="center"/>
          </w:tcPr>
          <w:p w14:paraId="79DA36F2"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475564">
              <w:rPr>
                <w:rFonts w:cs="Arial"/>
                <w:b/>
                <w:sz w:val="14"/>
                <w:szCs w:val="14"/>
                <w:lang w:val="en-US"/>
              </w:rPr>
              <w:t xml:space="preserve">  </w:t>
            </w:r>
            <w:r w:rsidRPr="003E0F6E">
              <w:rPr>
                <w:rFonts w:cs="Arial"/>
                <w:b/>
                <w:sz w:val="14"/>
                <w:szCs w:val="14"/>
              </w:rPr>
              <w:t>2</w:t>
            </w:r>
            <w:r>
              <w:rPr>
                <w:rFonts w:cs="Arial"/>
                <w:b/>
                <w:sz w:val="14"/>
                <w:szCs w:val="14"/>
              </w:rPr>
              <w:t>,</w:t>
            </w:r>
            <w:r w:rsidRPr="003E0F6E">
              <w:rPr>
                <w:rFonts w:cs="Arial"/>
                <w:b/>
                <w:sz w:val="14"/>
                <w:szCs w:val="14"/>
              </w:rPr>
              <w:t>592</w:t>
            </w:r>
            <w:r>
              <w:rPr>
                <w:rFonts w:cs="Arial"/>
                <w:b/>
                <w:sz w:val="14"/>
                <w:szCs w:val="14"/>
              </w:rPr>
              <w:t>,</w:t>
            </w:r>
            <w:r w:rsidRPr="003E0F6E">
              <w:rPr>
                <w:rFonts w:cs="Arial"/>
                <w:b/>
                <w:sz w:val="14"/>
                <w:szCs w:val="14"/>
              </w:rPr>
              <w:t xml:space="preserve">744 </w:t>
            </w:r>
          </w:p>
        </w:tc>
        <w:tc>
          <w:tcPr>
            <w:tcW w:w="1346" w:type="dxa"/>
            <w:tcBorders>
              <w:top w:val="single" w:sz="2" w:space="0" w:color="1F4E79" w:themeColor="accent1" w:themeShade="80"/>
            </w:tcBorders>
            <w:shd w:val="clear" w:color="auto" w:fill="auto"/>
            <w:vAlign w:val="center"/>
          </w:tcPr>
          <w:p w14:paraId="437AC845"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w:t>
            </w:r>
            <w:r>
              <w:rPr>
                <w:rFonts w:cs="Arial"/>
                <w:b/>
                <w:sz w:val="14"/>
                <w:szCs w:val="14"/>
              </w:rPr>
              <w:t>,</w:t>
            </w:r>
            <w:r w:rsidRPr="003E0F6E">
              <w:rPr>
                <w:rFonts w:cs="Arial"/>
                <w:b/>
                <w:sz w:val="14"/>
                <w:szCs w:val="14"/>
              </w:rPr>
              <w:t xml:space="preserve">521 </w:t>
            </w:r>
          </w:p>
        </w:tc>
        <w:tc>
          <w:tcPr>
            <w:tcW w:w="1346" w:type="dxa"/>
            <w:tcBorders>
              <w:top w:val="single" w:sz="2" w:space="0" w:color="1F4E79" w:themeColor="accent1" w:themeShade="80"/>
            </w:tcBorders>
            <w:shd w:val="clear" w:color="auto" w:fill="auto"/>
            <w:vAlign w:val="center"/>
          </w:tcPr>
          <w:p w14:paraId="5861CE44"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71</w:t>
            </w:r>
            <w:r>
              <w:rPr>
                <w:rFonts w:cs="Arial"/>
                <w:b/>
                <w:sz w:val="14"/>
                <w:szCs w:val="14"/>
              </w:rPr>
              <w:t>,</w:t>
            </w:r>
            <w:r w:rsidRPr="003E0F6E">
              <w:rPr>
                <w:rFonts w:cs="Arial"/>
                <w:b/>
                <w:sz w:val="14"/>
                <w:szCs w:val="14"/>
              </w:rPr>
              <w:t xml:space="preserve">224 </w:t>
            </w:r>
          </w:p>
        </w:tc>
        <w:tc>
          <w:tcPr>
            <w:tcW w:w="1346" w:type="dxa"/>
            <w:tcBorders>
              <w:top w:val="single" w:sz="2" w:space="0" w:color="1F4E79" w:themeColor="accent1" w:themeShade="80"/>
            </w:tcBorders>
            <w:shd w:val="clear" w:color="auto" w:fill="auto"/>
            <w:vAlign w:val="center"/>
          </w:tcPr>
          <w:p w14:paraId="3B32E051"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eastAsia="Times New Roman" w:cs="Arial"/>
                <w:b/>
                <w:spacing w:val="-2"/>
                <w:sz w:val="14"/>
                <w:szCs w:val="14"/>
                <w:lang w:eastAsia="pt-BR"/>
              </w:rPr>
              <w:t xml:space="preserve">  3</w:t>
            </w:r>
            <w:r>
              <w:rPr>
                <w:rFonts w:eastAsia="Times New Roman" w:cs="Arial"/>
                <w:b/>
                <w:spacing w:val="-2"/>
                <w:sz w:val="14"/>
                <w:szCs w:val="14"/>
                <w:lang w:eastAsia="pt-BR"/>
              </w:rPr>
              <w:t>,</w:t>
            </w:r>
            <w:r w:rsidRPr="003E0F6E">
              <w:rPr>
                <w:rFonts w:eastAsia="Times New Roman" w:cs="Arial"/>
                <w:b/>
                <w:spacing w:val="-2"/>
                <w:sz w:val="14"/>
                <w:szCs w:val="14"/>
                <w:lang w:eastAsia="pt-BR"/>
              </w:rPr>
              <w:t>301</w:t>
            </w:r>
            <w:r>
              <w:rPr>
                <w:rFonts w:eastAsia="Times New Roman" w:cs="Arial"/>
                <w:b/>
                <w:spacing w:val="-2"/>
                <w:sz w:val="14"/>
                <w:szCs w:val="14"/>
                <w:lang w:eastAsia="pt-BR"/>
              </w:rPr>
              <w:t>,</w:t>
            </w:r>
            <w:r w:rsidRPr="003E0F6E">
              <w:rPr>
                <w:rFonts w:eastAsia="Times New Roman" w:cs="Arial"/>
                <w:b/>
                <w:spacing w:val="-2"/>
                <w:sz w:val="14"/>
                <w:szCs w:val="14"/>
                <w:lang w:eastAsia="pt-BR"/>
              </w:rPr>
              <w:t>756</w:t>
            </w:r>
          </w:p>
        </w:tc>
        <w:tc>
          <w:tcPr>
            <w:tcW w:w="1346" w:type="dxa"/>
            <w:tcBorders>
              <w:top w:val="single" w:sz="2" w:space="0" w:color="1F4E79" w:themeColor="accent1" w:themeShade="80"/>
            </w:tcBorders>
            <w:shd w:val="clear" w:color="auto" w:fill="auto"/>
            <w:vAlign w:val="center"/>
          </w:tcPr>
          <w:p w14:paraId="29D4668F"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eastAsia="Times New Roman" w:cs="Arial"/>
                <w:b/>
                <w:spacing w:val="-2"/>
                <w:sz w:val="14"/>
                <w:szCs w:val="14"/>
                <w:lang w:eastAsia="pt-BR"/>
              </w:rPr>
              <w:t xml:space="preserve">  6</w:t>
            </w:r>
            <w:r>
              <w:rPr>
                <w:rFonts w:eastAsia="Times New Roman" w:cs="Arial"/>
                <w:b/>
                <w:spacing w:val="-2"/>
                <w:sz w:val="14"/>
                <w:szCs w:val="14"/>
                <w:lang w:eastAsia="pt-BR"/>
              </w:rPr>
              <w:t>,</w:t>
            </w:r>
            <w:r w:rsidRPr="003E0F6E">
              <w:rPr>
                <w:rFonts w:eastAsia="Times New Roman" w:cs="Arial"/>
                <w:b/>
                <w:spacing w:val="-2"/>
                <w:sz w:val="14"/>
                <w:szCs w:val="14"/>
                <w:lang w:eastAsia="pt-BR"/>
              </w:rPr>
              <w:t>578</w:t>
            </w:r>
          </w:p>
        </w:tc>
      </w:tr>
      <w:tr w:rsidR="005357C6" w:rsidRPr="00D44604" w14:paraId="60EE1B1E" w14:textId="77777777" w:rsidTr="00242BB3">
        <w:trPr>
          <w:trHeight w:val="238"/>
          <w:jc w:val="center"/>
        </w:trPr>
        <w:tc>
          <w:tcPr>
            <w:tcW w:w="2909" w:type="dxa"/>
            <w:shd w:val="clear" w:color="auto" w:fill="auto"/>
            <w:vAlign w:val="center"/>
          </w:tcPr>
          <w:p w14:paraId="4A4445B5"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Social Security</w:t>
            </w:r>
          </w:p>
        </w:tc>
        <w:tc>
          <w:tcPr>
            <w:tcW w:w="1346" w:type="dxa"/>
            <w:shd w:val="clear" w:color="auto" w:fill="auto"/>
            <w:vAlign w:val="center"/>
          </w:tcPr>
          <w:p w14:paraId="38330712"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48</w:t>
            </w:r>
            <w:r>
              <w:rPr>
                <w:rFonts w:cs="Arial"/>
                <w:sz w:val="14"/>
                <w:szCs w:val="14"/>
              </w:rPr>
              <w:t>,</w:t>
            </w:r>
            <w:r w:rsidRPr="00BA77A1">
              <w:rPr>
                <w:rFonts w:cs="Arial"/>
                <w:sz w:val="14"/>
                <w:szCs w:val="14"/>
              </w:rPr>
              <w:t>987</w:t>
            </w:r>
            <w:r>
              <w:rPr>
                <w:rFonts w:cs="Arial"/>
                <w:sz w:val="14"/>
                <w:szCs w:val="14"/>
              </w:rPr>
              <w:t>,</w:t>
            </w:r>
            <w:r w:rsidRPr="00BA77A1">
              <w:rPr>
                <w:rFonts w:cs="Arial"/>
                <w:sz w:val="14"/>
                <w:szCs w:val="14"/>
              </w:rPr>
              <w:t xml:space="preserve">349 </w:t>
            </w:r>
          </w:p>
        </w:tc>
        <w:tc>
          <w:tcPr>
            <w:tcW w:w="1346" w:type="dxa"/>
            <w:shd w:val="clear" w:color="auto" w:fill="auto"/>
            <w:vAlign w:val="center"/>
          </w:tcPr>
          <w:p w14:paraId="18A320F9"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46" w:type="dxa"/>
            <w:shd w:val="clear" w:color="auto" w:fill="auto"/>
            <w:vAlign w:val="center"/>
          </w:tcPr>
          <w:p w14:paraId="4534A55B"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46" w:type="dxa"/>
            <w:shd w:val="clear" w:color="auto" w:fill="auto"/>
            <w:vAlign w:val="center"/>
          </w:tcPr>
          <w:p w14:paraId="0FB8770B"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46" w:type="dxa"/>
            <w:shd w:val="clear" w:color="auto" w:fill="auto"/>
            <w:vAlign w:val="center"/>
          </w:tcPr>
          <w:p w14:paraId="32BB9273"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r>
      <w:tr w:rsidR="005357C6" w:rsidRPr="00D44604" w14:paraId="3CD469DF" w14:textId="77777777" w:rsidTr="00242BB3">
        <w:trPr>
          <w:trHeight w:val="238"/>
          <w:jc w:val="center"/>
        </w:trPr>
        <w:tc>
          <w:tcPr>
            <w:tcW w:w="2909" w:type="dxa"/>
            <w:shd w:val="clear" w:color="auto" w:fill="auto"/>
            <w:vAlign w:val="center"/>
          </w:tcPr>
          <w:p w14:paraId="299349D5"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Capitalization</w:t>
            </w:r>
          </w:p>
        </w:tc>
        <w:tc>
          <w:tcPr>
            <w:tcW w:w="1346" w:type="dxa"/>
            <w:shd w:val="clear" w:color="auto" w:fill="auto"/>
            <w:vAlign w:val="center"/>
          </w:tcPr>
          <w:p w14:paraId="1284347E"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46" w:type="dxa"/>
            <w:shd w:val="clear" w:color="auto" w:fill="auto"/>
            <w:vAlign w:val="center"/>
          </w:tcPr>
          <w:p w14:paraId="74DE7D84"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582</w:t>
            </w:r>
            <w:r>
              <w:rPr>
                <w:rFonts w:cs="Arial"/>
                <w:sz w:val="14"/>
                <w:szCs w:val="14"/>
              </w:rPr>
              <w:t>,</w:t>
            </w:r>
            <w:r w:rsidRPr="00BA77A1">
              <w:rPr>
                <w:rFonts w:cs="Arial"/>
                <w:sz w:val="14"/>
                <w:szCs w:val="14"/>
              </w:rPr>
              <w:t xml:space="preserve">268 </w:t>
            </w:r>
          </w:p>
        </w:tc>
        <w:tc>
          <w:tcPr>
            <w:tcW w:w="1346" w:type="dxa"/>
            <w:shd w:val="clear" w:color="auto" w:fill="auto"/>
            <w:vAlign w:val="center"/>
          </w:tcPr>
          <w:p w14:paraId="1682368E"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46" w:type="dxa"/>
            <w:shd w:val="clear" w:color="auto" w:fill="auto"/>
            <w:vAlign w:val="center"/>
          </w:tcPr>
          <w:p w14:paraId="1C7393F8"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46" w:type="dxa"/>
            <w:shd w:val="clear" w:color="auto" w:fill="auto"/>
            <w:vAlign w:val="center"/>
          </w:tcPr>
          <w:p w14:paraId="19005548"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r>
      <w:tr w:rsidR="005357C6" w:rsidRPr="00D44604" w14:paraId="0D088AED" w14:textId="77777777" w:rsidTr="00242BB3">
        <w:trPr>
          <w:trHeight w:val="238"/>
          <w:jc w:val="center"/>
        </w:trPr>
        <w:tc>
          <w:tcPr>
            <w:tcW w:w="2909" w:type="dxa"/>
            <w:shd w:val="clear" w:color="auto" w:fill="auto"/>
            <w:vAlign w:val="center"/>
          </w:tcPr>
          <w:p w14:paraId="3BEE6B20"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Health care</w:t>
            </w:r>
          </w:p>
        </w:tc>
        <w:tc>
          <w:tcPr>
            <w:tcW w:w="1346" w:type="dxa"/>
            <w:shd w:val="clear" w:color="auto" w:fill="auto"/>
            <w:vAlign w:val="center"/>
          </w:tcPr>
          <w:p w14:paraId="44907FAB"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46" w:type="dxa"/>
            <w:shd w:val="clear" w:color="auto" w:fill="auto"/>
            <w:vAlign w:val="center"/>
          </w:tcPr>
          <w:p w14:paraId="767EA32D"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46" w:type="dxa"/>
            <w:shd w:val="clear" w:color="auto" w:fill="auto"/>
            <w:vAlign w:val="center"/>
          </w:tcPr>
          <w:p w14:paraId="7346F04D"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119</w:t>
            </w:r>
            <w:r>
              <w:rPr>
                <w:rFonts w:cs="Arial"/>
                <w:sz w:val="14"/>
                <w:szCs w:val="14"/>
              </w:rPr>
              <w:t>,</w:t>
            </w:r>
            <w:r w:rsidRPr="00BA77A1">
              <w:rPr>
                <w:rFonts w:cs="Arial"/>
                <w:sz w:val="14"/>
                <w:szCs w:val="14"/>
              </w:rPr>
              <w:t xml:space="preserve">517 </w:t>
            </w:r>
          </w:p>
        </w:tc>
        <w:tc>
          <w:tcPr>
            <w:tcW w:w="1346" w:type="dxa"/>
            <w:shd w:val="clear" w:color="auto" w:fill="auto"/>
            <w:vAlign w:val="center"/>
          </w:tcPr>
          <w:p w14:paraId="037DBD07"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46" w:type="dxa"/>
            <w:shd w:val="clear" w:color="auto" w:fill="auto"/>
            <w:vAlign w:val="center"/>
          </w:tcPr>
          <w:p w14:paraId="09C95D2F"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r>
      <w:tr w:rsidR="005357C6" w:rsidRPr="00D44604" w14:paraId="1AB93484" w14:textId="77777777" w:rsidTr="00242BB3">
        <w:trPr>
          <w:trHeight w:val="238"/>
          <w:jc w:val="center"/>
        </w:trPr>
        <w:tc>
          <w:tcPr>
            <w:tcW w:w="2909" w:type="dxa"/>
            <w:shd w:val="clear" w:color="auto" w:fill="auto"/>
            <w:vAlign w:val="center"/>
          </w:tcPr>
          <w:p w14:paraId="1BC65814"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Brokerage</w:t>
            </w:r>
          </w:p>
        </w:tc>
        <w:tc>
          <w:tcPr>
            <w:tcW w:w="1346" w:type="dxa"/>
            <w:shd w:val="clear" w:color="auto" w:fill="auto"/>
            <w:vAlign w:val="center"/>
          </w:tcPr>
          <w:p w14:paraId="232DB0AA"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46" w:type="dxa"/>
            <w:shd w:val="clear" w:color="auto" w:fill="auto"/>
            <w:vAlign w:val="center"/>
          </w:tcPr>
          <w:p w14:paraId="2ADF227B"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46" w:type="dxa"/>
            <w:shd w:val="clear" w:color="auto" w:fill="auto"/>
            <w:vAlign w:val="center"/>
          </w:tcPr>
          <w:p w14:paraId="4D3A8F6A"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46" w:type="dxa"/>
            <w:shd w:val="clear" w:color="auto" w:fill="auto"/>
            <w:vAlign w:val="center"/>
          </w:tcPr>
          <w:p w14:paraId="5A9CC154"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3</w:t>
            </w:r>
            <w:r>
              <w:rPr>
                <w:rFonts w:cs="Arial"/>
                <w:sz w:val="14"/>
                <w:szCs w:val="14"/>
              </w:rPr>
              <w:t>,</w:t>
            </w:r>
            <w:r w:rsidRPr="00BA77A1">
              <w:rPr>
                <w:rFonts w:cs="Arial"/>
                <w:sz w:val="14"/>
                <w:szCs w:val="14"/>
              </w:rPr>
              <w:t>495</w:t>
            </w:r>
            <w:r>
              <w:rPr>
                <w:rFonts w:cs="Arial"/>
                <w:sz w:val="14"/>
                <w:szCs w:val="14"/>
              </w:rPr>
              <w:t>,</w:t>
            </w:r>
            <w:r w:rsidRPr="00BA77A1">
              <w:rPr>
                <w:rFonts w:cs="Arial"/>
                <w:sz w:val="14"/>
                <w:szCs w:val="14"/>
              </w:rPr>
              <w:t xml:space="preserve">586 </w:t>
            </w:r>
          </w:p>
        </w:tc>
        <w:tc>
          <w:tcPr>
            <w:tcW w:w="1346" w:type="dxa"/>
            <w:shd w:val="clear" w:color="auto" w:fill="auto"/>
            <w:vAlign w:val="center"/>
          </w:tcPr>
          <w:p w14:paraId="4AB19BF7"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9</w:t>
            </w:r>
            <w:r>
              <w:rPr>
                <w:rFonts w:cs="Arial"/>
                <w:sz w:val="14"/>
                <w:szCs w:val="14"/>
              </w:rPr>
              <w:t>,</w:t>
            </w:r>
            <w:r w:rsidRPr="00BA77A1">
              <w:rPr>
                <w:rFonts w:cs="Arial"/>
                <w:sz w:val="14"/>
                <w:szCs w:val="14"/>
              </w:rPr>
              <w:t xml:space="preserve">037 </w:t>
            </w:r>
          </w:p>
        </w:tc>
      </w:tr>
      <w:tr w:rsidR="005357C6" w:rsidRPr="00D44604" w14:paraId="5DA5E71F" w14:textId="77777777" w:rsidTr="00242BB3">
        <w:trPr>
          <w:trHeight w:val="238"/>
          <w:jc w:val="center"/>
        </w:trPr>
        <w:tc>
          <w:tcPr>
            <w:tcW w:w="2909" w:type="dxa"/>
            <w:shd w:val="clear" w:color="auto" w:fill="auto"/>
            <w:vAlign w:val="center"/>
          </w:tcPr>
          <w:p w14:paraId="4E206100" w14:textId="77777777" w:rsidR="005357C6" w:rsidRPr="004365F5" w:rsidRDefault="005357C6" w:rsidP="00475564">
            <w:pPr>
              <w:keepNext/>
              <w:keepLines/>
              <w:spacing w:before="40" w:after="40" w:line="240" w:lineRule="auto"/>
              <w:ind w:left="113"/>
              <w:rPr>
                <w:rFonts w:eastAsia="Times New Roman" w:cs="Arial"/>
                <w:bCs/>
                <w:spacing w:val="-2"/>
                <w:sz w:val="14"/>
                <w:szCs w:val="14"/>
                <w:lang w:eastAsia="pt-BR"/>
              </w:rPr>
            </w:pPr>
            <w:r w:rsidRPr="004365F5">
              <w:rPr>
                <w:rFonts w:eastAsia="Times New Roman" w:cs="Arial"/>
                <w:bCs/>
                <w:color w:val="000000"/>
                <w:spacing w:val="-2"/>
                <w:sz w:val="14"/>
                <w:szCs w:val="14"/>
                <w:lang w:eastAsia="pt-BR"/>
              </w:rPr>
              <w:t>Costs / expenses</w:t>
            </w:r>
          </w:p>
        </w:tc>
        <w:tc>
          <w:tcPr>
            <w:tcW w:w="1346" w:type="dxa"/>
            <w:shd w:val="clear" w:color="auto" w:fill="auto"/>
            <w:vAlign w:val="center"/>
          </w:tcPr>
          <w:p w14:paraId="4B362DEB"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(46</w:t>
            </w:r>
            <w:r>
              <w:rPr>
                <w:rFonts w:cs="Arial"/>
                <w:sz w:val="14"/>
                <w:szCs w:val="14"/>
              </w:rPr>
              <w:t>,</w:t>
            </w:r>
            <w:r w:rsidRPr="00BA77A1">
              <w:rPr>
                <w:rFonts w:cs="Arial"/>
                <w:sz w:val="14"/>
                <w:szCs w:val="14"/>
              </w:rPr>
              <w:t>394</w:t>
            </w:r>
            <w:r>
              <w:rPr>
                <w:rFonts w:cs="Arial"/>
                <w:sz w:val="14"/>
                <w:szCs w:val="14"/>
              </w:rPr>
              <w:t>,</w:t>
            </w:r>
            <w:r w:rsidRPr="00BA77A1">
              <w:rPr>
                <w:rFonts w:cs="Arial"/>
                <w:sz w:val="14"/>
                <w:szCs w:val="14"/>
              </w:rPr>
              <w:t>605)</w:t>
            </w:r>
          </w:p>
        </w:tc>
        <w:tc>
          <w:tcPr>
            <w:tcW w:w="1346" w:type="dxa"/>
            <w:shd w:val="clear" w:color="auto" w:fill="auto"/>
            <w:vAlign w:val="center"/>
          </w:tcPr>
          <w:p w14:paraId="788C5FF1"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(573</w:t>
            </w:r>
            <w:r>
              <w:rPr>
                <w:rFonts w:cs="Arial"/>
                <w:sz w:val="14"/>
                <w:szCs w:val="14"/>
              </w:rPr>
              <w:t>,</w:t>
            </w:r>
            <w:r w:rsidRPr="00BA77A1">
              <w:rPr>
                <w:rFonts w:cs="Arial"/>
                <w:sz w:val="14"/>
                <w:szCs w:val="14"/>
              </w:rPr>
              <w:t>747)</w:t>
            </w:r>
          </w:p>
        </w:tc>
        <w:tc>
          <w:tcPr>
            <w:tcW w:w="1346" w:type="dxa"/>
            <w:shd w:val="clear" w:color="auto" w:fill="auto"/>
            <w:vAlign w:val="center"/>
          </w:tcPr>
          <w:p w14:paraId="3C499D02"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(48</w:t>
            </w:r>
            <w:r>
              <w:rPr>
                <w:rFonts w:cs="Arial"/>
                <w:sz w:val="14"/>
                <w:szCs w:val="14"/>
              </w:rPr>
              <w:t>,</w:t>
            </w:r>
            <w:r w:rsidRPr="00BA77A1">
              <w:rPr>
                <w:rFonts w:cs="Arial"/>
                <w:sz w:val="14"/>
                <w:szCs w:val="14"/>
              </w:rPr>
              <w:t>293)</w:t>
            </w:r>
          </w:p>
        </w:tc>
        <w:tc>
          <w:tcPr>
            <w:tcW w:w="1346" w:type="dxa"/>
            <w:shd w:val="clear" w:color="auto" w:fill="auto"/>
            <w:vAlign w:val="center"/>
          </w:tcPr>
          <w:p w14:paraId="6F192453"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(193</w:t>
            </w:r>
            <w:r>
              <w:rPr>
                <w:rFonts w:cs="Arial"/>
                <w:sz w:val="14"/>
                <w:szCs w:val="14"/>
              </w:rPr>
              <w:t>,</w:t>
            </w:r>
            <w:r w:rsidRPr="00BA77A1">
              <w:rPr>
                <w:rFonts w:cs="Arial"/>
                <w:sz w:val="14"/>
                <w:szCs w:val="14"/>
              </w:rPr>
              <w:t>830)</w:t>
            </w:r>
          </w:p>
        </w:tc>
        <w:tc>
          <w:tcPr>
            <w:tcW w:w="1346" w:type="dxa"/>
            <w:shd w:val="clear" w:color="auto" w:fill="auto"/>
            <w:vAlign w:val="center"/>
          </w:tcPr>
          <w:p w14:paraId="329372BF"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(2</w:t>
            </w:r>
            <w:r>
              <w:rPr>
                <w:rFonts w:cs="Arial"/>
                <w:sz w:val="14"/>
                <w:szCs w:val="14"/>
              </w:rPr>
              <w:t>,</w:t>
            </w:r>
            <w:r w:rsidRPr="00BA77A1">
              <w:rPr>
                <w:rFonts w:cs="Arial"/>
                <w:sz w:val="14"/>
                <w:szCs w:val="14"/>
              </w:rPr>
              <w:t>459)</w:t>
            </w:r>
          </w:p>
        </w:tc>
      </w:tr>
      <w:tr w:rsidR="005357C6" w:rsidRPr="007E5BEF" w14:paraId="4E20410E" w14:textId="77777777" w:rsidTr="00242BB3">
        <w:trPr>
          <w:trHeight w:val="238"/>
          <w:jc w:val="center"/>
        </w:trPr>
        <w:tc>
          <w:tcPr>
            <w:tcW w:w="2909" w:type="dxa"/>
            <w:shd w:val="clear" w:color="auto" w:fill="auto"/>
            <w:vAlign w:val="center"/>
          </w:tcPr>
          <w:p w14:paraId="40A07304" w14:textId="77777777" w:rsidR="005357C6" w:rsidRPr="004365F5" w:rsidRDefault="005357C6" w:rsidP="00475564">
            <w:pPr>
              <w:keepNext/>
              <w:keepLines/>
              <w:spacing w:before="40" w:after="40" w:line="240" w:lineRule="auto"/>
              <w:rPr>
                <w:rFonts w:eastAsia="Times New Roman" w:cs="Arial"/>
                <w:b/>
                <w:spacing w:val="-2"/>
                <w:sz w:val="14"/>
                <w:szCs w:val="14"/>
                <w:lang w:eastAsia="pt-BR"/>
              </w:rPr>
            </w:pPr>
            <w:r w:rsidRPr="004365F5">
              <w:rPr>
                <w:rFonts w:eastAsia="Times New Roman" w:cs="Arial"/>
                <w:b/>
                <w:spacing w:val="-2"/>
                <w:sz w:val="14"/>
                <w:szCs w:val="14"/>
                <w:lang w:eastAsia="pt-BR"/>
              </w:rPr>
              <w:t>Financial result</w:t>
            </w:r>
          </w:p>
        </w:tc>
        <w:tc>
          <w:tcPr>
            <w:tcW w:w="1346" w:type="dxa"/>
            <w:shd w:val="clear" w:color="auto" w:fill="auto"/>
            <w:vAlign w:val="center"/>
          </w:tcPr>
          <w:p w14:paraId="666949BA"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(333</w:t>
            </w:r>
            <w:r>
              <w:rPr>
                <w:rFonts w:cs="Arial"/>
                <w:b/>
                <w:sz w:val="14"/>
                <w:szCs w:val="14"/>
              </w:rPr>
              <w:t>,</w:t>
            </w:r>
            <w:r w:rsidRPr="003E0F6E">
              <w:rPr>
                <w:rFonts w:cs="Arial"/>
                <w:b/>
                <w:sz w:val="14"/>
                <w:szCs w:val="14"/>
              </w:rPr>
              <w:t>910)</w:t>
            </w:r>
          </w:p>
        </w:tc>
        <w:tc>
          <w:tcPr>
            <w:tcW w:w="1346" w:type="dxa"/>
            <w:shd w:val="clear" w:color="auto" w:fill="auto"/>
            <w:vAlign w:val="center"/>
          </w:tcPr>
          <w:p w14:paraId="703E4646"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(37</w:t>
            </w:r>
            <w:r>
              <w:rPr>
                <w:rFonts w:cs="Arial"/>
                <w:b/>
                <w:sz w:val="14"/>
                <w:szCs w:val="14"/>
              </w:rPr>
              <w:t>,</w:t>
            </w:r>
            <w:r w:rsidRPr="003E0F6E">
              <w:rPr>
                <w:rFonts w:cs="Arial"/>
                <w:b/>
                <w:sz w:val="14"/>
                <w:szCs w:val="14"/>
              </w:rPr>
              <w:t>828)</w:t>
            </w:r>
          </w:p>
        </w:tc>
        <w:tc>
          <w:tcPr>
            <w:tcW w:w="1346" w:type="dxa"/>
            <w:shd w:val="clear" w:color="auto" w:fill="auto"/>
            <w:vAlign w:val="center"/>
          </w:tcPr>
          <w:p w14:paraId="201AE63D"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w:t>
            </w:r>
          </w:p>
        </w:tc>
        <w:tc>
          <w:tcPr>
            <w:tcW w:w="1346" w:type="dxa"/>
            <w:shd w:val="clear" w:color="auto" w:fill="auto"/>
            <w:vAlign w:val="center"/>
          </w:tcPr>
          <w:p w14:paraId="42FF80E9"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113</w:t>
            </w:r>
            <w:r>
              <w:rPr>
                <w:rFonts w:cs="Arial"/>
                <w:b/>
                <w:sz w:val="14"/>
                <w:szCs w:val="14"/>
              </w:rPr>
              <w:t>,</w:t>
            </w:r>
            <w:r w:rsidRPr="003E0F6E">
              <w:rPr>
                <w:rFonts w:cs="Arial"/>
                <w:b/>
                <w:sz w:val="14"/>
                <w:szCs w:val="14"/>
              </w:rPr>
              <w:t xml:space="preserve">452 </w:t>
            </w:r>
          </w:p>
        </w:tc>
        <w:tc>
          <w:tcPr>
            <w:tcW w:w="1346" w:type="dxa"/>
            <w:shd w:val="clear" w:color="auto" w:fill="auto"/>
            <w:vAlign w:val="center"/>
          </w:tcPr>
          <w:p w14:paraId="5F0140CF"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(320)</w:t>
            </w:r>
          </w:p>
        </w:tc>
      </w:tr>
      <w:tr w:rsidR="005357C6" w:rsidRPr="00D44604" w14:paraId="68F37A50" w14:textId="77777777" w:rsidTr="00242BB3">
        <w:trPr>
          <w:trHeight w:val="238"/>
          <w:jc w:val="center"/>
        </w:trPr>
        <w:tc>
          <w:tcPr>
            <w:tcW w:w="2909" w:type="dxa"/>
            <w:shd w:val="clear" w:color="auto" w:fill="auto"/>
            <w:vAlign w:val="center"/>
          </w:tcPr>
          <w:p w14:paraId="466C9997" w14:textId="77777777" w:rsidR="005357C6" w:rsidRPr="004365F5" w:rsidRDefault="005357C6" w:rsidP="00475564">
            <w:pPr>
              <w:keepNext/>
              <w:keepLines/>
              <w:spacing w:before="40" w:after="40" w:line="240" w:lineRule="auto"/>
              <w:ind w:left="113"/>
              <w:rPr>
                <w:rFonts w:eastAsia="Times New Roman" w:cs="Arial"/>
                <w:bCs/>
                <w:spacing w:val="-2"/>
                <w:sz w:val="14"/>
                <w:szCs w:val="14"/>
                <w:lang w:eastAsia="pt-BR"/>
              </w:rPr>
            </w:pPr>
            <w:r w:rsidRPr="004365F5">
              <w:rPr>
                <w:rFonts w:eastAsia="Times New Roman" w:cs="Arial"/>
                <w:bCs/>
                <w:spacing w:val="-2"/>
                <w:sz w:val="14"/>
                <w:szCs w:val="14"/>
                <w:lang w:eastAsia="pt-BR"/>
              </w:rPr>
              <w:t>Interest income</w:t>
            </w:r>
          </w:p>
        </w:tc>
        <w:tc>
          <w:tcPr>
            <w:tcW w:w="1346" w:type="dxa"/>
            <w:shd w:val="clear" w:color="auto" w:fill="auto"/>
            <w:vAlign w:val="center"/>
          </w:tcPr>
          <w:p w14:paraId="4F4D1816"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5</w:t>
            </w:r>
            <w:r>
              <w:rPr>
                <w:rFonts w:cs="Arial"/>
                <w:sz w:val="14"/>
                <w:szCs w:val="14"/>
              </w:rPr>
              <w:t>,</w:t>
            </w:r>
            <w:r w:rsidRPr="00BA77A1">
              <w:rPr>
                <w:rFonts w:cs="Arial"/>
                <w:sz w:val="14"/>
                <w:szCs w:val="14"/>
              </w:rPr>
              <w:t>381</w:t>
            </w:r>
            <w:r>
              <w:rPr>
                <w:rFonts w:cs="Arial"/>
                <w:sz w:val="14"/>
                <w:szCs w:val="14"/>
              </w:rPr>
              <w:t>,</w:t>
            </w:r>
            <w:r w:rsidRPr="00BA77A1">
              <w:rPr>
                <w:rFonts w:cs="Arial"/>
                <w:sz w:val="14"/>
                <w:szCs w:val="14"/>
              </w:rPr>
              <w:t xml:space="preserve">791 </w:t>
            </w:r>
          </w:p>
        </w:tc>
        <w:tc>
          <w:tcPr>
            <w:tcW w:w="1346" w:type="dxa"/>
            <w:shd w:val="clear" w:color="auto" w:fill="auto"/>
            <w:vAlign w:val="center"/>
          </w:tcPr>
          <w:p w14:paraId="5BA1E2DA"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620</w:t>
            </w:r>
            <w:r>
              <w:rPr>
                <w:rFonts w:cs="Arial"/>
                <w:sz w:val="14"/>
                <w:szCs w:val="14"/>
              </w:rPr>
              <w:t>,</w:t>
            </w:r>
            <w:r w:rsidRPr="00BA77A1">
              <w:rPr>
                <w:rFonts w:cs="Arial"/>
                <w:sz w:val="14"/>
                <w:szCs w:val="14"/>
              </w:rPr>
              <w:t xml:space="preserve">178 </w:t>
            </w:r>
          </w:p>
        </w:tc>
        <w:tc>
          <w:tcPr>
            <w:tcW w:w="1346" w:type="dxa"/>
            <w:shd w:val="clear" w:color="auto" w:fill="auto"/>
            <w:vAlign w:val="center"/>
          </w:tcPr>
          <w:p w14:paraId="6C889D62"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46" w:type="dxa"/>
            <w:shd w:val="clear" w:color="auto" w:fill="auto"/>
            <w:vAlign w:val="center"/>
          </w:tcPr>
          <w:p w14:paraId="500AB0C9"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116</w:t>
            </w:r>
            <w:r>
              <w:rPr>
                <w:rFonts w:cs="Arial"/>
                <w:sz w:val="14"/>
                <w:szCs w:val="14"/>
              </w:rPr>
              <w:t>,</w:t>
            </w:r>
            <w:r w:rsidRPr="00BA77A1">
              <w:rPr>
                <w:rFonts w:cs="Arial"/>
                <w:sz w:val="14"/>
                <w:szCs w:val="14"/>
              </w:rPr>
              <w:t xml:space="preserve">801 </w:t>
            </w:r>
          </w:p>
        </w:tc>
        <w:tc>
          <w:tcPr>
            <w:tcW w:w="1346" w:type="dxa"/>
            <w:shd w:val="clear" w:color="auto" w:fill="auto"/>
            <w:vAlign w:val="center"/>
          </w:tcPr>
          <w:p w14:paraId="452CF658"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0 </w:t>
            </w:r>
          </w:p>
        </w:tc>
      </w:tr>
      <w:tr w:rsidR="005357C6" w:rsidRPr="00D44604" w14:paraId="6A201E0B" w14:textId="77777777" w:rsidTr="00242BB3">
        <w:trPr>
          <w:trHeight w:val="238"/>
          <w:jc w:val="center"/>
        </w:trPr>
        <w:tc>
          <w:tcPr>
            <w:tcW w:w="2909" w:type="dxa"/>
            <w:shd w:val="clear" w:color="auto" w:fill="auto"/>
            <w:vAlign w:val="center"/>
          </w:tcPr>
          <w:p w14:paraId="5FA841ED" w14:textId="77777777" w:rsidR="005357C6" w:rsidRPr="004365F5" w:rsidRDefault="005357C6" w:rsidP="00475564">
            <w:pPr>
              <w:keepNext/>
              <w:keepLines/>
              <w:spacing w:before="40" w:after="40" w:line="240" w:lineRule="auto"/>
              <w:ind w:left="113"/>
              <w:rPr>
                <w:rFonts w:eastAsia="Times New Roman" w:cs="Arial"/>
                <w:bCs/>
                <w:spacing w:val="-2"/>
                <w:sz w:val="14"/>
                <w:szCs w:val="14"/>
                <w:lang w:eastAsia="pt-BR"/>
              </w:rPr>
            </w:pPr>
            <w:r w:rsidRPr="004365F5">
              <w:rPr>
                <w:rFonts w:eastAsia="Times New Roman" w:cs="Arial"/>
                <w:bCs/>
                <w:spacing w:val="-2"/>
                <w:sz w:val="14"/>
                <w:szCs w:val="14"/>
                <w:lang w:eastAsia="pt-BR"/>
              </w:rPr>
              <w:t>Other financial income</w:t>
            </w:r>
          </w:p>
        </w:tc>
        <w:tc>
          <w:tcPr>
            <w:tcW w:w="1346" w:type="dxa"/>
            <w:shd w:val="clear" w:color="auto" w:fill="auto"/>
            <w:vAlign w:val="center"/>
          </w:tcPr>
          <w:p w14:paraId="54F60C65"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542</w:t>
            </w:r>
            <w:r>
              <w:rPr>
                <w:rFonts w:cs="Arial"/>
                <w:sz w:val="14"/>
                <w:szCs w:val="14"/>
              </w:rPr>
              <w:t>,</w:t>
            </w:r>
            <w:r w:rsidRPr="00BA77A1">
              <w:rPr>
                <w:rFonts w:cs="Arial"/>
                <w:sz w:val="14"/>
                <w:szCs w:val="14"/>
              </w:rPr>
              <w:t xml:space="preserve">196 </w:t>
            </w:r>
          </w:p>
        </w:tc>
        <w:tc>
          <w:tcPr>
            <w:tcW w:w="1346" w:type="dxa"/>
            <w:shd w:val="clear" w:color="auto" w:fill="auto"/>
            <w:vAlign w:val="center"/>
          </w:tcPr>
          <w:p w14:paraId="7E465CB9"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461</w:t>
            </w:r>
            <w:r>
              <w:rPr>
                <w:rFonts w:cs="Arial"/>
                <w:sz w:val="14"/>
                <w:szCs w:val="14"/>
              </w:rPr>
              <w:t>,</w:t>
            </w:r>
            <w:r w:rsidRPr="00BA77A1">
              <w:rPr>
                <w:rFonts w:cs="Arial"/>
                <w:sz w:val="14"/>
                <w:szCs w:val="14"/>
              </w:rPr>
              <w:t xml:space="preserve">001 </w:t>
            </w:r>
          </w:p>
        </w:tc>
        <w:tc>
          <w:tcPr>
            <w:tcW w:w="1346" w:type="dxa"/>
            <w:shd w:val="clear" w:color="auto" w:fill="auto"/>
            <w:vAlign w:val="center"/>
          </w:tcPr>
          <w:p w14:paraId="6C6023D5"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w:t>
            </w:r>
            <w:r>
              <w:rPr>
                <w:rFonts w:cs="Arial"/>
                <w:sz w:val="14"/>
                <w:szCs w:val="14"/>
              </w:rPr>
              <w:t>,</w:t>
            </w:r>
            <w:r w:rsidRPr="00BA77A1">
              <w:rPr>
                <w:rFonts w:cs="Arial"/>
                <w:sz w:val="14"/>
                <w:szCs w:val="14"/>
              </w:rPr>
              <w:t xml:space="preserve">498 </w:t>
            </w:r>
          </w:p>
        </w:tc>
        <w:tc>
          <w:tcPr>
            <w:tcW w:w="1346" w:type="dxa"/>
            <w:shd w:val="clear" w:color="auto" w:fill="auto"/>
            <w:vAlign w:val="center"/>
          </w:tcPr>
          <w:p w14:paraId="3F4BA1AF"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46" w:type="dxa"/>
            <w:shd w:val="clear" w:color="auto" w:fill="auto"/>
            <w:vAlign w:val="center"/>
          </w:tcPr>
          <w:p w14:paraId="5386816D"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270 </w:t>
            </w:r>
          </w:p>
        </w:tc>
      </w:tr>
      <w:tr w:rsidR="005357C6" w:rsidRPr="00D44604" w14:paraId="5E58534E" w14:textId="77777777" w:rsidTr="00242BB3">
        <w:trPr>
          <w:trHeight w:val="238"/>
          <w:jc w:val="center"/>
        </w:trPr>
        <w:tc>
          <w:tcPr>
            <w:tcW w:w="2909" w:type="dxa"/>
            <w:shd w:val="clear" w:color="auto" w:fill="auto"/>
            <w:vAlign w:val="center"/>
          </w:tcPr>
          <w:p w14:paraId="6D2D77F7" w14:textId="77777777" w:rsidR="005357C6" w:rsidRPr="004365F5" w:rsidRDefault="005357C6" w:rsidP="00475564">
            <w:pPr>
              <w:keepNext/>
              <w:keepLines/>
              <w:spacing w:before="40" w:after="40" w:line="240" w:lineRule="auto"/>
              <w:ind w:left="113"/>
              <w:rPr>
                <w:rFonts w:eastAsia="Times New Roman" w:cs="Arial"/>
                <w:b/>
                <w:bCs/>
                <w:color w:val="000000"/>
                <w:spacing w:val="-2"/>
                <w:sz w:val="14"/>
                <w:szCs w:val="14"/>
                <w:lang w:eastAsia="pt-BR"/>
              </w:rPr>
            </w:pPr>
            <w:r w:rsidRPr="004365F5">
              <w:rPr>
                <w:rFonts w:eastAsia="Times New Roman" w:cs="Arial"/>
                <w:bCs/>
                <w:spacing w:val="-2"/>
                <w:sz w:val="14"/>
                <w:szCs w:val="14"/>
                <w:lang w:eastAsia="pt-BR"/>
              </w:rPr>
              <w:t>Interest expense</w:t>
            </w:r>
          </w:p>
        </w:tc>
        <w:tc>
          <w:tcPr>
            <w:tcW w:w="1346" w:type="dxa"/>
            <w:shd w:val="clear" w:color="auto" w:fill="auto"/>
            <w:vAlign w:val="center"/>
          </w:tcPr>
          <w:p w14:paraId="0460351F"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(2</w:t>
            </w:r>
            <w:r>
              <w:rPr>
                <w:rFonts w:cs="Arial"/>
                <w:sz w:val="14"/>
                <w:szCs w:val="14"/>
              </w:rPr>
              <w:t>,</w:t>
            </w:r>
            <w:r w:rsidRPr="00BA77A1">
              <w:rPr>
                <w:rFonts w:cs="Arial"/>
                <w:sz w:val="14"/>
                <w:szCs w:val="14"/>
              </w:rPr>
              <w:t>231</w:t>
            </w:r>
            <w:r>
              <w:rPr>
                <w:rFonts w:cs="Arial"/>
                <w:sz w:val="14"/>
                <w:szCs w:val="14"/>
              </w:rPr>
              <w:t>,</w:t>
            </w:r>
            <w:r w:rsidRPr="00BA77A1">
              <w:rPr>
                <w:rFonts w:cs="Arial"/>
                <w:sz w:val="14"/>
                <w:szCs w:val="14"/>
              </w:rPr>
              <w:t>100)</w:t>
            </w:r>
          </w:p>
        </w:tc>
        <w:tc>
          <w:tcPr>
            <w:tcW w:w="1346" w:type="dxa"/>
            <w:shd w:val="clear" w:color="auto" w:fill="auto"/>
            <w:vAlign w:val="center"/>
          </w:tcPr>
          <w:p w14:paraId="79E2996F"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(408</w:t>
            </w:r>
            <w:r>
              <w:rPr>
                <w:rFonts w:cs="Arial"/>
                <w:sz w:val="14"/>
                <w:szCs w:val="14"/>
              </w:rPr>
              <w:t>,</w:t>
            </w:r>
            <w:r w:rsidRPr="00BA77A1">
              <w:rPr>
                <w:rFonts w:cs="Arial"/>
                <w:sz w:val="14"/>
                <w:szCs w:val="14"/>
              </w:rPr>
              <w:t>323)</w:t>
            </w:r>
          </w:p>
        </w:tc>
        <w:tc>
          <w:tcPr>
            <w:tcW w:w="1346" w:type="dxa"/>
            <w:shd w:val="clear" w:color="auto" w:fill="auto"/>
            <w:vAlign w:val="center"/>
          </w:tcPr>
          <w:p w14:paraId="052539DA"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 </w:t>
            </w:r>
          </w:p>
        </w:tc>
        <w:tc>
          <w:tcPr>
            <w:tcW w:w="1346" w:type="dxa"/>
            <w:shd w:val="clear" w:color="auto" w:fill="auto"/>
            <w:vAlign w:val="center"/>
          </w:tcPr>
          <w:p w14:paraId="002923DC"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(2</w:t>
            </w:r>
            <w:r>
              <w:rPr>
                <w:rFonts w:cs="Arial"/>
                <w:sz w:val="14"/>
                <w:szCs w:val="14"/>
              </w:rPr>
              <w:t>,</w:t>
            </w:r>
            <w:r w:rsidRPr="00BA77A1">
              <w:rPr>
                <w:rFonts w:cs="Arial"/>
                <w:sz w:val="14"/>
                <w:szCs w:val="14"/>
              </w:rPr>
              <w:t>935)</w:t>
            </w:r>
          </w:p>
        </w:tc>
        <w:tc>
          <w:tcPr>
            <w:tcW w:w="1346" w:type="dxa"/>
            <w:shd w:val="clear" w:color="auto" w:fill="auto"/>
            <w:vAlign w:val="center"/>
          </w:tcPr>
          <w:p w14:paraId="45516339"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(5)</w:t>
            </w:r>
          </w:p>
        </w:tc>
      </w:tr>
      <w:tr w:rsidR="005357C6" w:rsidRPr="00D44604" w14:paraId="22E48B60" w14:textId="77777777" w:rsidTr="00242BB3">
        <w:trPr>
          <w:trHeight w:val="238"/>
          <w:jc w:val="center"/>
        </w:trPr>
        <w:tc>
          <w:tcPr>
            <w:tcW w:w="2909" w:type="dxa"/>
            <w:shd w:val="clear" w:color="auto" w:fill="auto"/>
            <w:vAlign w:val="center"/>
          </w:tcPr>
          <w:p w14:paraId="7D80B824" w14:textId="77777777" w:rsidR="005357C6" w:rsidRPr="004365F5" w:rsidRDefault="005357C6" w:rsidP="00475564">
            <w:pPr>
              <w:keepNext/>
              <w:keepLines/>
              <w:spacing w:before="40" w:after="40" w:line="240" w:lineRule="auto"/>
              <w:ind w:left="113"/>
              <w:rPr>
                <w:rFonts w:eastAsia="Times New Roman" w:cs="Arial"/>
                <w:b/>
                <w:bCs/>
                <w:spacing w:val="-2"/>
                <w:sz w:val="14"/>
                <w:szCs w:val="14"/>
                <w:lang w:eastAsia="pt-BR"/>
              </w:rPr>
            </w:pPr>
            <w:r w:rsidRPr="004365F5">
              <w:rPr>
                <w:rFonts w:eastAsia="Times New Roman" w:cs="Arial"/>
                <w:bCs/>
                <w:spacing w:val="-2"/>
                <w:sz w:val="14"/>
                <w:szCs w:val="14"/>
                <w:lang w:eastAsia="pt-BR"/>
              </w:rPr>
              <w:t>Other financial expenses</w:t>
            </w:r>
          </w:p>
        </w:tc>
        <w:tc>
          <w:tcPr>
            <w:tcW w:w="1346" w:type="dxa"/>
            <w:shd w:val="clear" w:color="auto" w:fill="auto"/>
            <w:vAlign w:val="center"/>
          </w:tcPr>
          <w:p w14:paraId="4E2530FE"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(4</w:t>
            </w:r>
            <w:r>
              <w:rPr>
                <w:rFonts w:cs="Arial"/>
                <w:sz w:val="14"/>
                <w:szCs w:val="14"/>
              </w:rPr>
              <w:t>,</w:t>
            </w:r>
            <w:r w:rsidRPr="00BA77A1">
              <w:rPr>
                <w:rFonts w:cs="Arial"/>
                <w:sz w:val="14"/>
                <w:szCs w:val="14"/>
              </w:rPr>
              <w:t>026</w:t>
            </w:r>
            <w:r>
              <w:rPr>
                <w:rFonts w:cs="Arial"/>
                <w:sz w:val="14"/>
                <w:szCs w:val="14"/>
              </w:rPr>
              <w:t>,</w:t>
            </w:r>
            <w:r w:rsidRPr="00BA77A1">
              <w:rPr>
                <w:rFonts w:cs="Arial"/>
                <w:sz w:val="14"/>
                <w:szCs w:val="14"/>
              </w:rPr>
              <w:t>797)</w:t>
            </w:r>
          </w:p>
        </w:tc>
        <w:tc>
          <w:tcPr>
            <w:tcW w:w="1346" w:type="dxa"/>
            <w:shd w:val="clear" w:color="auto" w:fill="auto"/>
            <w:vAlign w:val="center"/>
          </w:tcPr>
          <w:p w14:paraId="03D55A1E"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(710</w:t>
            </w:r>
            <w:r>
              <w:rPr>
                <w:rFonts w:cs="Arial"/>
                <w:sz w:val="14"/>
                <w:szCs w:val="14"/>
              </w:rPr>
              <w:t>,</w:t>
            </w:r>
            <w:r w:rsidRPr="00BA77A1">
              <w:rPr>
                <w:rFonts w:cs="Arial"/>
                <w:sz w:val="14"/>
                <w:szCs w:val="14"/>
              </w:rPr>
              <w:t>684)</w:t>
            </w:r>
          </w:p>
        </w:tc>
        <w:tc>
          <w:tcPr>
            <w:tcW w:w="1346" w:type="dxa"/>
            <w:shd w:val="clear" w:color="auto" w:fill="auto"/>
            <w:vAlign w:val="center"/>
          </w:tcPr>
          <w:p w14:paraId="2AEEDC35"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(1</w:t>
            </w:r>
            <w:r>
              <w:rPr>
                <w:rFonts w:cs="Arial"/>
                <w:sz w:val="14"/>
                <w:szCs w:val="14"/>
              </w:rPr>
              <w:t>,</w:t>
            </w:r>
            <w:r w:rsidRPr="00BA77A1">
              <w:rPr>
                <w:rFonts w:cs="Arial"/>
                <w:sz w:val="14"/>
                <w:szCs w:val="14"/>
              </w:rPr>
              <w:t>506)</w:t>
            </w:r>
          </w:p>
        </w:tc>
        <w:tc>
          <w:tcPr>
            <w:tcW w:w="1346" w:type="dxa"/>
            <w:shd w:val="clear" w:color="auto" w:fill="auto"/>
            <w:vAlign w:val="center"/>
          </w:tcPr>
          <w:p w14:paraId="2882B6A5"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(414)</w:t>
            </w:r>
          </w:p>
        </w:tc>
        <w:tc>
          <w:tcPr>
            <w:tcW w:w="1346" w:type="dxa"/>
            <w:shd w:val="clear" w:color="auto" w:fill="auto"/>
            <w:vAlign w:val="center"/>
          </w:tcPr>
          <w:p w14:paraId="39A5A62B"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(585)</w:t>
            </w:r>
          </w:p>
        </w:tc>
      </w:tr>
      <w:tr w:rsidR="005357C6" w:rsidRPr="007E5BEF" w14:paraId="4389308B" w14:textId="77777777" w:rsidTr="00242BB3">
        <w:trPr>
          <w:trHeight w:val="238"/>
          <w:jc w:val="center"/>
        </w:trPr>
        <w:tc>
          <w:tcPr>
            <w:tcW w:w="2909" w:type="dxa"/>
            <w:shd w:val="clear" w:color="auto" w:fill="auto"/>
            <w:vAlign w:val="center"/>
          </w:tcPr>
          <w:p w14:paraId="34C3ADDA"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Equity result</w:t>
            </w:r>
          </w:p>
        </w:tc>
        <w:tc>
          <w:tcPr>
            <w:tcW w:w="1346" w:type="dxa"/>
            <w:shd w:val="clear" w:color="auto" w:fill="auto"/>
            <w:vAlign w:val="center"/>
          </w:tcPr>
          <w:p w14:paraId="51F16514"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(45</w:t>
            </w:r>
            <w:r>
              <w:rPr>
                <w:rFonts w:cs="Arial"/>
                <w:b/>
                <w:sz w:val="14"/>
                <w:szCs w:val="14"/>
              </w:rPr>
              <w:t>,</w:t>
            </w:r>
            <w:r w:rsidRPr="003E0F6E">
              <w:rPr>
                <w:rFonts w:cs="Arial"/>
                <w:b/>
                <w:sz w:val="14"/>
                <w:szCs w:val="14"/>
              </w:rPr>
              <w:t>453)</w:t>
            </w:r>
          </w:p>
        </w:tc>
        <w:tc>
          <w:tcPr>
            <w:tcW w:w="1346" w:type="dxa"/>
            <w:shd w:val="clear" w:color="auto" w:fill="auto"/>
            <w:vAlign w:val="center"/>
          </w:tcPr>
          <w:p w14:paraId="34BF84C9"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(576)</w:t>
            </w:r>
          </w:p>
        </w:tc>
        <w:tc>
          <w:tcPr>
            <w:tcW w:w="1346" w:type="dxa"/>
            <w:shd w:val="clear" w:color="auto" w:fill="auto"/>
            <w:vAlign w:val="center"/>
          </w:tcPr>
          <w:p w14:paraId="3255E8AA"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(60)</w:t>
            </w:r>
          </w:p>
        </w:tc>
        <w:tc>
          <w:tcPr>
            <w:tcW w:w="1346" w:type="dxa"/>
            <w:shd w:val="clear" w:color="auto" w:fill="auto"/>
            <w:vAlign w:val="center"/>
          </w:tcPr>
          <w:p w14:paraId="24CB8CD7"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(586)</w:t>
            </w:r>
          </w:p>
        </w:tc>
        <w:tc>
          <w:tcPr>
            <w:tcW w:w="1346" w:type="dxa"/>
            <w:shd w:val="clear" w:color="auto" w:fill="auto"/>
            <w:vAlign w:val="center"/>
          </w:tcPr>
          <w:p w14:paraId="2FE6C7BB"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(23</w:t>
            </w:r>
            <w:r>
              <w:rPr>
                <w:rFonts w:cs="Arial"/>
                <w:b/>
                <w:sz w:val="14"/>
                <w:szCs w:val="14"/>
              </w:rPr>
              <w:t>,</w:t>
            </w:r>
            <w:r w:rsidRPr="003E0F6E">
              <w:rPr>
                <w:rFonts w:cs="Arial"/>
                <w:b/>
                <w:sz w:val="14"/>
                <w:szCs w:val="14"/>
              </w:rPr>
              <w:t>154)</w:t>
            </w:r>
          </w:p>
        </w:tc>
      </w:tr>
      <w:tr w:rsidR="005357C6" w:rsidRPr="00D44604" w14:paraId="6839AEE7" w14:textId="77777777" w:rsidTr="00242BB3">
        <w:trPr>
          <w:trHeight w:val="238"/>
          <w:jc w:val="center"/>
        </w:trPr>
        <w:tc>
          <w:tcPr>
            <w:tcW w:w="2909" w:type="dxa"/>
            <w:shd w:val="clear" w:color="auto" w:fill="auto"/>
            <w:vAlign w:val="center"/>
          </w:tcPr>
          <w:p w14:paraId="011815A6" w14:textId="77777777" w:rsidR="005357C6" w:rsidRPr="004365F5" w:rsidRDefault="005357C6" w:rsidP="00475564">
            <w:pPr>
              <w:keepNext/>
              <w:keepLines/>
              <w:spacing w:before="40" w:after="40" w:line="240" w:lineRule="auto"/>
              <w:ind w:left="113"/>
              <w:rPr>
                <w:rFonts w:eastAsia="Times New Roman" w:cs="Arial"/>
                <w:b/>
                <w:color w:val="000000"/>
                <w:spacing w:val="-2"/>
                <w:sz w:val="14"/>
                <w:szCs w:val="14"/>
                <w:lang w:eastAsia="pt-BR"/>
              </w:rPr>
            </w:pPr>
            <w:r w:rsidRPr="004365F5">
              <w:rPr>
                <w:rFonts w:eastAsia="Times New Roman" w:cs="Arial"/>
                <w:bCs/>
                <w:color w:val="000000"/>
                <w:spacing w:val="-2"/>
                <w:sz w:val="14"/>
                <w:szCs w:val="14"/>
                <w:lang w:eastAsia="pt-BR"/>
              </w:rPr>
              <w:t>Depreciation and amortization</w:t>
            </w:r>
          </w:p>
        </w:tc>
        <w:tc>
          <w:tcPr>
            <w:tcW w:w="1346" w:type="dxa"/>
            <w:shd w:val="clear" w:color="auto" w:fill="auto"/>
            <w:vAlign w:val="center"/>
          </w:tcPr>
          <w:p w14:paraId="140329EB" w14:textId="77777777" w:rsidR="005357C6" w:rsidRPr="004365F5" w:rsidRDefault="005357C6" w:rsidP="00475564">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(45</w:t>
            </w:r>
            <w:r>
              <w:rPr>
                <w:rFonts w:cs="Arial"/>
                <w:sz w:val="14"/>
                <w:szCs w:val="14"/>
              </w:rPr>
              <w:t>,</w:t>
            </w:r>
            <w:r w:rsidRPr="00BA77A1">
              <w:rPr>
                <w:rFonts w:cs="Arial"/>
                <w:sz w:val="14"/>
                <w:szCs w:val="14"/>
              </w:rPr>
              <w:t>453)</w:t>
            </w:r>
          </w:p>
        </w:tc>
        <w:tc>
          <w:tcPr>
            <w:tcW w:w="1346" w:type="dxa"/>
            <w:shd w:val="clear" w:color="auto" w:fill="auto"/>
            <w:vAlign w:val="center"/>
          </w:tcPr>
          <w:p w14:paraId="586BE115" w14:textId="77777777" w:rsidR="005357C6" w:rsidRPr="004365F5" w:rsidRDefault="005357C6" w:rsidP="00475564">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(576)</w:t>
            </w:r>
          </w:p>
        </w:tc>
        <w:tc>
          <w:tcPr>
            <w:tcW w:w="1346" w:type="dxa"/>
            <w:shd w:val="clear" w:color="auto" w:fill="auto"/>
            <w:vAlign w:val="center"/>
          </w:tcPr>
          <w:p w14:paraId="3DA6B743" w14:textId="77777777" w:rsidR="005357C6" w:rsidRPr="004365F5" w:rsidRDefault="005357C6" w:rsidP="00475564">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(60)</w:t>
            </w:r>
          </w:p>
        </w:tc>
        <w:tc>
          <w:tcPr>
            <w:tcW w:w="1346" w:type="dxa"/>
            <w:shd w:val="clear" w:color="auto" w:fill="auto"/>
            <w:vAlign w:val="center"/>
          </w:tcPr>
          <w:p w14:paraId="3FD15237" w14:textId="77777777" w:rsidR="005357C6" w:rsidRPr="004365F5" w:rsidRDefault="005357C6" w:rsidP="00475564">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(586)</w:t>
            </w:r>
          </w:p>
        </w:tc>
        <w:tc>
          <w:tcPr>
            <w:tcW w:w="1346" w:type="dxa"/>
            <w:shd w:val="clear" w:color="auto" w:fill="auto"/>
            <w:vAlign w:val="center"/>
          </w:tcPr>
          <w:p w14:paraId="5C4BEFC1" w14:textId="77777777" w:rsidR="005357C6" w:rsidRPr="004365F5" w:rsidRDefault="005357C6" w:rsidP="00475564">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(758)</w:t>
            </w:r>
          </w:p>
        </w:tc>
      </w:tr>
      <w:tr w:rsidR="005357C6" w:rsidRPr="00D44604" w14:paraId="23D0CFD7" w14:textId="77777777" w:rsidTr="00242BB3">
        <w:trPr>
          <w:trHeight w:val="238"/>
          <w:jc w:val="center"/>
        </w:trPr>
        <w:tc>
          <w:tcPr>
            <w:tcW w:w="2909" w:type="dxa"/>
            <w:shd w:val="clear" w:color="auto" w:fill="auto"/>
            <w:vAlign w:val="center"/>
          </w:tcPr>
          <w:p w14:paraId="07F7D46C"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Other equity income / expenses</w:t>
            </w:r>
          </w:p>
        </w:tc>
        <w:tc>
          <w:tcPr>
            <w:tcW w:w="1346" w:type="dxa"/>
            <w:shd w:val="clear" w:color="auto" w:fill="auto"/>
            <w:vAlign w:val="center"/>
          </w:tcPr>
          <w:p w14:paraId="499CFA6A"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46" w:type="dxa"/>
            <w:shd w:val="clear" w:color="auto" w:fill="auto"/>
            <w:vAlign w:val="center"/>
          </w:tcPr>
          <w:p w14:paraId="263FA3C7"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w:t>
            </w:r>
          </w:p>
        </w:tc>
        <w:tc>
          <w:tcPr>
            <w:tcW w:w="1346" w:type="dxa"/>
            <w:shd w:val="clear" w:color="auto" w:fill="auto"/>
            <w:vAlign w:val="center"/>
          </w:tcPr>
          <w:p w14:paraId="727AD904"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w:t>
            </w:r>
          </w:p>
        </w:tc>
        <w:tc>
          <w:tcPr>
            <w:tcW w:w="1346" w:type="dxa"/>
            <w:shd w:val="clear" w:color="auto" w:fill="auto"/>
            <w:vAlign w:val="center"/>
          </w:tcPr>
          <w:p w14:paraId="6DE4527B"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46" w:type="dxa"/>
            <w:shd w:val="clear" w:color="auto" w:fill="auto"/>
            <w:vAlign w:val="center"/>
          </w:tcPr>
          <w:p w14:paraId="6B3D2567"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(22</w:t>
            </w:r>
            <w:r>
              <w:rPr>
                <w:rFonts w:cs="Arial"/>
                <w:sz w:val="14"/>
                <w:szCs w:val="14"/>
              </w:rPr>
              <w:t>,</w:t>
            </w:r>
            <w:r w:rsidRPr="00BA77A1">
              <w:rPr>
                <w:rFonts w:cs="Arial"/>
                <w:sz w:val="14"/>
                <w:szCs w:val="14"/>
              </w:rPr>
              <w:t>396)</w:t>
            </w:r>
          </w:p>
        </w:tc>
      </w:tr>
      <w:tr w:rsidR="005357C6" w:rsidRPr="007E5BEF" w14:paraId="53411CD4" w14:textId="77777777" w:rsidTr="00242BB3">
        <w:trPr>
          <w:trHeight w:val="238"/>
          <w:jc w:val="center"/>
        </w:trPr>
        <w:tc>
          <w:tcPr>
            <w:tcW w:w="2909" w:type="dxa"/>
            <w:shd w:val="clear" w:color="auto" w:fill="auto"/>
            <w:vAlign w:val="center"/>
          </w:tcPr>
          <w:p w14:paraId="1CC2227B"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Other income and expenses</w:t>
            </w:r>
          </w:p>
        </w:tc>
        <w:tc>
          <w:tcPr>
            <w:tcW w:w="1346" w:type="dxa"/>
            <w:shd w:val="clear" w:color="auto" w:fill="auto"/>
            <w:vAlign w:val="center"/>
          </w:tcPr>
          <w:p w14:paraId="5EB1851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(612</w:t>
            </w:r>
            <w:r>
              <w:rPr>
                <w:rFonts w:cs="Arial"/>
                <w:b/>
                <w:sz w:val="14"/>
                <w:szCs w:val="14"/>
              </w:rPr>
              <w:t>,</w:t>
            </w:r>
            <w:r w:rsidRPr="003E0F6E">
              <w:rPr>
                <w:rFonts w:cs="Arial"/>
                <w:b/>
                <w:sz w:val="14"/>
                <w:szCs w:val="14"/>
              </w:rPr>
              <w:t>636)</w:t>
            </w:r>
          </w:p>
        </w:tc>
        <w:tc>
          <w:tcPr>
            <w:tcW w:w="1346" w:type="dxa"/>
            <w:shd w:val="clear" w:color="auto" w:fill="auto"/>
            <w:vAlign w:val="center"/>
          </w:tcPr>
          <w:p w14:paraId="5B4B132D"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44</w:t>
            </w:r>
            <w:r>
              <w:rPr>
                <w:rFonts w:cs="Arial"/>
                <w:b/>
                <w:sz w:val="14"/>
                <w:szCs w:val="14"/>
              </w:rPr>
              <w:t>,</w:t>
            </w:r>
            <w:r w:rsidRPr="003E0F6E">
              <w:rPr>
                <w:rFonts w:cs="Arial"/>
                <w:b/>
                <w:sz w:val="14"/>
                <w:szCs w:val="14"/>
              </w:rPr>
              <w:t xml:space="preserve">442 </w:t>
            </w:r>
          </w:p>
        </w:tc>
        <w:tc>
          <w:tcPr>
            <w:tcW w:w="1346" w:type="dxa"/>
            <w:shd w:val="clear" w:color="auto" w:fill="auto"/>
            <w:vAlign w:val="center"/>
          </w:tcPr>
          <w:p w14:paraId="6A2B870D"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(35</w:t>
            </w:r>
            <w:r>
              <w:rPr>
                <w:rFonts w:cs="Arial"/>
                <w:b/>
                <w:sz w:val="14"/>
                <w:szCs w:val="14"/>
              </w:rPr>
              <w:t>,</w:t>
            </w:r>
            <w:r w:rsidRPr="003E0F6E">
              <w:rPr>
                <w:rFonts w:cs="Arial"/>
                <w:b/>
                <w:sz w:val="14"/>
                <w:szCs w:val="14"/>
              </w:rPr>
              <w:t>695)</w:t>
            </w:r>
          </w:p>
        </w:tc>
        <w:tc>
          <w:tcPr>
            <w:tcW w:w="1346" w:type="dxa"/>
            <w:shd w:val="clear" w:color="auto" w:fill="auto"/>
            <w:vAlign w:val="center"/>
          </w:tcPr>
          <w:p w14:paraId="22E8F888"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(150</w:t>
            </w:r>
            <w:r>
              <w:rPr>
                <w:rFonts w:cs="Arial"/>
                <w:b/>
                <w:sz w:val="14"/>
                <w:szCs w:val="14"/>
              </w:rPr>
              <w:t>,</w:t>
            </w:r>
            <w:r w:rsidRPr="003E0F6E">
              <w:rPr>
                <w:rFonts w:cs="Arial"/>
                <w:b/>
                <w:sz w:val="14"/>
                <w:szCs w:val="14"/>
              </w:rPr>
              <w:t>451)</w:t>
            </w:r>
          </w:p>
        </w:tc>
        <w:tc>
          <w:tcPr>
            <w:tcW w:w="1346" w:type="dxa"/>
            <w:shd w:val="clear" w:color="auto" w:fill="auto"/>
            <w:vAlign w:val="center"/>
          </w:tcPr>
          <w:p w14:paraId="5E934814"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40 </w:t>
            </w:r>
          </w:p>
        </w:tc>
      </w:tr>
      <w:tr w:rsidR="005357C6" w:rsidRPr="00D44604" w14:paraId="215D27A7" w14:textId="77777777" w:rsidTr="00242BB3">
        <w:trPr>
          <w:trHeight w:val="238"/>
          <w:jc w:val="center"/>
        </w:trPr>
        <w:tc>
          <w:tcPr>
            <w:tcW w:w="2909" w:type="dxa"/>
            <w:shd w:val="clear" w:color="auto" w:fill="auto"/>
            <w:vAlign w:val="center"/>
          </w:tcPr>
          <w:p w14:paraId="03FBCAA2"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Other revenue</w:t>
            </w:r>
          </w:p>
        </w:tc>
        <w:tc>
          <w:tcPr>
            <w:tcW w:w="1346" w:type="dxa"/>
            <w:shd w:val="clear" w:color="auto" w:fill="auto"/>
            <w:vAlign w:val="center"/>
          </w:tcPr>
          <w:p w14:paraId="6D99659E"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17</w:t>
            </w:r>
            <w:r>
              <w:rPr>
                <w:rFonts w:cs="Arial"/>
                <w:sz w:val="14"/>
                <w:szCs w:val="14"/>
              </w:rPr>
              <w:t>,</w:t>
            </w:r>
            <w:r w:rsidRPr="00BA77A1">
              <w:rPr>
                <w:rFonts w:cs="Arial"/>
                <w:sz w:val="14"/>
                <w:szCs w:val="14"/>
              </w:rPr>
              <w:t xml:space="preserve">073 </w:t>
            </w:r>
          </w:p>
        </w:tc>
        <w:tc>
          <w:tcPr>
            <w:tcW w:w="1346" w:type="dxa"/>
            <w:shd w:val="clear" w:color="auto" w:fill="auto"/>
            <w:vAlign w:val="center"/>
          </w:tcPr>
          <w:p w14:paraId="30DC4427"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46</w:t>
            </w:r>
            <w:r>
              <w:rPr>
                <w:rFonts w:cs="Arial"/>
                <w:sz w:val="14"/>
                <w:szCs w:val="14"/>
              </w:rPr>
              <w:t>,</w:t>
            </w:r>
            <w:r w:rsidRPr="00BA77A1">
              <w:rPr>
                <w:rFonts w:cs="Arial"/>
                <w:sz w:val="14"/>
                <w:szCs w:val="14"/>
              </w:rPr>
              <w:t xml:space="preserve">280 </w:t>
            </w:r>
          </w:p>
        </w:tc>
        <w:tc>
          <w:tcPr>
            <w:tcW w:w="1346" w:type="dxa"/>
            <w:shd w:val="clear" w:color="auto" w:fill="auto"/>
            <w:vAlign w:val="center"/>
          </w:tcPr>
          <w:p w14:paraId="0D2F596C"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167 </w:t>
            </w:r>
          </w:p>
        </w:tc>
        <w:tc>
          <w:tcPr>
            <w:tcW w:w="1346" w:type="dxa"/>
            <w:shd w:val="clear" w:color="auto" w:fill="auto"/>
            <w:vAlign w:val="center"/>
          </w:tcPr>
          <w:p w14:paraId="6C86421F"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46" w:type="dxa"/>
            <w:shd w:val="clear" w:color="auto" w:fill="auto"/>
            <w:vAlign w:val="center"/>
          </w:tcPr>
          <w:p w14:paraId="75A3A0CF"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40 </w:t>
            </w:r>
          </w:p>
        </w:tc>
      </w:tr>
      <w:tr w:rsidR="005357C6" w:rsidRPr="00D44604" w14:paraId="4E8A0BB4" w14:textId="77777777" w:rsidTr="00242BB3">
        <w:trPr>
          <w:trHeight w:val="238"/>
          <w:jc w:val="center"/>
        </w:trPr>
        <w:tc>
          <w:tcPr>
            <w:tcW w:w="2909" w:type="dxa"/>
            <w:shd w:val="clear" w:color="auto" w:fill="auto"/>
            <w:vAlign w:val="center"/>
          </w:tcPr>
          <w:p w14:paraId="0DC6EE4A" w14:textId="77777777" w:rsidR="005357C6" w:rsidRPr="004365F5" w:rsidRDefault="005357C6" w:rsidP="00475564">
            <w:pPr>
              <w:keepNext/>
              <w:keepLines/>
              <w:spacing w:before="40" w:after="40" w:line="240" w:lineRule="auto"/>
              <w:ind w:left="113"/>
              <w:rPr>
                <w:rFonts w:eastAsia="Times New Roman" w:cs="Arial"/>
                <w:bCs/>
                <w:color w:val="000000"/>
                <w:spacing w:val="-2"/>
                <w:sz w:val="14"/>
                <w:szCs w:val="14"/>
                <w:lang w:eastAsia="pt-BR"/>
              </w:rPr>
            </w:pPr>
            <w:r w:rsidRPr="004365F5">
              <w:rPr>
                <w:rFonts w:eastAsia="Times New Roman" w:cs="Arial"/>
                <w:bCs/>
                <w:color w:val="000000"/>
                <w:spacing w:val="-2"/>
                <w:sz w:val="14"/>
                <w:szCs w:val="14"/>
                <w:lang w:eastAsia="pt-BR"/>
              </w:rPr>
              <w:t>Other expenses</w:t>
            </w:r>
          </w:p>
        </w:tc>
        <w:tc>
          <w:tcPr>
            <w:tcW w:w="1346" w:type="dxa"/>
            <w:shd w:val="clear" w:color="auto" w:fill="auto"/>
            <w:vAlign w:val="center"/>
          </w:tcPr>
          <w:p w14:paraId="23B03E56"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(629</w:t>
            </w:r>
            <w:r>
              <w:rPr>
                <w:rFonts w:cs="Arial"/>
                <w:sz w:val="14"/>
                <w:szCs w:val="14"/>
              </w:rPr>
              <w:t>,</w:t>
            </w:r>
            <w:r w:rsidRPr="00BA77A1">
              <w:rPr>
                <w:rFonts w:cs="Arial"/>
                <w:sz w:val="14"/>
                <w:szCs w:val="14"/>
              </w:rPr>
              <w:t>709)</w:t>
            </w:r>
          </w:p>
        </w:tc>
        <w:tc>
          <w:tcPr>
            <w:tcW w:w="1346" w:type="dxa"/>
            <w:shd w:val="clear" w:color="auto" w:fill="auto"/>
            <w:vAlign w:val="center"/>
          </w:tcPr>
          <w:p w14:paraId="3B543E96"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w:t>
            </w:r>
            <w:r>
              <w:rPr>
                <w:rFonts w:cs="Arial"/>
                <w:sz w:val="14"/>
                <w:szCs w:val="14"/>
              </w:rPr>
              <w:t>,</w:t>
            </w:r>
            <w:r w:rsidRPr="00BA77A1">
              <w:rPr>
                <w:rFonts w:cs="Arial"/>
                <w:sz w:val="14"/>
                <w:szCs w:val="14"/>
              </w:rPr>
              <w:t>838)</w:t>
            </w:r>
          </w:p>
        </w:tc>
        <w:tc>
          <w:tcPr>
            <w:tcW w:w="1346" w:type="dxa"/>
            <w:shd w:val="clear" w:color="auto" w:fill="auto"/>
            <w:vAlign w:val="center"/>
          </w:tcPr>
          <w:p w14:paraId="29F1D610"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(35</w:t>
            </w:r>
            <w:r>
              <w:rPr>
                <w:rFonts w:cs="Arial"/>
                <w:sz w:val="14"/>
                <w:szCs w:val="14"/>
              </w:rPr>
              <w:t>,</w:t>
            </w:r>
            <w:r w:rsidRPr="00BA77A1">
              <w:rPr>
                <w:rFonts w:cs="Arial"/>
                <w:sz w:val="14"/>
                <w:szCs w:val="14"/>
              </w:rPr>
              <w:t>862)</w:t>
            </w:r>
          </w:p>
        </w:tc>
        <w:tc>
          <w:tcPr>
            <w:tcW w:w="1346" w:type="dxa"/>
            <w:shd w:val="clear" w:color="auto" w:fill="auto"/>
            <w:vAlign w:val="center"/>
          </w:tcPr>
          <w:p w14:paraId="3DADE7EC"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(150</w:t>
            </w:r>
            <w:r>
              <w:rPr>
                <w:rFonts w:cs="Arial"/>
                <w:sz w:val="14"/>
                <w:szCs w:val="14"/>
              </w:rPr>
              <w:t>,</w:t>
            </w:r>
            <w:r w:rsidRPr="00BA77A1">
              <w:rPr>
                <w:rFonts w:cs="Arial"/>
                <w:sz w:val="14"/>
                <w:szCs w:val="14"/>
              </w:rPr>
              <w:t>451)</w:t>
            </w:r>
          </w:p>
        </w:tc>
        <w:tc>
          <w:tcPr>
            <w:tcW w:w="1346" w:type="dxa"/>
            <w:shd w:val="clear" w:color="auto" w:fill="auto"/>
            <w:vAlign w:val="center"/>
          </w:tcPr>
          <w:p w14:paraId="53A726D8" w14:textId="77777777" w:rsidR="005357C6" w:rsidRPr="004365F5" w:rsidRDefault="005357C6" w:rsidP="00475564">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r>
      <w:tr w:rsidR="005357C6" w:rsidRPr="007E5BEF" w14:paraId="4E237517" w14:textId="77777777" w:rsidTr="00242BB3">
        <w:trPr>
          <w:trHeight w:val="238"/>
          <w:jc w:val="center"/>
        </w:trPr>
        <w:tc>
          <w:tcPr>
            <w:tcW w:w="2909" w:type="dxa"/>
            <w:shd w:val="clear" w:color="auto" w:fill="auto"/>
            <w:vAlign w:val="center"/>
          </w:tcPr>
          <w:p w14:paraId="20EFCD10"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Operational result</w:t>
            </w:r>
          </w:p>
        </w:tc>
        <w:tc>
          <w:tcPr>
            <w:tcW w:w="1346" w:type="dxa"/>
            <w:shd w:val="clear" w:color="auto" w:fill="auto"/>
            <w:vAlign w:val="center"/>
          </w:tcPr>
          <w:p w14:paraId="2A9A9C08"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w:t>
            </w:r>
            <w:r>
              <w:rPr>
                <w:rFonts w:cs="Arial"/>
                <w:b/>
                <w:sz w:val="14"/>
                <w:szCs w:val="14"/>
              </w:rPr>
              <w:t>,</w:t>
            </w:r>
            <w:r w:rsidRPr="003E0F6E">
              <w:rPr>
                <w:rFonts w:cs="Arial"/>
                <w:b/>
                <w:sz w:val="14"/>
                <w:szCs w:val="14"/>
              </w:rPr>
              <w:t>600</w:t>
            </w:r>
            <w:r>
              <w:rPr>
                <w:rFonts w:cs="Arial"/>
                <w:b/>
                <w:sz w:val="14"/>
                <w:szCs w:val="14"/>
              </w:rPr>
              <w:t>,</w:t>
            </w:r>
            <w:r w:rsidRPr="003E0F6E">
              <w:rPr>
                <w:rFonts w:cs="Arial"/>
                <w:b/>
                <w:sz w:val="14"/>
                <w:szCs w:val="14"/>
              </w:rPr>
              <w:t xml:space="preserve">745 </w:t>
            </w:r>
          </w:p>
        </w:tc>
        <w:tc>
          <w:tcPr>
            <w:tcW w:w="1346" w:type="dxa"/>
            <w:shd w:val="clear" w:color="auto" w:fill="auto"/>
            <w:vAlign w:val="center"/>
          </w:tcPr>
          <w:p w14:paraId="0860A1BF"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14</w:t>
            </w:r>
            <w:r>
              <w:rPr>
                <w:rFonts w:cs="Arial"/>
                <w:b/>
                <w:sz w:val="14"/>
                <w:szCs w:val="14"/>
              </w:rPr>
              <w:t>,</w:t>
            </w:r>
            <w:r w:rsidRPr="003E0F6E">
              <w:rPr>
                <w:rFonts w:cs="Arial"/>
                <w:b/>
                <w:sz w:val="14"/>
                <w:szCs w:val="14"/>
              </w:rPr>
              <w:t xml:space="preserve">559 </w:t>
            </w:r>
          </w:p>
        </w:tc>
        <w:tc>
          <w:tcPr>
            <w:tcW w:w="1346" w:type="dxa"/>
            <w:shd w:val="clear" w:color="auto" w:fill="auto"/>
            <w:vAlign w:val="center"/>
          </w:tcPr>
          <w:p w14:paraId="7E29D0C2"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35</w:t>
            </w:r>
            <w:r>
              <w:rPr>
                <w:rFonts w:cs="Arial"/>
                <w:b/>
                <w:sz w:val="14"/>
                <w:szCs w:val="14"/>
              </w:rPr>
              <w:t>,</w:t>
            </w:r>
            <w:r w:rsidRPr="003E0F6E">
              <w:rPr>
                <w:rFonts w:cs="Arial"/>
                <w:b/>
                <w:sz w:val="14"/>
                <w:szCs w:val="14"/>
              </w:rPr>
              <w:t xml:space="preserve">461 </w:t>
            </w:r>
          </w:p>
        </w:tc>
        <w:tc>
          <w:tcPr>
            <w:tcW w:w="1346" w:type="dxa"/>
            <w:shd w:val="clear" w:color="auto" w:fill="auto"/>
            <w:vAlign w:val="center"/>
          </w:tcPr>
          <w:p w14:paraId="253AA168"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w:t>
            </w:r>
            <w:r>
              <w:rPr>
                <w:rFonts w:cs="Arial"/>
                <w:b/>
                <w:sz w:val="14"/>
                <w:szCs w:val="14"/>
              </w:rPr>
              <w:t>,</w:t>
            </w:r>
            <w:r w:rsidRPr="003E0F6E">
              <w:rPr>
                <w:rFonts w:cs="Arial"/>
                <w:b/>
                <w:sz w:val="14"/>
                <w:szCs w:val="14"/>
              </w:rPr>
              <w:t>264</w:t>
            </w:r>
            <w:r>
              <w:rPr>
                <w:rFonts w:cs="Arial"/>
                <w:b/>
                <w:sz w:val="14"/>
                <w:szCs w:val="14"/>
              </w:rPr>
              <w:t>,</w:t>
            </w:r>
            <w:r w:rsidRPr="003E0F6E">
              <w:rPr>
                <w:rFonts w:cs="Arial"/>
                <w:b/>
                <w:sz w:val="14"/>
                <w:szCs w:val="14"/>
              </w:rPr>
              <w:t xml:space="preserve">171 </w:t>
            </w:r>
          </w:p>
        </w:tc>
        <w:tc>
          <w:tcPr>
            <w:tcW w:w="1346" w:type="dxa"/>
            <w:shd w:val="clear" w:color="auto" w:fill="auto"/>
            <w:vAlign w:val="center"/>
          </w:tcPr>
          <w:p w14:paraId="554EE13B"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(16</w:t>
            </w:r>
            <w:r>
              <w:rPr>
                <w:rFonts w:cs="Arial"/>
                <w:b/>
                <w:sz w:val="14"/>
                <w:szCs w:val="14"/>
              </w:rPr>
              <w:t>,</w:t>
            </w:r>
            <w:r w:rsidRPr="003E0F6E">
              <w:rPr>
                <w:rFonts w:cs="Arial"/>
                <w:b/>
                <w:sz w:val="14"/>
                <w:szCs w:val="14"/>
              </w:rPr>
              <w:t>856)</w:t>
            </w:r>
          </w:p>
        </w:tc>
      </w:tr>
      <w:tr w:rsidR="005357C6" w:rsidRPr="007E5BEF" w14:paraId="39724B27" w14:textId="77777777" w:rsidTr="00242BB3">
        <w:trPr>
          <w:trHeight w:val="238"/>
          <w:jc w:val="center"/>
        </w:trPr>
        <w:tc>
          <w:tcPr>
            <w:tcW w:w="2909" w:type="dxa"/>
            <w:shd w:val="clear" w:color="auto" w:fill="auto"/>
            <w:vAlign w:val="center"/>
          </w:tcPr>
          <w:p w14:paraId="414FD955" w14:textId="77777777" w:rsidR="005357C6" w:rsidRPr="004365F5" w:rsidRDefault="005357C6" w:rsidP="00475564">
            <w:pPr>
              <w:keepNext/>
              <w:keepLines/>
              <w:spacing w:before="40" w:after="40" w:line="240" w:lineRule="auto"/>
              <w:ind w:left="113"/>
              <w:rPr>
                <w:rFonts w:eastAsia="Times New Roman" w:cs="Arial"/>
                <w:b/>
                <w:color w:val="000000"/>
                <w:spacing w:val="-2"/>
                <w:sz w:val="14"/>
                <w:szCs w:val="14"/>
                <w:lang w:val="en-US" w:eastAsia="pt-BR"/>
              </w:rPr>
            </w:pPr>
            <w:r w:rsidRPr="00944050">
              <w:rPr>
                <w:rFonts w:eastAsia="Times New Roman" w:cs="Arial"/>
                <w:bCs/>
                <w:color w:val="000000"/>
                <w:spacing w:val="-2"/>
                <w:sz w:val="14"/>
                <w:szCs w:val="14"/>
                <w:lang w:val="en-US" w:eastAsia="pt-BR"/>
              </w:rPr>
              <w:t>Gains / losses on non-current assets</w:t>
            </w:r>
          </w:p>
        </w:tc>
        <w:tc>
          <w:tcPr>
            <w:tcW w:w="1346" w:type="dxa"/>
            <w:shd w:val="clear" w:color="auto" w:fill="auto"/>
            <w:vAlign w:val="center"/>
          </w:tcPr>
          <w:p w14:paraId="2F5173E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475564">
              <w:rPr>
                <w:rFonts w:cs="Arial"/>
                <w:sz w:val="14"/>
                <w:szCs w:val="14"/>
                <w:lang w:val="en-US"/>
              </w:rPr>
              <w:t xml:space="preserve">  </w:t>
            </w:r>
            <w:r w:rsidRPr="00BA77A1">
              <w:rPr>
                <w:rFonts w:cs="Arial"/>
                <w:sz w:val="14"/>
                <w:szCs w:val="14"/>
              </w:rPr>
              <w:t>(191)</w:t>
            </w:r>
          </w:p>
        </w:tc>
        <w:tc>
          <w:tcPr>
            <w:tcW w:w="1346" w:type="dxa"/>
            <w:shd w:val="clear" w:color="auto" w:fill="auto"/>
            <w:vAlign w:val="center"/>
          </w:tcPr>
          <w:p w14:paraId="62D7956B"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(2)</w:t>
            </w:r>
          </w:p>
        </w:tc>
        <w:tc>
          <w:tcPr>
            <w:tcW w:w="1346" w:type="dxa"/>
            <w:shd w:val="clear" w:color="auto" w:fill="auto"/>
            <w:vAlign w:val="center"/>
          </w:tcPr>
          <w:p w14:paraId="038C0E6E"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 </w:t>
            </w:r>
          </w:p>
        </w:tc>
        <w:tc>
          <w:tcPr>
            <w:tcW w:w="1346" w:type="dxa"/>
            <w:shd w:val="clear" w:color="auto" w:fill="auto"/>
            <w:vAlign w:val="center"/>
          </w:tcPr>
          <w:p w14:paraId="2F123C4C"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 </w:t>
            </w:r>
          </w:p>
        </w:tc>
        <w:tc>
          <w:tcPr>
            <w:tcW w:w="1346" w:type="dxa"/>
            <w:shd w:val="clear" w:color="auto" w:fill="auto"/>
            <w:vAlign w:val="center"/>
          </w:tcPr>
          <w:p w14:paraId="699FFB2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10 </w:t>
            </w:r>
          </w:p>
        </w:tc>
      </w:tr>
      <w:tr w:rsidR="005357C6" w:rsidRPr="007E5BEF" w14:paraId="72F621BB" w14:textId="77777777" w:rsidTr="00242BB3">
        <w:trPr>
          <w:trHeight w:val="238"/>
          <w:jc w:val="center"/>
        </w:trPr>
        <w:tc>
          <w:tcPr>
            <w:tcW w:w="2909" w:type="dxa"/>
            <w:shd w:val="clear" w:color="auto" w:fill="auto"/>
            <w:vAlign w:val="center"/>
          </w:tcPr>
          <w:p w14:paraId="70B9DE0C"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Income before taxes</w:t>
            </w:r>
          </w:p>
        </w:tc>
        <w:tc>
          <w:tcPr>
            <w:tcW w:w="1346" w:type="dxa"/>
            <w:shd w:val="clear" w:color="auto" w:fill="auto"/>
            <w:vAlign w:val="center"/>
          </w:tcPr>
          <w:p w14:paraId="25886C1F"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w:t>
            </w:r>
            <w:r>
              <w:rPr>
                <w:rFonts w:cs="Arial"/>
                <w:b/>
                <w:sz w:val="14"/>
                <w:szCs w:val="14"/>
              </w:rPr>
              <w:t>,</w:t>
            </w:r>
            <w:r w:rsidRPr="003E0F6E">
              <w:rPr>
                <w:rFonts w:cs="Arial"/>
                <w:b/>
                <w:sz w:val="14"/>
                <w:szCs w:val="14"/>
              </w:rPr>
              <w:t>600</w:t>
            </w:r>
            <w:r>
              <w:rPr>
                <w:rFonts w:cs="Arial"/>
                <w:b/>
                <w:sz w:val="14"/>
                <w:szCs w:val="14"/>
              </w:rPr>
              <w:t>,</w:t>
            </w:r>
            <w:r w:rsidRPr="003E0F6E">
              <w:rPr>
                <w:rFonts w:cs="Arial"/>
                <w:b/>
                <w:sz w:val="14"/>
                <w:szCs w:val="14"/>
              </w:rPr>
              <w:t xml:space="preserve">554 </w:t>
            </w:r>
          </w:p>
        </w:tc>
        <w:tc>
          <w:tcPr>
            <w:tcW w:w="1346" w:type="dxa"/>
            <w:shd w:val="clear" w:color="auto" w:fill="auto"/>
            <w:vAlign w:val="center"/>
          </w:tcPr>
          <w:p w14:paraId="7DA89B2E"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14</w:t>
            </w:r>
            <w:r>
              <w:rPr>
                <w:rFonts w:cs="Arial"/>
                <w:b/>
                <w:sz w:val="14"/>
                <w:szCs w:val="14"/>
              </w:rPr>
              <w:t>,</w:t>
            </w:r>
            <w:r w:rsidRPr="003E0F6E">
              <w:rPr>
                <w:rFonts w:cs="Arial"/>
                <w:b/>
                <w:sz w:val="14"/>
                <w:szCs w:val="14"/>
              </w:rPr>
              <w:t xml:space="preserve">557 </w:t>
            </w:r>
          </w:p>
        </w:tc>
        <w:tc>
          <w:tcPr>
            <w:tcW w:w="1346" w:type="dxa"/>
            <w:shd w:val="clear" w:color="auto" w:fill="auto"/>
            <w:vAlign w:val="center"/>
          </w:tcPr>
          <w:p w14:paraId="48561D36"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35</w:t>
            </w:r>
            <w:r>
              <w:rPr>
                <w:rFonts w:cs="Arial"/>
                <w:b/>
                <w:sz w:val="14"/>
                <w:szCs w:val="14"/>
              </w:rPr>
              <w:t>,</w:t>
            </w:r>
            <w:r w:rsidRPr="003E0F6E">
              <w:rPr>
                <w:rFonts w:cs="Arial"/>
                <w:b/>
                <w:sz w:val="14"/>
                <w:szCs w:val="14"/>
              </w:rPr>
              <w:t xml:space="preserve">461 </w:t>
            </w:r>
          </w:p>
        </w:tc>
        <w:tc>
          <w:tcPr>
            <w:tcW w:w="1346" w:type="dxa"/>
            <w:shd w:val="clear" w:color="auto" w:fill="auto"/>
            <w:vAlign w:val="center"/>
          </w:tcPr>
          <w:p w14:paraId="2AAB70DE"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w:t>
            </w:r>
            <w:r>
              <w:rPr>
                <w:rFonts w:cs="Arial"/>
                <w:b/>
                <w:sz w:val="14"/>
                <w:szCs w:val="14"/>
              </w:rPr>
              <w:t>,</w:t>
            </w:r>
            <w:r w:rsidRPr="003E0F6E">
              <w:rPr>
                <w:rFonts w:cs="Arial"/>
                <w:b/>
                <w:sz w:val="14"/>
                <w:szCs w:val="14"/>
              </w:rPr>
              <w:t>264</w:t>
            </w:r>
            <w:r>
              <w:rPr>
                <w:rFonts w:cs="Arial"/>
                <w:b/>
                <w:sz w:val="14"/>
                <w:szCs w:val="14"/>
              </w:rPr>
              <w:t>,</w:t>
            </w:r>
            <w:r w:rsidRPr="003E0F6E">
              <w:rPr>
                <w:rFonts w:cs="Arial"/>
                <w:b/>
                <w:sz w:val="14"/>
                <w:szCs w:val="14"/>
              </w:rPr>
              <w:t xml:space="preserve">171 </w:t>
            </w:r>
          </w:p>
        </w:tc>
        <w:tc>
          <w:tcPr>
            <w:tcW w:w="1346" w:type="dxa"/>
            <w:shd w:val="clear" w:color="auto" w:fill="auto"/>
            <w:vAlign w:val="center"/>
          </w:tcPr>
          <w:p w14:paraId="0E15BCBC"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(16</w:t>
            </w:r>
            <w:r>
              <w:rPr>
                <w:rFonts w:cs="Arial"/>
                <w:b/>
                <w:sz w:val="14"/>
                <w:szCs w:val="14"/>
              </w:rPr>
              <w:t>,</w:t>
            </w:r>
            <w:r w:rsidRPr="003E0F6E">
              <w:rPr>
                <w:rFonts w:cs="Arial"/>
                <w:b/>
                <w:sz w:val="14"/>
                <w:szCs w:val="14"/>
              </w:rPr>
              <w:t>846)</w:t>
            </w:r>
          </w:p>
        </w:tc>
      </w:tr>
      <w:tr w:rsidR="005357C6" w:rsidRPr="00D44604" w14:paraId="0E6F5AF5" w14:textId="77777777" w:rsidTr="00242BB3">
        <w:trPr>
          <w:trHeight w:val="238"/>
          <w:jc w:val="center"/>
        </w:trPr>
        <w:tc>
          <w:tcPr>
            <w:tcW w:w="2909" w:type="dxa"/>
            <w:shd w:val="clear" w:color="auto" w:fill="auto"/>
            <w:vAlign w:val="center"/>
          </w:tcPr>
          <w:p w14:paraId="6778EDEE" w14:textId="77777777" w:rsidR="005357C6" w:rsidRPr="004365F5" w:rsidRDefault="005357C6" w:rsidP="00475564">
            <w:pPr>
              <w:keepNext/>
              <w:keepLines/>
              <w:spacing w:before="40" w:after="40" w:line="240" w:lineRule="auto"/>
              <w:ind w:left="113"/>
              <w:rPr>
                <w:rFonts w:eastAsia="Times New Roman" w:cs="Arial"/>
                <w:b/>
                <w:color w:val="000000"/>
                <w:spacing w:val="-2"/>
                <w:sz w:val="14"/>
                <w:szCs w:val="14"/>
                <w:lang w:eastAsia="pt-BR"/>
              </w:rPr>
            </w:pPr>
            <w:r w:rsidRPr="004365F5">
              <w:rPr>
                <w:rFonts w:eastAsia="Times New Roman" w:cs="Arial"/>
                <w:bCs/>
                <w:color w:val="000000"/>
                <w:spacing w:val="-2"/>
                <w:sz w:val="14"/>
                <w:szCs w:val="14"/>
                <w:lang w:eastAsia="pt-BR"/>
              </w:rPr>
              <w:t>Taxes</w:t>
            </w:r>
          </w:p>
        </w:tc>
        <w:tc>
          <w:tcPr>
            <w:tcW w:w="1346" w:type="dxa"/>
            <w:shd w:val="clear" w:color="auto" w:fill="auto"/>
            <w:vAlign w:val="center"/>
          </w:tcPr>
          <w:p w14:paraId="254CABFD"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(578</w:t>
            </w:r>
            <w:r>
              <w:rPr>
                <w:rFonts w:cs="Arial"/>
                <w:sz w:val="14"/>
                <w:szCs w:val="14"/>
              </w:rPr>
              <w:t>,</w:t>
            </w:r>
            <w:r w:rsidRPr="00BA77A1">
              <w:rPr>
                <w:rFonts w:cs="Arial"/>
                <w:sz w:val="14"/>
                <w:szCs w:val="14"/>
              </w:rPr>
              <w:t>677)</w:t>
            </w:r>
          </w:p>
        </w:tc>
        <w:tc>
          <w:tcPr>
            <w:tcW w:w="1346" w:type="dxa"/>
            <w:shd w:val="clear" w:color="auto" w:fill="auto"/>
            <w:vAlign w:val="center"/>
          </w:tcPr>
          <w:p w14:paraId="096ECB4D"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(5</w:t>
            </w:r>
            <w:r>
              <w:rPr>
                <w:rFonts w:cs="Arial"/>
                <w:sz w:val="14"/>
                <w:szCs w:val="14"/>
              </w:rPr>
              <w:t>,</w:t>
            </w:r>
            <w:r w:rsidRPr="00BA77A1">
              <w:rPr>
                <w:rFonts w:cs="Arial"/>
                <w:sz w:val="14"/>
                <w:szCs w:val="14"/>
              </w:rPr>
              <w:t>124)</w:t>
            </w:r>
          </w:p>
        </w:tc>
        <w:tc>
          <w:tcPr>
            <w:tcW w:w="1346" w:type="dxa"/>
            <w:shd w:val="clear" w:color="auto" w:fill="auto"/>
            <w:vAlign w:val="center"/>
          </w:tcPr>
          <w:p w14:paraId="7A79F9E6"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(12</w:t>
            </w:r>
            <w:r>
              <w:rPr>
                <w:rFonts w:cs="Arial"/>
                <w:sz w:val="14"/>
                <w:szCs w:val="14"/>
              </w:rPr>
              <w:t>,</w:t>
            </w:r>
            <w:r w:rsidRPr="00BA77A1">
              <w:rPr>
                <w:rFonts w:cs="Arial"/>
                <w:sz w:val="14"/>
                <w:szCs w:val="14"/>
              </w:rPr>
              <w:t>142)</w:t>
            </w:r>
          </w:p>
        </w:tc>
        <w:tc>
          <w:tcPr>
            <w:tcW w:w="1346" w:type="dxa"/>
            <w:shd w:val="clear" w:color="auto" w:fill="auto"/>
            <w:vAlign w:val="center"/>
          </w:tcPr>
          <w:p w14:paraId="3474DDD9"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(1</w:t>
            </w:r>
            <w:r>
              <w:rPr>
                <w:rFonts w:cs="Arial"/>
                <w:sz w:val="14"/>
                <w:szCs w:val="14"/>
              </w:rPr>
              <w:t>,</w:t>
            </w:r>
            <w:r w:rsidRPr="00BA77A1">
              <w:rPr>
                <w:rFonts w:cs="Arial"/>
                <w:sz w:val="14"/>
                <w:szCs w:val="14"/>
              </w:rPr>
              <w:t>102</w:t>
            </w:r>
            <w:r>
              <w:rPr>
                <w:rFonts w:cs="Arial"/>
                <w:sz w:val="14"/>
                <w:szCs w:val="14"/>
              </w:rPr>
              <w:t>,</w:t>
            </w:r>
            <w:r w:rsidRPr="00BA77A1">
              <w:rPr>
                <w:rFonts w:cs="Arial"/>
                <w:sz w:val="14"/>
                <w:szCs w:val="14"/>
              </w:rPr>
              <w:t>132)</w:t>
            </w:r>
          </w:p>
        </w:tc>
        <w:tc>
          <w:tcPr>
            <w:tcW w:w="1346" w:type="dxa"/>
            <w:shd w:val="clear" w:color="auto" w:fill="auto"/>
            <w:vAlign w:val="center"/>
          </w:tcPr>
          <w:p w14:paraId="026F99E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 </w:t>
            </w:r>
          </w:p>
        </w:tc>
      </w:tr>
      <w:tr w:rsidR="005357C6" w:rsidRPr="00D44604" w14:paraId="399F573A" w14:textId="77777777" w:rsidTr="00242BB3">
        <w:trPr>
          <w:trHeight w:val="238"/>
          <w:jc w:val="center"/>
        </w:trPr>
        <w:tc>
          <w:tcPr>
            <w:tcW w:w="2909" w:type="dxa"/>
            <w:shd w:val="clear" w:color="auto" w:fill="auto"/>
            <w:vAlign w:val="center"/>
          </w:tcPr>
          <w:p w14:paraId="6101130A" w14:textId="77777777" w:rsidR="005357C6" w:rsidRPr="004365F5" w:rsidRDefault="005357C6" w:rsidP="00475564">
            <w:pPr>
              <w:keepNext/>
              <w:keepLines/>
              <w:spacing w:before="40" w:after="40" w:line="240" w:lineRule="auto"/>
              <w:ind w:left="113"/>
              <w:rPr>
                <w:rFonts w:eastAsia="Times New Roman" w:cs="Arial"/>
                <w:b/>
                <w:color w:val="000000"/>
                <w:spacing w:val="-2"/>
                <w:sz w:val="14"/>
                <w:szCs w:val="14"/>
                <w:lang w:eastAsia="pt-BR"/>
              </w:rPr>
            </w:pPr>
            <w:r w:rsidRPr="004365F5">
              <w:rPr>
                <w:rFonts w:eastAsia="Times New Roman" w:cs="Arial"/>
                <w:bCs/>
                <w:color w:val="000000"/>
                <w:spacing w:val="-2"/>
                <w:sz w:val="14"/>
                <w:szCs w:val="14"/>
                <w:lang w:eastAsia="pt-BR"/>
              </w:rPr>
              <w:t>Profit sharing</w:t>
            </w:r>
          </w:p>
        </w:tc>
        <w:tc>
          <w:tcPr>
            <w:tcW w:w="1346" w:type="dxa"/>
            <w:shd w:val="clear" w:color="auto" w:fill="auto"/>
            <w:vAlign w:val="center"/>
          </w:tcPr>
          <w:p w14:paraId="014453A8"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(13</w:t>
            </w:r>
            <w:r>
              <w:rPr>
                <w:rFonts w:cs="Arial"/>
                <w:sz w:val="14"/>
                <w:szCs w:val="14"/>
              </w:rPr>
              <w:t>,</w:t>
            </w:r>
            <w:r w:rsidRPr="00BA77A1">
              <w:rPr>
                <w:rFonts w:cs="Arial"/>
                <w:sz w:val="14"/>
                <w:szCs w:val="14"/>
              </w:rPr>
              <w:t>084)</w:t>
            </w:r>
          </w:p>
        </w:tc>
        <w:tc>
          <w:tcPr>
            <w:tcW w:w="1346" w:type="dxa"/>
            <w:shd w:val="clear" w:color="auto" w:fill="auto"/>
            <w:vAlign w:val="center"/>
          </w:tcPr>
          <w:p w14:paraId="354A1286"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(5</w:t>
            </w:r>
            <w:r>
              <w:rPr>
                <w:rFonts w:cs="Arial"/>
                <w:sz w:val="14"/>
                <w:szCs w:val="14"/>
              </w:rPr>
              <w:t>,</w:t>
            </w:r>
            <w:r w:rsidRPr="00BA77A1">
              <w:rPr>
                <w:rFonts w:cs="Arial"/>
                <w:sz w:val="14"/>
                <w:szCs w:val="14"/>
              </w:rPr>
              <w:t>921)</w:t>
            </w:r>
          </w:p>
        </w:tc>
        <w:tc>
          <w:tcPr>
            <w:tcW w:w="1346" w:type="dxa"/>
            <w:shd w:val="clear" w:color="auto" w:fill="auto"/>
            <w:vAlign w:val="center"/>
          </w:tcPr>
          <w:p w14:paraId="75B564E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(541)</w:t>
            </w:r>
          </w:p>
        </w:tc>
        <w:tc>
          <w:tcPr>
            <w:tcW w:w="1346" w:type="dxa"/>
            <w:shd w:val="clear" w:color="auto" w:fill="auto"/>
            <w:vAlign w:val="center"/>
          </w:tcPr>
          <w:p w14:paraId="4AEC455F"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 </w:t>
            </w:r>
          </w:p>
        </w:tc>
        <w:tc>
          <w:tcPr>
            <w:tcW w:w="1346" w:type="dxa"/>
            <w:shd w:val="clear" w:color="auto" w:fill="auto"/>
            <w:vAlign w:val="center"/>
          </w:tcPr>
          <w:p w14:paraId="652E3B21"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 </w:t>
            </w:r>
          </w:p>
        </w:tc>
      </w:tr>
      <w:tr w:rsidR="005357C6" w:rsidRPr="007E5BEF" w14:paraId="38A8BEDB" w14:textId="77777777" w:rsidTr="00242BB3">
        <w:trPr>
          <w:trHeight w:val="238"/>
          <w:jc w:val="center"/>
        </w:trPr>
        <w:tc>
          <w:tcPr>
            <w:tcW w:w="2909" w:type="dxa"/>
            <w:shd w:val="clear" w:color="auto" w:fill="auto"/>
            <w:vAlign w:val="center"/>
          </w:tcPr>
          <w:p w14:paraId="30E217AD" w14:textId="77777777" w:rsidR="005357C6" w:rsidRPr="004365F5" w:rsidRDefault="005357C6" w:rsidP="0008030B">
            <w:pPr>
              <w:keepNext/>
              <w:keepLines/>
              <w:spacing w:before="40" w:after="40" w:line="240" w:lineRule="auto"/>
              <w:rPr>
                <w:rFonts w:eastAsia="Times New Roman" w:cs="Arial"/>
                <w:b/>
                <w:color w:val="000000"/>
                <w:spacing w:val="-2"/>
                <w:sz w:val="14"/>
                <w:szCs w:val="14"/>
                <w:lang w:val="en-US" w:eastAsia="pt-BR"/>
              </w:rPr>
            </w:pPr>
            <w:r w:rsidRPr="004365F5">
              <w:rPr>
                <w:rFonts w:eastAsia="Times New Roman" w:cs="Arial"/>
                <w:b/>
                <w:color w:val="000000"/>
                <w:spacing w:val="-2"/>
                <w:sz w:val="14"/>
                <w:szCs w:val="14"/>
                <w:lang w:val="en-US" w:eastAsia="pt-BR"/>
              </w:rPr>
              <w:t>Net profit (loss) for the year</w:t>
            </w:r>
          </w:p>
        </w:tc>
        <w:tc>
          <w:tcPr>
            <w:tcW w:w="1346" w:type="dxa"/>
            <w:shd w:val="clear" w:color="auto" w:fill="auto"/>
            <w:vAlign w:val="center"/>
          </w:tcPr>
          <w:p w14:paraId="6CB305E3"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475564">
              <w:rPr>
                <w:rFonts w:cs="Arial"/>
                <w:b/>
                <w:sz w:val="14"/>
                <w:szCs w:val="14"/>
                <w:lang w:val="en-US"/>
              </w:rPr>
              <w:t xml:space="preserve">  </w:t>
            </w:r>
            <w:r w:rsidRPr="003E0F6E">
              <w:rPr>
                <w:rFonts w:cs="Arial"/>
                <w:b/>
                <w:sz w:val="14"/>
                <w:szCs w:val="14"/>
              </w:rPr>
              <w:t>1</w:t>
            </w:r>
            <w:r>
              <w:rPr>
                <w:rFonts w:cs="Arial"/>
                <w:b/>
                <w:sz w:val="14"/>
                <w:szCs w:val="14"/>
              </w:rPr>
              <w:t>,</w:t>
            </w:r>
            <w:r w:rsidRPr="003E0F6E">
              <w:rPr>
                <w:rFonts w:cs="Arial"/>
                <w:b/>
                <w:sz w:val="14"/>
                <w:szCs w:val="14"/>
              </w:rPr>
              <w:t>008</w:t>
            </w:r>
            <w:r>
              <w:rPr>
                <w:rFonts w:cs="Arial"/>
                <w:b/>
                <w:sz w:val="14"/>
                <w:szCs w:val="14"/>
              </w:rPr>
              <w:t>,</w:t>
            </w:r>
            <w:r w:rsidRPr="003E0F6E">
              <w:rPr>
                <w:rFonts w:cs="Arial"/>
                <w:b/>
                <w:sz w:val="14"/>
                <w:szCs w:val="14"/>
              </w:rPr>
              <w:t xml:space="preserve">793 </w:t>
            </w:r>
          </w:p>
        </w:tc>
        <w:tc>
          <w:tcPr>
            <w:tcW w:w="1346" w:type="dxa"/>
            <w:shd w:val="clear" w:color="auto" w:fill="auto"/>
            <w:vAlign w:val="center"/>
          </w:tcPr>
          <w:p w14:paraId="2AF5BE97"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w:t>
            </w:r>
            <w:r>
              <w:rPr>
                <w:rFonts w:cs="Arial"/>
                <w:b/>
                <w:sz w:val="14"/>
                <w:szCs w:val="14"/>
              </w:rPr>
              <w:t>,</w:t>
            </w:r>
            <w:r w:rsidRPr="003E0F6E">
              <w:rPr>
                <w:rFonts w:cs="Arial"/>
                <w:b/>
                <w:sz w:val="14"/>
                <w:szCs w:val="14"/>
              </w:rPr>
              <w:t xml:space="preserve">512 </w:t>
            </w:r>
          </w:p>
        </w:tc>
        <w:tc>
          <w:tcPr>
            <w:tcW w:w="1346" w:type="dxa"/>
            <w:shd w:val="clear" w:color="auto" w:fill="auto"/>
            <w:vAlign w:val="center"/>
          </w:tcPr>
          <w:p w14:paraId="309D7AB4"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22</w:t>
            </w:r>
            <w:r>
              <w:rPr>
                <w:rFonts w:cs="Arial"/>
                <w:b/>
                <w:sz w:val="14"/>
                <w:szCs w:val="14"/>
              </w:rPr>
              <w:t>,</w:t>
            </w:r>
            <w:r w:rsidRPr="003E0F6E">
              <w:rPr>
                <w:rFonts w:cs="Arial"/>
                <w:b/>
                <w:sz w:val="14"/>
                <w:szCs w:val="14"/>
              </w:rPr>
              <w:t xml:space="preserve">778 </w:t>
            </w:r>
          </w:p>
        </w:tc>
        <w:tc>
          <w:tcPr>
            <w:tcW w:w="1346" w:type="dxa"/>
            <w:shd w:val="clear" w:color="auto" w:fill="auto"/>
            <w:vAlign w:val="center"/>
          </w:tcPr>
          <w:p w14:paraId="247908AF"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162</w:t>
            </w:r>
            <w:r>
              <w:rPr>
                <w:rFonts w:cs="Arial"/>
                <w:b/>
                <w:sz w:val="14"/>
                <w:szCs w:val="14"/>
              </w:rPr>
              <w:t>,</w:t>
            </w:r>
            <w:r w:rsidRPr="003E0F6E">
              <w:rPr>
                <w:rFonts w:cs="Arial"/>
                <w:b/>
                <w:sz w:val="14"/>
                <w:szCs w:val="14"/>
              </w:rPr>
              <w:t xml:space="preserve">039 </w:t>
            </w:r>
          </w:p>
        </w:tc>
        <w:tc>
          <w:tcPr>
            <w:tcW w:w="1346" w:type="dxa"/>
            <w:shd w:val="clear" w:color="auto" w:fill="auto"/>
            <w:vAlign w:val="center"/>
          </w:tcPr>
          <w:p w14:paraId="524EEB61"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(16</w:t>
            </w:r>
            <w:r>
              <w:rPr>
                <w:rFonts w:cs="Arial"/>
                <w:b/>
                <w:sz w:val="14"/>
                <w:szCs w:val="14"/>
              </w:rPr>
              <w:t>,</w:t>
            </w:r>
            <w:r w:rsidRPr="003E0F6E">
              <w:rPr>
                <w:rFonts w:cs="Arial"/>
                <w:b/>
                <w:sz w:val="14"/>
                <w:szCs w:val="14"/>
              </w:rPr>
              <w:t>846)</w:t>
            </w:r>
          </w:p>
        </w:tc>
      </w:tr>
      <w:tr w:rsidR="005357C6" w:rsidRPr="00D1543E" w14:paraId="360A395B" w14:textId="77777777" w:rsidTr="001546EF">
        <w:trPr>
          <w:trHeight w:val="238"/>
          <w:jc w:val="center"/>
        </w:trPr>
        <w:tc>
          <w:tcPr>
            <w:tcW w:w="2909" w:type="dxa"/>
            <w:shd w:val="clear" w:color="auto" w:fill="auto"/>
            <w:vAlign w:val="center"/>
          </w:tcPr>
          <w:p w14:paraId="3CAEB080" w14:textId="77777777" w:rsidR="005357C6" w:rsidRPr="00D1543E" w:rsidRDefault="005357C6" w:rsidP="0008030B">
            <w:pPr>
              <w:keepNext/>
              <w:keepLines/>
              <w:spacing w:before="40" w:after="40" w:line="240" w:lineRule="auto"/>
              <w:ind w:left="113"/>
              <w:rPr>
                <w:rFonts w:eastAsia="Times New Roman" w:cs="Arial"/>
                <w:bCs/>
                <w:color w:val="000000"/>
                <w:spacing w:val="-2"/>
                <w:sz w:val="14"/>
                <w:szCs w:val="14"/>
                <w:lang w:eastAsia="pt-BR"/>
              </w:rPr>
            </w:pPr>
            <w:r w:rsidRPr="00D1543E">
              <w:rPr>
                <w:rFonts w:eastAsia="Times New Roman" w:cs="Arial"/>
                <w:bCs/>
                <w:color w:val="000000"/>
                <w:spacing w:val="-2"/>
                <w:sz w:val="14"/>
                <w:szCs w:val="14"/>
                <w:lang w:eastAsia="pt-BR"/>
              </w:rPr>
              <w:t>Other comprehensive results</w:t>
            </w:r>
          </w:p>
        </w:tc>
        <w:tc>
          <w:tcPr>
            <w:tcW w:w="1346" w:type="dxa"/>
            <w:shd w:val="clear" w:color="auto" w:fill="auto"/>
            <w:vAlign w:val="center"/>
          </w:tcPr>
          <w:p w14:paraId="14B5E948" w14:textId="77777777" w:rsidR="005357C6" w:rsidRPr="00D1543E" w:rsidRDefault="005357C6" w:rsidP="0008030B">
            <w:pPr>
              <w:keepNext/>
              <w:keepLines/>
              <w:spacing w:before="40" w:after="40" w:line="240" w:lineRule="auto"/>
              <w:ind w:left="113"/>
              <w:jc w:val="right"/>
              <w:rPr>
                <w:rFonts w:eastAsia="Times New Roman" w:cs="Arial"/>
                <w:bCs/>
                <w:color w:val="000000"/>
                <w:spacing w:val="-2"/>
                <w:sz w:val="14"/>
                <w:szCs w:val="14"/>
                <w:lang w:eastAsia="pt-BR"/>
              </w:rPr>
            </w:pPr>
            <w:r w:rsidRPr="00BA77A1">
              <w:rPr>
                <w:rFonts w:cs="Arial"/>
                <w:sz w:val="14"/>
                <w:szCs w:val="14"/>
              </w:rPr>
              <w:t xml:space="preserve">  (447)</w:t>
            </w:r>
          </w:p>
        </w:tc>
        <w:tc>
          <w:tcPr>
            <w:tcW w:w="1346" w:type="dxa"/>
            <w:shd w:val="clear" w:color="auto" w:fill="auto"/>
          </w:tcPr>
          <w:p w14:paraId="21C32D46" w14:textId="77777777" w:rsidR="005357C6" w:rsidRPr="00D1543E" w:rsidRDefault="005357C6" w:rsidP="0008030B">
            <w:pPr>
              <w:keepNext/>
              <w:keepLines/>
              <w:spacing w:before="40" w:after="40" w:line="240" w:lineRule="auto"/>
              <w:ind w:left="113"/>
              <w:jc w:val="right"/>
              <w:rPr>
                <w:rFonts w:eastAsia="Times New Roman" w:cs="Arial"/>
                <w:bCs/>
                <w:color w:val="000000"/>
                <w:spacing w:val="-2"/>
                <w:sz w:val="14"/>
                <w:szCs w:val="14"/>
                <w:lang w:eastAsia="pt-BR"/>
              </w:rPr>
            </w:pPr>
            <w:r w:rsidRPr="000C26D7">
              <w:rPr>
                <w:rFonts w:cs="Arial"/>
                <w:bCs/>
                <w:sz w:val="14"/>
                <w:szCs w:val="14"/>
              </w:rPr>
              <w:t>(137</w:t>
            </w:r>
            <w:r>
              <w:rPr>
                <w:rFonts w:cs="Arial"/>
                <w:bCs/>
                <w:sz w:val="14"/>
                <w:szCs w:val="14"/>
              </w:rPr>
              <w:t>,</w:t>
            </w:r>
            <w:r w:rsidRPr="000C26D7">
              <w:rPr>
                <w:rFonts w:cs="Arial"/>
                <w:bCs/>
                <w:sz w:val="14"/>
                <w:szCs w:val="14"/>
              </w:rPr>
              <w:t>254)</w:t>
            </w:r>
          </w:p>
        </w:tc>
        <w:tc>
          <w:tcPr>
            <w:tcW w:w="1346" w:type="dxa"/>
            <w:shd w:val="clear" w:color="auto" w:fill="auto"/>
            <w:vAlign w:val="center"/>
          </w:tcPr>
          <w:p w14:paraId="57ACA028" w14:textId="77777777" w:rsidR="005357C6" w:rsidRPr="00D1543E" w:rsidRDefault="005357C6" w:rsidP="0008030B">
            <w:pPr>
              <w:keepNext/>
              <w:keepLines/>
              <w:spacing w:before="40" w:after="40" w:line="240" w:lineRule="auto"/>
              <w:ind w:left="113"/>
              <w:jc w:val="right"/>
              <w:rPr>
                <w:rFonts w:eastAsia="Times New Roman" w:cs="Arial"/>
                <w:bCs/>
                <w:color w:val="000000"/>
                <w:spacing w:val="-2"/>
                <w:sz w:val="14"/>
                <w:szCs w:val="14"/>
                <w:lang w:eastAsia="pt-BR"/>
              </w:rPr>
            </w:pPr>
            <w:r w:rsidRPr="00BA77A1">
              <w:rPr>
                <w:rFonts w:cs="Arial"/>
                <w:sz w:val="14"/>
                <w:szCs w:val="14"/>
              </w:rPr>
              <w:t xml:space="preserve">  -- </w:t>
            </w:r>
          </w:p>
        </w:tc>
        <w:tc>
          <w:tcPr>
            <w:tcW w:w="1346" w:type="dxa"/>
            <w:shd w:val="clear" w:color="auto" w:fill="auto"/>
            <w:vAlign w:val="center"/>
          </w:tcPr>
          <w:p w14:paraId="1489148C" w14:textId="77777777" w:rsidR="005357C6" w:rsidRPr="00D1543E" w:rsidRDefault="005357C6" w:rsidP="0008030B">
            <w:pPr>
              <w:keepNext/>
              <w:keepLines/>
              <w:spacing w:before="40" w:after="40" w:line="240" w:lineRule="auto"/>
              <w:ind w:left="113"/>
              <w:jc w:val="right"/>
              <w:rPr>
                <w:rFonts w:eastAsia="Times New Roman" w:cs="Arial"/>
                <w:bCs/>
                <w:color w:val="000000"/>
                <w:spacing w:val="-2"/>
                <w:sz w:val="14"/>
                <w:szCs w:val="14"/>
                <w:lang w:eastAsia="pt-BR"/>
              </w:rPr>
            </w:pPr>
            <w:r w:rsidRPr="00BA77A1">
              <w:rPr>
                <w:rFonts w:cs="Arial"/>
                <w:sz w:val="14"/>
                <w:szCs w:val="14"/>
              </w:rPr>
              <w:t xml:space="preserve">  -- </w:t>
            </w:r>
          </w:p>
        </w:tc>
        <w:tc>
          <w:tcPr>
            <w:tcW w:w="1346" w:type="dxa"/>
            <w:shd w:val="clear" w:color="auto" w:fill="auto"/>
            <w:vAlign w:val="center"/>
          </w:tcPr>
          <w:p w14:paraId="69E5F58E" w14:textId="77777777" w:rsidR="005357C6" w:rsidRPr="00D1543E" w:rsidRDefault="005357C6" w:rsidP="0008030B">
            <w:pPr>
              <w:keepNext/>
              <w:keepLines/>
              <w:spacing w:before="40" w:after="40" w:line="240" w:lineRule="auto"/>
              <w:ind w:left="113"/>
              <w:jc w:val="right"/>
              <w:rPr>
                <w:rFonts w:eastAsia="Times New Roman" w:cs="Arial"/>
                <w:bCs/>
                <w:color w:val="000000"/>
                <w:spacing w:val="-2"/>
                <w:sz w:val="14"/>
                <w:szCs w:val="14"/>
                <w:lang w:eastAsia="pt-BR"/>
              </w:rPr>
            </w:pPr>
            <w:r w:rsidRPr="00BA77A1">
              <w:rPr>
                <w:rFonts w:cs="Arial"/>
                <w:sz w:val="14"/>
                <w:szCs w:val="14"/>
              </w:rPr>
              <w:t xml:space="preserve">  -- </w:t>
            </w:r>
          </w:p>
        </w:tc>
      </w:tr>
      <w:tr w:rsidR="005357C6" w:rsidRPr="007E5BEF" w14:paraId="4DA155E4" w14:textId="77777777" w:rsidTr="001546EF">
        <w:trPr>
          <w:trHeight w:val="238"/>
          <w:jc w:val="center"/>
        </w:trPr>
        <w:tc>
          <w:tcPr>
            <w:tcW w:w="2909" w:type="dxa"/>
            <w:shd w:val="clear" w:color="auto" w:fill="auto"/>
            <w:vAlign w:val="center"/>
          </w:tcPr>
          <w:p w14:paraId="414719B2" w14:textId="77777777" w:rsidR="005357C6" w:rsidRPr="004365F5" w:rsidRDefault="005357C6" w:rsidP="0008030B">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Total comprehensive result</w:t>
            </w:r>
          </w:p>
        </w:tc>
        <w:tc>
          <w:tcPr>
            <w:tcW w:w="1346" w:type="dxa"/>
            <w:shd w:val="clear" w:color="auto" w:fill="auto"/>
            <w:vAlign w:val="center"/>
          </w:tcPr>
          <w:p w14:paraId="5FB19FFF"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w:t>
            </w:r>
            <w:r>
              <w:rPr>
                <w:rFonts w:cs="Arial"/>
                <w:b/>
                <w:sz w:val="14"/>
                <w:szCs w:val="14"/>
              </w:rPr>
              <w:t>,</w:t>
            </w:r>
            <w:r w:rsidRPr="003E0F6E">
              <w:rPr>
                <w:rFonts w:cs="Arial"/>
                <w:b/>
                <w:sz w:val="14"/>
                <w:szCs w:val="14"/>
              </w:rPr>
              <w:t>008</w:t>
            </w:r>
            <w:r>
              <w:rPr>
                <w:rFonts w:cs="Arial"/>
                <w:b/>
                <w:sz w:val="14"/>
                <w:szCs w:val="14"/>
              </w:rPr>
              <w:t>,</w:t>
            </w:r>
            <w:r w:rsidRPr="003E0F6E">
              <w:rPr>
                <w:rFonts w:cs="Arial"/>
                <w:b/>
                <w:sz w:val="14"/>
                <w:szCs w:val="14"/>
              </w:rPr>
              <w:t xml:space="preserve">346 </w:t>
            </w:r>
          </w:p>
        </w:tc>
        <w:tc>
          <w:tcPr>
            <w:tcW w:w="1346" w:type="dxa"/>
            <w:shd w:val="clear" w:color="auto" w:fill="auto"/>
          </w:tcPr>
          <w:p w14:paraId="3C53EDC7"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Pr>
                <w:rFonts w:cs="Arial"/>
                <w:b/>
                <w:sz w:val="14"/>
                <w:szCs w:val="14"/>
              </w:rPr>
              <w:t>(</w:t>
            </w:r>
            <w:r w:rsidRPr="000C26D7">
              <w:rPr>
                <w:rFonts w:cs="Arial"/>
                <w:b/>
                <w:sz w:val="14"/>
                <w:szCs w:val="14"/>
              </w:rPr>
              <w:t>133</w:t>
            </w:r>
            <w:r>
              <w:rPr>
                <w:rFonts w:cs="Arial"/>
                <w:b/>
                <w:sz w:val="14"/>
                <w:szCs w:val="14"/>
              </w:rPr>
              <w:t>,</w:t>
            </w:r>
            <w:r w:rsidRPr="000C26D7">
              <w:rPr>
                <w:rFonts w:cs="Arial"/>
                <w:b/>
                <w:sz w:val="14"/>
                <w:szCs w:val="14"/>
              </w:rPr>
              <w:t>742</w:t>
            </w:r>
            <w:r>
              <w:rPr>
                <w:rFonts w:cs="Arial"/>
                <w:b/>
                <w:sz w:val="14"/>
                <w:szCs w:val="14"/>
              </w:rPr>
              <w:t>)</w:t>
            </w:r>
          </w:p>
        </w:tc>
        <w:tc>
          <w:tcPr>
            <w:tcW w:w="1346" w:type="dxa"/>
            <w:shd w:val="clear" w:color="auto" w:fill="auto"/>
            <w:vAlign w:val="center"/>
          </w:tcPr>
          <w:p w14:paraId="7AD5B398"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22</w:t>
            </w:r>
            <w:r>
              <w:rPr>
                <w:rFonts w:cs="Arial"/>
                <w:b/>
                <w:sz w:val="14"/>
                <w:szCs w:val="14"/>
              </w:rPr>
              <w:t>,</w:t>
            </w:r>
            <w:r w:rsidRPr="003E0F6E">
              <w:rPr>
                <w:rFonts w:cs="Arial"/>
                <w:b/>
                <w:sz w:val="14"/>
                <w:szCs w:val="14"/>
              </w:rPr>
              <w:t xml:space="preserve">778 </w:t>
            </w:r>
          </w:p>
        </w:tc>
        <w:tc>
          <w:tcPr>
            <w:tcW w:w="1346" w:type="dxa"/>
            <w:shd w:val="clear" w:color="auto" w:fill="auto"/>
            <w:vAlign w:val="center"/>
          </w:tcPr>
          <w:p w14:paraId="7357D948"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162</w:t>
            </w:r>
            <w:r>
              <w:rPr>
                <w:rFonts w:cs="Arial"/>
                <w:b/>
                <w:sz w:val="14"/>
                <w:szCs w:val="14"/>
              </w:rPr>
              <w:t>,</w:t>
            </w:r>
            <w:r w:rsidRPr="003E0F6E">
              <w:rPr>
                <w:rFonts w:cs="Arial"/>
                <w:b/>
                <w:sz w:val="14"/>
                <w:szCs w:val="14"/>
              </w:rPr>
              <w:t xml:space="preserve">039 </w:t>
            </w:r>
          </w:p>
        </w:tc>
        <w:tc>
          <w:tcPr>
            <w:tcW w:w="1346" w:type="dxa"/>
            <w:shd w:val="clear" w:color="auto" w:fill="auto"/>
            <w:vAlign w:val="center"/>
          </w:tcPr>
          <w:p w14:paraId="0C37A428" w14:textId="77777777" w:rsidR="005357C6" w:rsidRPr="004365F5" w:rsidRDefault="005357C6" w:rsidP="0008030B">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(16</w:t>
            </w:r>
            <w:r>
              <w:rPr>
                <w:rFonts w:cs="Arial"/>
                <w:b/>
                <w:sz w:val="14"/>
                <w:szCs w:val="14"/>
              </w:rPr>
              <w:t>,</w:t>
            </w:r>
            <w:r w:rsidRPr="003E0F6E">
              <w:rPr>
                <w:rFonts w:cs="Arial"/>
                <w:b/>
                <w:sz w:val="14"/>
                <w:szCs w:val="14"/>
              </w:rPr>
              <w:t>846)</w:t>
            </w:r>
          </w:p>
        </w:tc>
      </w:tr>
      <w:tr w:rsidR="005357C6" w:rsidRPr="007E5BEF" w14:paraId="78C0BD44" w14:textId="77777777" w:rsidTr="00242BB3">
        <w:trPr>
          <w:trHeight w:val="238"/>
          <w:jc w:val="center"/>
        </w:trPr>
        <w:tc>
          <w:tcPr>
            <w:tcW w:w="2909" w:type="dxa"/>
            <w:shd w:val="clear" w:color="auto" w:fill="auto"/>
            <w:vAlign w:val="center"/>
          </w:tcPr>
          <w:p w14:paraId="4168F0FB"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Attributable to BB Seguridade</w:t>
            </w:r>
          </w:p>
        </w:tc>
        <w:tc>
          <w:tcPr>
            <w:tcW w:w="1346" w:type="dxa"/>
            <w:shd w:val="clear" w:color="auto" w:fill="auto"/>
            <w:vAlign w:val="center"/>
          </w:tcPr>
          <w:p w14:paraId="71F1AF4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756</w:t>
            </w:r>
            <w:r>
              <w:rPr>
                <w:rFonts w:cs="Arial"/>
                <w:b/>
                <w:sz w:val="14"/>
                <w:szCs w:val="14"/>
              </w:rPr>
              <w:t>,</w:t>
            </w:r>
            <w:r w:rsidRPr="003E0F6E">
              <w:rPr>
                <w:rFonts w:cs="Arial"/>
                <w:b/>
                <w:sz w:val="14"/>
                <w:szCs w:val="14"/>
              </w:rPr>
              <w:t xml:space="preserve">544 </w:t>
            </w:r>
          </w:p>
        </w:tc>
        <w:tc>
          <w:tcPr>
            <w:tcW w:w="1346" w:type="dxa"/>
            <w:shd w:val="clear" w:color="auto" w:fill="auto"/>
            <w:vAlign w:val="center"/>
          </w:tcPr>
          <w:p w14:paraId="5FDD94A0"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 xml:space="preserve">341 </w:t>
            </w:r>
          </w:p>
        </w:tc>
        <w:tc>
          <w:tcPr>
            <w:tcW w:w="1346" w:type="dxa"/>
            <w:shd w:val="clear" w:color="auto" w:fill="auto"/>
            <w:vAlign w:val="center"/>
          </w:tcPr>
          <w:p w14:paraId="529B9E8F"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17</w:t>
            </w:r>
            <w:r>
              <w:rPr>
                <w:rFonts w:cs="Arial"/>
                <w:b/>
                <w:sz w:val="14"/>
                <w:szCs w:val="14"/>
              </w:rPr>
              <w:t>,</w:t>
            </w:r>
            <w:r w:rsidRPr="003E0F6E">
              <w:rPr>
                <w:rFonts w:cs="Arial"/>
                <w:b/>
                <w:sz w:val="14"/>
                <w:szCs w:val="14"/>
              </w:rPr>
              <w:t xml:space="preserve">083 </w:t>
            </w:r>
          </w:p>
        </w:tc>
        <w:tc>
          <w:tcPr>
            <w:tcW w:w="1346" w:type="dxa"/>
            <w:shd w:val="clear" w:color="auto" w:fill="auto"/>
            <w:vAlign w:val="center"/>
          </w:tcPr>
          <w:p w14:paraId="371EA506"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162</w:t>
            </w:r>
            <w:r>
              <w:rPr>
                <w:rFonts w:cs="Arial"/>
                <w:b/>
                <w:sz w:val="14"/>
                <w:szCs w:val="14"/>
              </w:rPr>
              <w:t>,</w:t>
            </w:r>
            <w:r w:rsidRPr="003E0F6E">
              <w:rPr>
                <w:rFonts w:cs="Arial"/>
                <w:b/>
                <w:sz w:val="14"/>
                <w:szCs w:val="14"/>
              </w:rPr>
              <w:t xml:space="preserve">039 </w:t>
            </w:r>
          </w:p>
        </w:tc>
        <w:tc>
          <w:tcPr>
            <w:tcW w:w="1346" w:type="dxa"/>
            <w:shd w:val="clear" w:color="auto" w:fill="auto"/>
            <w:vAlign w:val="center"/>
          </w:tcPr>
          <w:p w14:paraId="2DAD9F30"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(12</w:t>
            </w:r>
            <w:r>
              <w:rPr>
                <w:rFonts w:cs="Arial"/>
                <w:b/>
                <w:sz w:val="14"/>
                <w:szCs w:val="14"/>
              </w:rPr>
              <w:t>,</w:t>
            </w:r>
            <w:r w:rsidRPr="003E0F6E">
              <w:rPr>
                <w:rFonts w:cs="Arial"/>
                <w:b/>
                <w:sz w:val="14"/>
                <w:szCs w:val="14"/>
              </w:rPr>
              <w:t>633)</w:t>
            </w:r>
          </w:p>
        </w:tc>
      </w:tr>
      <w:tr w:rsidR="005357C6" w:rsidRPr="007E5BEF" w14:paraId="04019000" w14:textId="77777777" w:rsidTr="00242BB3">
        <w:trPr>
          <w:trHeight w:val="238"/>
          <w:jc w:val="center"/>
        </w:trPr>
        <w:tc>
          <w:tcPr>
            <w:tcW w:w="2909" w:type="dxa"/>
            <w:tcBorders>
              <w:bottom w:val="single" w:sz="2" w:space="0" w:color="1F4E79" w:themeColor="accent1" w:themeShade="80"/>
            </w:tcBorders>
            <w:shd w:val="clear" w:color="auto" w:fill="auto"/>
            <w:vAlign w:val="center"/>
          </w:tcPr>
          <w:p w14:paraId="1529C8D3" w14:textId="77777777" w:rsidR="005357C6" w:rsidRPr="004365F5" w:rsidRDefault="005357C6" w:rsidP="00475564">
            <w:pPr>
              <w:keepNext/>
              <w:keepLines/>
              <w:spacing w:before="40" w:after="40" w:line="240" w:lineRule="auto"/>
              <w:rPr>
                <w:rFonts w:eastAsia="Times New Roman" w:cs="Arial"/>
                <w:b/>
                <w:color w:val="000000"/>
                <w:spacing w:val="-2"/>
                <w:sz w:val="14"/>
                <w:szCs w:val="14"/>
                <w:lang w:eastAsia="pt-BR"/>
              </w:rPr>
            </w:pPr>
            <w:r w:rsidRPr="004365F5">
              <w:rPr>
                <w:rFonts w:eastAsia="Times New Roman" w:cs="Arial"/>
                <w:b/>
                <w:color w:val="000000"/>
                <w:spacing w:val="-2"/>
                <w:sz w:val="14"/>
                <w:szCs w:val="14"/>
                <w:lang w:eastAsia="pt-BR"/>
              </w:rPr>
              <w:t>Equivalence result</w:t>
            </w:r>
          </w:p>
        </w:tc>
        <w:tc>
          <w:tcPr>
            <w:tcW w:w="1346" w:type="dxa"/>
            <w:tcBorders>
              <w:bottom w:val="single" w:sz="2" w:space="0" w:color="1F4E79" w:themeColor="accent1" w:themeShade="80"/>
            </w:tcBorders>
            <w:shd w:val="clear" w:color="auto" w:fill="auto"/>
            <w:vAlign w:val="center"/>
          </w:tcPr>
          <w:p w14:paraId="7F0A0883"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756</w:t>
            </w:r>
            <w:r>
              <w:rPr>
                <w:rFonts w:cs="Arial"/>
                <w:b/>
                <w:sz w:val="14"/>
                <w:szCs w:val="14"/>
              </w:rPr>
              <w:t>,</w:t>
            </w:r>
            <w:r w:rsidRPr="003E0F6E">
              <w:rPr>
                <w:rFonts w:cs="Arial"/>
                <w:b/>
                <w:sz w:val="14"/>
                <w:szCs w:val="14"/>
              </w:rPr>
              <w:t xml:space="preserve">544 </w:t>
            </w:r>
          </w:p>
        </w:tc>
        <w:tc>
          <w:tcPr>
            <w:tcW w:w="1346" w:type="dxa"/>
            <w:tcBorders>
              <w:bottom w:val="single" w:sz="2" w:space="0" w:color="1F4E79" w:themeColor="accent1" w:themeShade="80"/>
            </w:tcBorders>
            <w:shd w:val="clear" w:color="auto" w:fill="auto"/>
            <w:vAlign w:val="center"/>
          </w:tcPr>
          <w:p w14:paraId="3EF57CD4"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 xml:space="preserve">341 </w:t>
            </w:r>
          </w:p>
        </w:tc>
        <w:tc>
          <w:tcPr>
            <w:tcW w:w="1346" w:type="dxa"/>
            <w:tcBorders>
              <w:bottom w:val="single" w:sz="2" w:space="0" w:color="1F4E79" w:themeColor="accent1" w:themeShade="80"/>
            </w:tcBorders>
            <w:shd w:val="clear" w:color="auto" w:fill="auto"/>
            <w:vAlign w:val="center"/>
          </w:tcPr>
          <w:p w14:paraId="6AC2B8F0"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17</w:t>
            </w:r>
            <w:r>
              <w:rPr>
                <w:rFonts w:cs="Arial"/>
                <w:b/>
                <w:sz w:val="14"/>
                <w:szCs w:val="14"/>
              </w:rPr>
              <w:t>,</w:t>
            </w:r>
            <w:r w:rsidRPr="003E0F6E">
              <w:rPr>
                <w:rFonts w:cs="Arial"/>
                <w:b/>
                <w:sz w:val="14"/>
                <w:szCs w:val="14"/>
              </w:rPr>
              <w:t xml:space="preserve">083 </w:t>
            </w:r>
          </w:p>
        </w:tc>
        <w:tc>
          <w:tcPr>
            <w:tcW w:w="1346" w:type="dxa"/>
            <w:tcBorders>
              <w:bottom w:val="single" w:sz="2" w:space="0" w:color="1F4E79" w:themeColor="accent1" w:themeShade="80"/>
            </w:tcBorders>
            <w:shd w:val="clear" w:color="auto" w:fill="auto"/>
            <w:vAlign w:val="center"/>
          </w:tcPr>
          <w:p w14:paraId="4B3DCCEB"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162</w:t>
            </w:r>
            <w:r>
              <w:rPr>
                <w:rFonts w:cs="Arial"/>
                <w:b/>
                <w:sz w:val="14"/>
                <w:szCs w:val="14"/>
              </w:rPr>
              <w:t>,</w:t>
            </w:r>
            <w:r w:rsidRPr="003E0F6E">
              <w:rPr>
                <w:rFonts w:cs="Arial"/>
                <w:b/>
                <w:sz w:val="14"/>
                <w:szCs w:val="14"/>
              </w:rPr>
              <w:t xml:space="preserve">039 </w:t>
            </w:r>
          </w:p>
        </w:tc>
        <w:tc>
          <w:tcPr>
            <w:tcW w:w="1346" w:type="dxa"/>
            <w:tcBorders>
              <w:bottom w:val="single" w:sz="2" w:space="0" w:color="1F4E79" w:themeColor="accent1" w:themeShade="80"/>
            </w:tcBorders>
            <w:shd w:val="clear" w:color="auto" w:fill="auto"/>
            <w:vAlign w:val="center"/>
          </w:tcPr>
          <w:p w14:paraId="1CEB2545" w14:textId="77777777" w:rsidR="005357C6" w:rsidRPr="004365F5" w:rsidRDefault="005357C6" w:rsidP="00475564">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(12</w:t>
            </w:r>
            <w:r>
              <w:rPr>
                <w:rFonts w:cs="Arial"/>
                <w:b/>
                <w:sz w:val="14"/>
                <w:szCs w:val="14"/>
              </w:rPr>
              <w:t>,</w:t>
            </w:r>
            <w:r w:rsidRPr="003E0F6E">
              <w:rPr>
                <w:rFonts w:cs="Arial"/>
                <w:b/>
                <w:sz w:val="14"/>
                <w:szCs w:val="14"/>
              </w:rPr>
              <w:t>633)</w:t>
            </w:r>
          </w:p>
        </w:tc>
      </w:tr>
    </w:tbl>
    <w:p w14:paraId="4AFE11DD" w14:textId="77777777" w:rsidR="005357C6" w:rsidRPr="004D1CA9" w:rsidRDefault="005357C6" w:rsidP="004D1CA9">
      <w:pPr>
        <w:rPr>
          <w:rFonts w:cs="Arial"/>
          <w:sz w:val="14"/>
          <w:szCs w:val="18"/>
          <w:lang w:val="en-US"/>
        </w:rPr>
      </w:pPr>
    </w:p>
    <w:p w14:paraId="1000182A" w14:textId="77777777" w:rsidR="005357C6" w:rsidRPr="00D44604" w:rsidRDefault="005357C6" w:rsidP="00D44604">
      <w:pPr>
        <w:keepNext/>
        <w:keepLines/>
        <w:pageBreakBefore/>
        <w:spacing w:after="0" w:line="240" w:lineRule="auto"/>
        <w:rPr>
          <w:rFonts w:eastAsia="Times New Roman" w:cs="Times New Roman"/>
          <w:b/>
          <w:color w:val="1F4E79" w:themeColor="accent1" w:themeShade="80"/>
          <w:spacing w:val="-2"/>
          <w:szCs w:val="20"/>
          <w:lang w:eastAsia="pt-BR"/>
        </w:rPr>
      </w:pPr>
      <w:r w:rsidRPr="00D44604">
        <w:rPr>
          <w:rFonts w:eastAsia="Times New Roman" w:cs="Times New Roman"/>
          <w:b/>
          <w:color w:val="1F4E79" w:themeColor="accent1" w:themeShade="80"/>
          <w:spacing w:val="-2"/>
          <w:szCs w:val="20"/>
          <w:lang w:eastAsia="pt-BR"/>
        </w:rPr>
        <w:lastRenderedPageBreak/>
        <w:t>Equity Information</w:t>
      </w:r>
    </w:p>
    <w:p w14:paraId="6EABC4AB" w14:textId="77777777" w:rsidR="005357C6" w:rsidRPr="00D44604" w:rsidRDefault="005357C6" w:rsidP="00C71FFF">
      <w:pPr>
        <w:keepNext/>
        <w:keepLines/>
        <w:spacing w:after="0"/>
        <w:jc w:val="right"/>
        <w:rPr>
          <w:rFonts w:cs="Arial"/>
          <w:b/>
          <w:sz w:val="14"/>
          <w:szCs w:val="18"/>
        </w:rPr>
      </w:pPr>
      <w:r w:rsidRPr="00FC6C4B">
        <w:rPr>
          <w:rFonts w:cs="Arial"/>
          <w:b/>
          <w:sz w:val="14"/>
          <w:szCs w:val="18"/>
        </w:rPr>
        <w:t>R$ thousand</w:t>
      </w:r>
    </w:p>
    <w:tbl>
      <w:tblPr>
        <w:tblW w:w="9640" w:type="dxa"/>
        <w:jc w:val="center"/>
        <w:tblLayout w:type="fixed"/>
        <w:tblLook w:val="04A0" w:firstRow="1" w:lastRow="0" w:firstColumn="1" w:lastColumn="0" w:noHBand="0" w:noVBand="1"/>
      </w:tblPr>
      <w:tblGrid>
        <w:gridCol w:w="2551"/>
        <w:gridCol w:w="1417"/>
        <w:gridCol w:w="1418"/>
        <w:gridCol w:w="1418"/>
        <w:gridCol w:w="1418"/>
        <w:gridCol w:w="1418"/>
      </w:tblGrid>
      <w:tr w:rsidR="005357C6" w:rsidRPr="00D44604" w14:paraId="37669CD1" w14:textId="77777777" w:rsidTr="00000E40">
        <w:trPr>
          <w:trHeight w:val="238"/>
          <w:jc w:val="center"/>
        </w:trPr>
        <w:tc>
          <w:tcPr>
            <w:tcW w:w="2551" w:type="dxa"/>
            <w:tcBorders>
              <w:top w:val="single" w:sz="2" w:space="0" w:color="1F4E79" w:themeColor="accent1" w:themeShade="80"/>
              <w:bottom w:val="single" w:sz="2" w:space="0" w:color="1F4E79" w:themeColor="accent1" w:themeShade="80"/>
            </w:tcBorders>
            <w:shd w:val="clear" w:color="auto" w:fill="auto"/>
            <w:vAlign w:val="center"/>
          </w:tcPr>
          <w:p w14:paraId="4EA4C3EA" w14:textId="77777777" w:rsidR="005357C6" w:rsidRPr="00D44604" w:rsidRDefault="005357C6" w:rsidP="00D44604">
            <w:pPr>
              <w:spacing w:before="40" w:after="40" w:line="240" w:lineRule="auto"/>
              <w:jc w:val="center"/>
              <w:rPr>
                <w:rFonts w:eastAsia="Times New Roman" w:cs="Arial"/>
                <w:b/>
                <w:spacing w:val="-2"/>
                <w:sz w:val="14"/>
                <w:szCs w:val="18"/>
                <w:lang w:eastAsia="pt-BR"/>
              </w:rPr>
            </w:pPr>
            <w:r w:rsidRPr="00D44604">
              <w:rPr>
                <w:rFonts w:cs="Arial"/>
                <w:b/>
                <w:sz w:val="14"/>
                <w:szCs w:val="14"/>
              </w:rPr>
              <w:t>Segment</w:t>
            </w:r>
          </w:p>
        </w:tc>
        <w:tc>
          <w:tcPr>
            <w:tcW w:w="4253" w:type="dxa"/>
            <w:gridSpan w:val="3"/>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21FCC226"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Insurance</w:t>
            </w:r>
          </w:p>
        </w:tc>
        <w:tc>
          <w:tcPr>
            <w:tcW w:w="2836" w:type="dxa"/>
            <w:gridSpan w:val="2"/>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78B0F2FC"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Brokerage</w:t>
            </w:r>
          </w:p>
        </w:tc>
      </w:tr>
      <w:tr w:rsidR="005357C6" w:rsidRPr="00D44604" w14:paraId="2D49DE0F" w14:textId="77777777" w:rsidTr="00000E40">
        <w:trPr>
          <w:trHeight w:val="238"/>
          <w:jc w:val="center"/>
        </w:trPr>
        <w:tc>
          <w:tcPr>
            <w:tcW w:w="2551" w:type="dxa"/>
            <w:tcBorders>
              <w:top w:val="single" w:sz="2" w:space="0" w:color="1F4E79" w:themeColor="accent1" w:themeShade="80"/>
              <w:bottom w:val="single" w:sz="2" w:space="0" w:color="1F4E79" w:themeColor="accent1" w:themeShade="80"/>
            </w:tcBorders>
            <w:shd w:val="clear" w:color="auto" w:fill="auto"/>
            <w:vAlign w:val="center"/>
          </w:tcPr>
          <w:p w14:paraId="769ACDB9"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cs="Arial"/>
                <w:b/>
                <w:sz w:val="14"/>
                <w:szCs w:val="14"/>
              </w:rPr>
              <w:t>Line of business</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BD31D35" w14:textId="77777777" w:rsidR="005357C6" w:rsidRPr="00D44604" w:rsidRDefault="005357C6" w:rsidP="00D44604">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Private</w:t>
            </w:r>
          </w:p>
          <w:p w14:paraId="5D143C6A"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Pension Plans</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6C5E9741" w14:textId="77777777" w:rsidR="005357C6" w:rsidRPr="00D44604" w:rsidRDefault="005357C6" w:rsidP="00D44604">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Capitalization</w:t>
            </w:r>
          </w:p>
          <w:p w14:paraId="03DD9646"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Plans</w:t>
            </w:r>
          </w:p>
        </w:tc>
        <w:tc>
          <w:tcPr>
            <w:tcW w:w="1418" w:type="dxa"/>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66DAA011"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Health</w:t>
            </w:r>
          </w:p>
        </w:tc>
        <w:tc>
          <w:tcPr>
            <w:tcW w:w="1418"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6C3BA58F"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Brokerage</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474B42AE"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Brokerage</w:t>
            </w:r>
          </w:p>
        </w:tc>
      </w:tr>
      <w:tr w:rsidR="005357C6" w:rsidRPr="00D44604" w14:paraId="39BA7FBE" w14:textId="77777777" w:rsidTr="00000E40">
        <w:trPr>
          <w:trHeight w:val="238"/>
          <w:jc w:val="center"/>
        </w:trPr>
        <w:tc>
          <w:tcPr>
            <w:tcW w:w="2551" w:type="dxa"/>
            <w:tcBorders>
              <w:top w:val="single" w:sz="2" w:space="0" w:color="1F4E79" w:themeColor="accent1" w:themeShade="80"/>
              <w:bottom w:val="single" w:sz="2" w:space="0" w:color="1F4E79" w:themeColor="accent1" w:themeShade="80"/>
            </w:tcBorders>
            <w:shd w:val="clear" w:color="auto" w:fill="auto"/>
            <w:vAlign w:val="center"/>
          </w:tcPr>
          <w:p w14:paraId="05D8BEEB" w14:textId="77777777" w:rsidR="005357C6" w:rsidRPr="00D44604" w:rsidRDefault="005357C6" w:rsidP="00BE6A12">
            <w:pPr>
              <w:spacing w:before="40" w:after="40" w:line="240" w:lineRule="auto"/>
              <w:jc w:val="center"/>
              <w:rPr>
                <w:rFonts w:eastAsia="Times New Roman" w:cs="Arial"/>
                <w:b/>
                <w:spacing w:val="-2"/>
                <w:sz w:val="14"/>
                <w:szCs w:val="14"/>
                <w:lang w:eastAsia="pt-BR"/>
              </w:rPr>
            </w:pPr>
            <w:r>
              <w:rPr>
                <w:rFonts w:eastAsia="Times New Roman" w:cs="Arial"/>
                <w:b/>
                <w:spacing w:val="-2"/>
                <w:sz w:val="14"/>
                <w:szCs w:val="14"/>
                <w:lang w:eastAsia="pt-BR"/>
              </w:rPr>
              <w:t>Dec</w:t>
            </w:r>
            <w:r w:rsidRPr="00D44604">
              <w:rPr>
                <w:rFonts w:eastAsia="Times New Roman" w:cs="Arial"/>
                <w:b/>
                <w:spacing w:val="-2"/>
                <w:sz w:val="14"/>
                <w:szCs w:val="14"/>
                <w:lang w:eastAsia="pt-BR"/>
              </w:rPr>
              <w:t xml:space="preserve"> </w:t>
            </w:r>
            <w:r>
              <w:rPr>
                <w:rFonts w:eastAsia="Times New Roman" w:cs="Arial"/>
                <w:b/>
                <w:spacing w:val="-2"/>
                <w:sz w:val="14"/>
                <w:szCs w:val="14"/>
                <w:lang w:eastAsia="pt-BR"/>
              </w:rPr>
              <w:t>31</w:t>
            </w:r>
            <w:r w:rsidRPr="00D44604">
              <w:rPr>
                <w:rFonts w:eastAsia="Times New Roman" w:cs="Arial"/>
                <w:b/>
                <w:spacing w:val="-2"/>
                <w:sz w:val="14"/>
                <w:szCs w:val="14"/>
                <w:lang w:eastAsia="pt-BR"/>
              </w:rPr>
              <w:t>,</w:t>
            </w:r>
            <w:r>
              <w:rPr>
                <w:rFonts w:eastAsia="Times New Roman" w:cs="Arial"/>
                <w:b/>
                <w:spacing w:val="-2"/>
                <w:sz w:val="14"/>
                <w:szCs w:val="14"/>
                <w:lang w:eastAsia="pt-BR"/>
              </w:rPr>
              <w:t xml:space="preserve"> </w:t>
            </w:r>
            <w:r w:rsidRPr="00D44604">
              <w:rPr>
                <w:rFonts w:eastAsia="Times New Roman" w:cs="Arial"/>
                <w:b/>
                <w:spacing w:val="-2"/>
                <w:sz w:val="14"/>
                <w:szCs w:val="14"/>
                <w:lang w:eastAsia="pt-BR"/>
              </w:rPr>
              <w:t>202</w:t>
            </w:r>
            <w:r>
              <w:rPr>
                <w:rFonts w:eastAsia="Times New Roman" w:cs="Arial"/>
                <w:b/>
                <w:spacing w:val="-2"/>
                <w:sz w:val="14"/>
                <w:szCs w:val="14"/>
                <w:lang w:eastAsia="pt-BR"/>
              </w:rPr>
              <w:t>2</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6720EC33"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 xml:space="preserve">Brasilprev </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75124E85"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 xml:space="preserve">Brasilcap </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5A5B3708"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 xml:space="preserve">Brasildental </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785B0B57"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 xml:space="preserve">BB Corretora </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57CEF5DA" w14:textId="77777777" w:rsidR="005357C6" w:rsidRPr="00D44604" w:rsidRDefault="005357C6" w:rsidP="00D44604">
            <w:pPr>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 xml:space="preserve">Ciclic </w:t>
            </w:r>
          </w:p>
        </w:tc>
      </w:tr>
      <w:tr w:rsidR="005357C6" w:rsidRPr="00D44604" w14:paraId="683B9FA4" w14:textId="77777777" w:rsidTr="00000E40">
        <w:trPr>
          <w:trHeight w:val="238"/>
          <w:jc w:val="center"/>
        </w:trPr>
        <w:tc>
          <w:tcPr>
            <w:tcW w:w="2551" w:type="dxa"/>
            <w:tcBorders>
              <w:top w:val="single" w:sz="2" w:space="0" w:color="1F4E79" w:themeColor="accent1" w:themeShade="80"/>
            </w:tcBorders>
            <w:shd w:val="clear" w:color="auto" w:fill="auto"/>
          </w:tcPr>
          <w:p w14:paraId="42C363CE" w14:textId="77777777" w:rsidR="005357C6" w:rsidRPr="00D44604" w:rsidRDefault="005357C6" w:rsidP="00475564">
            <w:pPr>
              <w:spacing w:before="40" w:after="40" w:line="240" w:lineRule="auto"/>
              <w:rPr>
                <w:rFonts w:eastAsia="Times New Roman" w:cs="Arial"/>
                <w:b/>
                <w:bCs/>
                <w:spacing w:val="-2"/>
                <w:sz w:val="14"/>
                <w:szCs w:val="14"/>
                <w:lang w:eastAsia="pt-BR"/>
              </w:rPr>
            </w:pPr>
            <w:r w:rsidRPr="00D44604">
              <w:rPr>
                <w:rFonts w:eastAsia="Times New Roman" w:cs="Arial"/>
                <w:b/>
                <w:spacing w:val="-2"/>
                <w:sz w:val="14"/>
                <w:szCs w:val="18"/>
                <w:lang w:eastAsia="pt-BR"/>
              </w:rPr>
              <w:t>Current assets</w:t>
            </w:r>
          </w:p>
        </w:tc>
        <w:tc>
          <w:tcPr>
            <w:tcW w:w="1417" w:type="dxa"/>
            <w:tcBorders>
              <w:top w:val="single" w:sz="2" w:space="0" w:color="1F4E79" w:themeColor="accent1" w:themeShade="80"/>
            </w:tcBorders>
            <w:shd w:val="clear" w:color="auto" w:fill="auto"/>
            <w:vAlign w:val="center"/>
          </w:tcPr>
          <w:p w14:paraId="5CD8B020"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331</w:t>
            </w:r>
            <w:r>
              <w:rPr>
                <w:rFonts w:cs="Arial"/>
                <w:b/>
                <w:sz w:val="14"/>
                <w:szCs w:val="14"/>
              </w:rPr>
              <w:t>,</w:t>
            </w:r>
            <w:r w:rsidRPr="003E0F6E">
              <w:rPr>
                <w:rFonts w:cs="Arial"/>
                <w:b/>
                <w:sz w:val="14"/>
                <w:szCs w:val="14"/>
              </w:rPr>
              <w:t>930</w:t>
            </w:r>
            <w:r>
              <w:rPr>
                <w:rFonts w:cs="Arial"/>
                <w:b/>
                <w:sz w:val="14"/>
                <w:szCs w:val="14"/>
              </w:rPr>
              <w:t>,</w:t>
            </w:r>
            <w:r w:rsidRPr="003E0F6E">
              <w:rPr>
                <w:rFonts w:cs="Arial"/>
                <w:b/>
                <w:sz w:val="14"/>
                <w:szCs w:val="14"/>
              </w:rPr>
              <w:t xml:space="preserve">478 </w:t>
            </w:r>
          </w:p>
        </w:tc>
        <w:tc>
          <w:tcPr>
            <w:tcW w:w="1418" w:type="dxa"/>
            <w:tcBorders>
              <w:top w:val="single" w:sz="2" w:space="0" w:color="1F4E79" w:themeColor="accent1" w:themeShade="80"/>
            </w:tcBorders>
            <w:shd w:val="clear" w:color="auto" w:fill="auto"/>
            <w:vAlign w:val="center"/>
          </w:tcPr>
          <w:p w14:paraId="7FE990BD"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w:t>
            </w:r>
            <w:r>
              <w:rPr>
                <w:rFonts w:cs="Arial"/>
                <w:b/>
                <w:sz w:val="14"/>
                <w:szCs w:val="14"/>
              </w:rPr>
              <w:t>,</w:t>
            </w:r>
            <w:r w:rsidRPr="003E0F6E">
              <w:rPr>
                <w:rFonts w:cs="Arial"/>
                <w:b/>
                <w:sz w:val="14"/>
                <w:szCs w:val="14"/>
              </w:rPr>
              <w:t>412</w:t>
            </w:r>
            <w:r>
              <w:rPr>
                <w:rFonts w:cs="Arial"/>
                <w:b/>
                <w:sz w:val="14"/>
                <w:szCs w:val="14"/>
              </w:rPr>
              <w:t>,</w:t>
            </w:r>
            <w:r w:rsidRPr="003E0F6E">
              <w:rPr>
                <w:rFonts w:cs="Arial"/>
                <w:b/>
                <w:sz w:val="14"/>
                <w:szCs w:val="14"/>
              </w:rPr>
              <w:t>20</w:t>
            </w:r>
            <w:r>
              <w:rPr>
                <w:rFonts w:cs="Arial"/>
                <w:b/>
                <w:sz w:val="14"/>
                <w:szCs w:val="14"/>
              </w:rPr>
              <w:t>9</w:t>
            </w:r>
            <w:r w:rsidRPr="003E0F6E">
              <w:rPr>
                <w:rFonts w:cs="Arial"/>
                <w:b/>
                <w:sz w:val="14"/>
                <w:szCs w:val="14"/>
              </w:rPr>
              <w:t xml:space="preserve"> </w:t>
            </w:r>
          </w:p>
        </w:tc>
        <w:tc>
          <w:tcPr>
            <w:tcW w:w="1418" w:type="dxa"/>
            <w:tcBorders>
              <w:top w:val="single" w:sz="2" w:space="0" w:color="1F4E79" w:themeColor="accent1" w:themeShade="80"/>
            </w:tcBorders>
            <w:shd w:val="clear" w:color="auto" w:fill="auto"/>
            <w:vAlign w:val="center"/>
          </w:tcPr>
          <w:p w14:paraId="3E62B00D"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49</w:t>
            </w:r>
            <w:r>
              <w:rPr>
                <w:rFonts w:cs="Arial"/>
                <w:b/>
                <w:sz w:val="14"/>
                <w:szCs w:val="14"/>
              </w:rPr>
              <w:t>,</w:t>
            </w:r>
            <w:r w:rsidRPr="003E0F6E">
              <w:rPr>
                <w:rFonts w:cs="Arial"/>
                <w:b/>
                <w:sz w:val="14"/>
                <w:szCs w:val="14"/>
              </w:rPr>
              <w:t xml:space="preserve">709 </w:t>
            </w:r>
          </w:p>
        </w:tc>
        <w:tc>
          <w:tcPr>
            <w:tcW w:w="1418" w:type="dxa"/>
            <w:tcBorders>
              <w:top w:val="single" w:sz="2" w:space="0" w:color="1F4E79" w:themeColor="accent1" w:themeShade="80"/>
            </w:tcBorders>
            <w:shd w:val="clear" w:color="auto" w:fill="auto"/>
            <w:vAlign w:val="center"/>
          </w:tcPr>
          <w:p w14:paraId="6B08B345"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w:t>
            </w:r>
            <w:r>
              <w:rPr>
                <w:rFonts w:cs="Arial"/>
                <w:b/>
                <w:sz w:val="14"/>
                <w:szCs w:val="14"/>
              </w:rPr>
              <w:t>,</w:t>
            </w:r>
            <w:r w:rsidRPr="003E0F6E">
              <w:rPr>
                <w:rFonts w:cs="Arial"/>
                <w:b/>
                <w:sz w:val="14"/>
                <w:szCs w:val="14"/>
              </w:rPr>
              <w:t>764</w:t>
            </w:r>
            <w:r>
              <w:rPr>
                <w:rFonts w:cs="Arial"/>
                <w:b/>
                <w:sz w:val="14"/>
                <w:szCs w:val="14"/>
              </w:rPr>
              <w:t>,</w:t>
            </w:r>
            <w:r w:rsidRPr="003E0F6E">
              <w:rPr>
                <w:rFonts w:cs="Arial"/>
                <w:b/>
                <w:sz w:val="14"/>
                <w:szCs w:val="14"/>
              </w:rPr>
              <w:t xml:space="preserve">890 </w:t>
            </w:r>
          </w:p>
        </w:tc>
        <w:tc>
          <w:tcPr>
            <w:tcW w:w="1418" w:type="dxa"/>
            <w:tcBorders>
              <w:top w:val="single" w:sz="2" w:space="0" w:color="1F4E79" w:themeColor="accent1" w:themeShade="80"/>
            </w:tcBorders>
            <w:shd w:val="clear" w:color="auto" w:fill="auto"/>
            <w:vAlign w:val="center"/>
          </w:tcPr>
          <w:p w14:paraId="47D24205"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12</w:t>
            </w:r>
            <w:r>
              <w:rPr>
                <w:rFonts w:cs="Arial"/>
                <w:b/>
                <w:sz w:val="14"/>
                <w:szCs w:val="14"/>
              </w:rPr>
              <w:t>,</w:t>
            </w:r>
            <w:r w:rsidRPr="003E0F6E">
              <w:rPr>
                <w:rFonts w:cs="Arial"/>
                <w:b/>
                <w:sz w:val="14"/>
                <w:szCs w:val="14"/>
              </w:rPr>
              <w:t>89</w:t>
            </w:r>
            <w:r>
              <w:rPr>
                <w:rFonts w:cs="Arial"/>
                <w:b/>
                <w:sz w:val="14"/>
                <w:szCs w:val="14"/>
              </w:rPr>
              <w:t>9</w:t>
            </w:r>
            <w:r w:rsidRPr="003E0F6E">
              <w:rPr>
                <w:rFonts w:cs="Arial"/>
                <w:b/>
                <w:sz w:val="14"/>
                <w:szCs w:val="14"/>
              </w:rPr>
              <w:t xml:space="preserve"> </w:t>
            </w:r>
          </w:p>
        </w:tc>
      </w:tr>
      <w:tr w:rsidR="005357C6" w:rsidRPr="00D44604" w14:paraId="6F3035E2" w14:textId="77777777" w:rsidTr="00000E40">
        <w:trPr>
          <w:trHeight w:val="238"/>
          <w:jc w:val="center"/>
        </w:trPr>
        <w:tc>
          <w:tcPr>
            <w:tcW w:w="2551" w:type="dxa"/>
            <w:shd w:val="clear" w:color="auto" w:fill="auto"/>
          </w:tcPr>
          <w:p w14:paraId="52685103" w14:textId="77777777" w:rsidR="005357C6" w:rsidRPr="00D44604" w:rsidRDefault="005357C6" w:rsidP="00475564">
            <w:pPr>
              <w:spacing w:before="40" w:after="40" w:line="240" w:lineRule="auto"/>
              <w:ind w:left="113"/>
              <w:rPr>
                <w:rFonts w:eastAsia="Times New Roman" w:cs="Arial"/>
                <w:bCs/>
                <w:spacing w:val="-2"/>
                <w:sz w:val="14"/>
                <w:szCs w:val="14"/>
                <w:lang w:eastAsia="pt-BR"/>
              </w:rPr>
            </w:pPr>
            <w:r w:rsidRPr="00D44604">
              <w:rPr>
                <w:rFonts w:eastAsia="Times New Roman" w:cs="Arial"/>
                <w:spacing w:val="-2"/>
                <w:sz w:val="14"/>
                <w:szCs w:val="18"/>
                <w:lang w:eastAsia="pt-BR"/>
              </w:rPr>
              <w:t>Cash and cash equivalents</w:t>
            </w:r>
          </w:p>
        </w:tc>
        <w:tc>
          <w:tcPr>
            <w:tcW w:w="1417" w:type="dxa"/>
            <w:shd w:val="clear" w:color="auto" w:fill="auto"/>
            <w:vAlign w:val="center"/>
          </w:tcPr>
          <w:p w14:paraId="06F8B24A"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278</w:t>
            </w:r>
            <w:r>
              <w:rPr>
                <w:rFonts w:cs="Arial"/>
                <w:sz w:val="14"/>
                <w:szCs w:val="14"/>
              </w:rPr>
              <w:t>,</w:t>
            </w:r>
            <w:r w:rsidRPr="003E0F6E">
              <w:rPr>
                <w:rFonts w:cs="Arial"/>
                <w:sz w:val="14"/>
                <w:szCs w:val="14"/>
              </w:rPr>
              <w:t xml:space="preserve">271 </w:t>
            </w:r>
          </w:p>
        </w:tc>
        <w:tc>
          <w:tcPr>
            <w:tcW w:w="1418" w:type="dxa"/>
            <w:shd w:val="clear" w:color="auto" w:fill="auto"/>
            <w:vAlign w:val="center"/>
          </w:tcPr>
          <w:p w14:paraId="0DDC7E54"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12 </w:t>
            </w:r>
          </w:p>
        </w:tc>
        <w:tc>
          <w:tcPr>
            <w:tcW w:w="1418" w:type="dxa"/>
            <w:shd w:val="clear" w:color="auto" w:fill="auto"/>
            <w:vAlign w:val="center"/>
          </w:tcPr>
          <w:p w14:paraId="5EE70DE4"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2</w:t>
            </w:r>
            <w:r>
              <w:rPr>
                <w:rFonts w:cs="Arial"/>
                <w:sz w:val="14"/>
                <w:szCs w:val="14"/>
              </w:rPr>
              <w:t>,</w:t>
            </w:r>
            <w:r w:rsidRPr="003E0F6E">
              <w:rPr>
                <w:rFonts w:cs="Arial"/>
                <w:sz w:val="14"/>
                <w:szCs w:val="14"/>
              </w:rPr>
              <w:t xml:space="preserve">639 </w:t>
            </w:r>
          </w:p>
        </w:tc>
        <w:tc>
          <w:tcPr>
            <w:tcW w:w="1418" w:type="dxa"/>
            <w:shd w:val="clear" w:color="auto" w:fill="auto"/>
            <w:vAlign w:val="center"/>
          </w:tcPr>
          <w:p w14:paraId="610CD891"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3</w:t>
            </w:r>
            <w:r>
              <w:rPr>
                <w:rFonts w:cs="Arial"/>
                <w:sz w:val="14"/>
                <w:szCs w:val="14"/>
              </w:rPr>
              <w:t>,</w:t>
            </w:r>
            <w:r w:rsidRPr="003E0F6E">
              <w:rPr>
                <w:rFonts w:cs="Arial"/>
                <w:sz w:val="14"/>
                <w:szCs w:val="14"/>
              </w:rPr>
              <w:t>650</w:t>
            </w:r>
            <w:r>
              <w:rPr>
                <w:rFonts w:cs="Arial"/>
                <w:sz w:val="14"/>
                <w:szCs w:val="14"/>
              </w:rPr>
              <w:t>,</w:t>
            </w:r>
            <w:r w:rsidRPr="003E0F6E">
              <w:rPr>
                <w:rFonts w:cs="Arial"/>
                <w:sz w:val="14"/>
                <w:szCs w:val="14"/>
              </w:rPr>
              <w:t xml:space="preserve">518 </w:t>
            </w:r>
          </w:p>
        </w:tc>
        <w:tc>
          <w:tcPr>
            <w:tcW w:w="1418" w:type="dxa"/>
            <w:shd w:val="clear" w:color="auto" w:fill="auto"/>
            <w:vAlign w:val="center"/>
          </w:tcPr>
          <w:p w14:paraId="44DD0C5D"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1</w:t>
            </w:r>
            <w:r>
              <w:rPr>
                <w:rFonts w:cs="Arial"/>
                <w:sz w:val="14"/>
                <w:szCs w:val="14"/>
              </w:rPr>
              <w:t>,</w:t>
            </w:r>
            <w:r w:rsidRPr="003E0F6E">
              <w:rPr>
                <w:rFonts w:cs="Arial"/>
                <w:sz w:val="14"/>
                <w:szCs w:val="14"/>
              </w:rPr>
              <w:t xml:space="preserve">487 </w:t>
            </w:r>
          </w:p>
        </w:tc>
      </w:tr>
      <w:tr w:rsidR="005357C6" w:rsidRPr="00D44604" w14:paraId="1B75E4A5" w14:textId="77777777" w:rsidTr="00000E40">
        <w:trPr>
          <w:trHeight w:val="238"/>
          <w:jc w:val="center"/>
        </w:trPr>
        <w:tc>
          <w:tcPr>
            <w:tcW w:w="2551" w:type="dxa"/>
            <w:shd w:val="clear" w:color="auto" w:fill="auto"/>
          </w:tcPr>
          <w:p w14:paraId="279000BC" w14:textId="77777777" w:rsidR="005357C6" w:rsidRPr="00D44604" w:rsidRDefault="005357C6" w:rsidP="00475564">
            <w:pPr>
              <w:spacing w:before="40" w:after="40" w:line="240" w:lineRule="auto"/>
              <w:ind w:left="113"/>
              <w:rPr>
                <w:rFonts w:eastAsia="Times New Roman" w:cs="Arial"/>
                <w:bCs/>
                <w:color w:val="000000"/>
                <w:spacing w:val="-2"/>
                <w:sz w:val="14"/>
                <w:szCs w:val="14"/>
                <w:lang w:eastAsia="pt-BR"/>
              </w:rPr>
            </w:pPr>
            <w:r w:rsidRPr="00D44604">
              <w:rPr>
                <w:rFonts w:eastAsia="Times New Roman" w:cs="Arial"/>
                <w:spacing w:val="-2"/>
                <w:sz w:val="14"/>
                <w:szCs w:val="18"/>
                <w:lang w:eastAsia="pt-BR"/>
              </w:rPr>
              <w:t>Financial investments</w:t>
            </w:r>
          </w:p>
        </w:tc>
        <w:tc>
          <w:tcPr>
            <w:tcW w:w="1417" w:type="dxa"/>
            <w:shd w:val="clear" w:color="auto" w:fill="auto"/>
            <w:vAlign w:val="center"/>
          </w:tcPr>
          <w:p w14:paraId="5A78F9D9"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330</w:t>
            </w:r>
            <w:r>
              <w:rPr>
                <w:rFonts w:cs="Arial"/>
                <w:sz w:val="14"/>
                <w:szCs w:val="14"/>
              </w:rPr>
              <w:t>,</w:t>
            </w:r>
            <w:r w:rsidRPr="003E0F6E">
              <w:rPr>
                <w:rFonts w:cs="Arial"/>
                <w:sz w:val="14"/>
                <w:szCs w:val="14"/>
              </w:rPr>
              <w:t>563</w:t>
            </w:r>
            <w:r>
              <w:rPr>
                <w:rFonts w:cs="Arial"/>
                <w:sz w:val="14"/>
                <w:szCs w:val="14"/>
              </w:rPr>
              <w:t>,</w:t>
            </w:r>
            <w:r w:rsidRPr="003E0F6E">
              <w:rPr>
                <w:rFonts w:cs="Arial"/>
                <w:sz w:val="14"/>
                <w:szCs w:val="14"/>
              </w:rPr>
              <w:t xml:space="preserve">308 </w:t>
            </w:r>
          </w:p>
        </w:tc>
        <w:tc>
          <w:tcPr>
            <w:tcW w:w="1418" w:type="dxa"/>
            <w:shd w:val="clear" w:color="auto" w:fill="auto"/>
            <w:vAlign w:val="center"/>
          </w:tcPr>
          <w:p w14:paraId="6E15D398"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7</w:t>
            </w:r>
            <w:r>
              <w:rPr>
                <w:rFonts w:cs="Arial"/>
                <w:sz w:val="14"/>
                <w:szCs w:val="14"/>
              </w:rPr>
              <w:t>,</w:t>
            </w:r>
            <w:r w:rsidRPr="003E0F6E">
              <w:rPr>
                <w:rFonts w:cs="Arial"/>
                <w:sz w:val="14"/>
                <w:szCs w:val="14"/>
              </w:rPr>
              <w:t>371</w:t>
            </w:r>
            <w:r>
              <w:rPr>
                <w:rFonts w:cs="Arial"/>
                <w:sz w:val="14"/>
                <w:szCs w:val="14"/>
              </w:rPr>
              <w:t>,</w:t>
            </w:r>
            <w:r w:rsidRPr="003E0F6E">
              <w:rPr>
                <w:rFonts w:cs="Arial"/>
                <w:sz w:val="14"/>
                <w:szCs w:val="14"/>
              </w:rPr>
              <w:t xml:space="preserve">354 </w:t>
            </w:r>
          </w:p>
        </w:tc>
        <w:tc>
          <w:tcPr>
            <w:tcW w:w="1418" w:type="dxa"/>
            <w:shd w:val="clear" w:color="auto" w:fill="auto"/>
            <w:vAlign w:val="center"/>
          </w:tcPr>
          <w:p w14:paraId="56635F49"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41</w:t>
            </w:r>
            <w:r>
              <w:rPr>
                <w:rFonts w:cs="Arial"/>
                <w:sz w:val="14"/>
                <w:szCs w:val="14"/>
              </w:rPr>
              <w:t>,</w:t>
            </w:r>
            <w:r w:rsidRPr="003E0F6E">
              <w:rPr>
                <w:rFonts w:cs="Arial"/>
                <w:sz w:val="14"/>
                <w:szCs w:val="14"/>
              </w:rPr>
              <w:t xml:space="preserve">112 </w:t>
            </w:r>
          </w:p>
        </w:tc>
        <w:tc>
          <w:tcPr>
            <w:tcW w:w="1418" w:type="dxa"/>
            <w:shd w:val="clear" w:color="auto" w:fill="auto"/>
            <w:vAlign w:val="center"/>
          </w:tcPr>
          <w:p w14:paraId="3D4B511B" w14:textId="77777777" w:rsidR="005357C6" w:rsidRPr="00D44604" w:rsidRDefault="005357C6" w:rsidP="00475564">
            <w:pPr>
              <w:spacing w:before="40" w:after="40" w:line="240" w:lineRule="auto"/>
              <w:jc w:val="right"/>
              <w:rPr>
                <w:rFonts w:eastAsia="Times New Roman" w:cs="Arial"/>
                <w:spacing w:val="-2"/>
                <w:sz w:val="14"/>
                <w:szCs w:val="14"/>
                <w:lang w:eastAsia="pt-BR"/>
              </w:rPr>
            </w:pPr>
          </w:p>
        </w:tc>
        <w:tc>
          <w:tcPr>
            <w:tcW w:w="1418" w:type="dxa"/>
            <w:shd w:val="clear" w:color="auto" w:fill="auto"/>
            <w:vAlign w:val="center"/>
          </w:tcPr>
          <w:p w14:paraId="0D734DA1"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1 </w:t>
            </w:r>
          </w:p>
        </w:tc>
      </w:tr>
      <w:tr w:rsidR="005357C6" w:rsidRPr="00D44604" w14:paraId="14FA1443" w14:textId="77777777" w:rsidTr="00222492">
        <w:trPr>
          <w:trHeight w:val="238"/>
          <w:jc w:val="center"/>
        </w:trPr>
        <w:tc>
          <w:tcPr>
            <w:tcW w:w="2551" w:type="dxa"/>
            <w:shd w:val="clear" w:color="auto" w:fill="auto"/>
          </w:tcPr>
          <w:p w14:paraId="14D1488A" w14:textId="77777777" w:rsidR="005357C6" w:rsidRPr="00D44604" w:rsidRDefault="005357C6" w:rsidP="00475564">
            <w:pPr>
              <w:spacing w:before="40" w:after="40" w:line="240" w:lineRule="auto"/>
              <w:ind w:left="113"/>
              <w:rPr>
                <w:rFonts w:eastAsia="Times New Roman" w:cs="Arial"/>
                <w:bCs/>
                <w:spacing w:val="-2"/>
                <w:sz w:val="14"/>
                <w:szCs w:val="14"/>
                <w:lang w:eastAsia="pt-BR"/>
              </w:rPr>
            </w:pPr>
            <w:r w:rsidRPr="00D44604">
              <w:rPr>
                <w:rFonts w:eastAsia="Times New Roman" w:cs="Arial"/>
                <w:spacing w:val="-2"/>
                <w:sz w:val="14"/>
                <w:szCs w:val="14"/>
                <w:lang w:eastAsia="pt-BR"/>
              </w:rPr>
              <w:t>Commissions receivable</w:t>
            </w:r>
          </w:p>
        </w:tc>
        <w:tc>
          <w:tcPr>
            <w:tcW w:w="1417" w:type="dxa"/>
            <w:shd w:val="clear" w:color="auto" w:fill="auto"/>
            <w:vAlign w:val="center"/>
          </w:tcPr>
          <w:p w14:paraId="3BD88B42"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7D63347F"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61E1DDF3"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310CB02F"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1</w:t>
            </w:r>
            <w:r>
              <w:rPr>
                <w:rFonts w:cs="Arial"/>
                <w:sz w:val="14"/>
                <w:szCs w:val="14"/>
              </w:rPr>
              <w:t>,</w:t>
            </w:r>
            <w:r w:rsidRPr="003E0F6E">
              <w:rPr>
                <w:rFonts w:cs="Arial"/>
                <w:sz w:val="14"/>
                <w:szCs w:val="14"/>
              </w:rPr>
              <w:t>114</w:t>
            </w:r>
            <w:r>
              <w:rPr>
                <w:rFonts w:cs="Arial"/>
                <w:sz w:val="14"/>
                <w:szCs w:val="14"/>
              </w:rPr>
              <w:t>,</w:t>
            </w:r>
            <w:r w:rsidRPr="003E0F6E">
              <w:rPr>
                <w:rFonts w:cs="Arial"/>
                <w:sz w:val="14"/>
                <w:szCs w:val="14"/>
              </w:rPr>
              <w:t xml:space="preserve">256 </w:t>
            </w:r>
          </w:p>
        </w:tc>
        <w:tc>
          <w:tcPr>
            <w:tcW w:w="1418" w:type="dxa"/>
            <w:shd w:val="clear" w:color="auto" w:fill="auto"/>
            <w:vAlign w:val="center"/>
          </w:tcPr>
          <w:p w14:paraId="4ECFCD0C"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7</w:t>
            </w:r>
            <w:r>
              <w:rPr>
                <w:rFonts w:cs="Arial"/>
                <w:sz w:val="14"/>
                <w:szCs w:val="14"/>
              </w:rPr>
              <w:t>,</w:t>
            </w:r>
            <w:r w:rsidRPr="003E0F6E">
              <w:rPr>
                <w:rFonts w:cs="Arial"/>
                <w:sz w:val="14"/>
                <w:szCs w:val="14"/>
              </w:rPr>
              <w:t xml:space="preserve">960 </w:t>
            </w:r>
          </w:p>
        </w:tc>
      </w:tr>
      <w:tr w:rsidR="005357C6" w:rsidRPr="00D44604" w14:paraId="37A4DAD1" w14:textId="77777777" w:rsidTr="00222492">
        <w:trPr>
          <w:trHeight w:val="238"/>
          <w:jc w:val="center"/>
        </w:trPr>
        <w:tc>
          <w:tcPr>
            <w:tcW w:w="2551" w:type="dxa"/>
            <w:shd w:val="clear" w:color="auto" w:fill="auto"/>
          </w:tcPr>
          <w:p w14:paraId="58E80C14" w14:textId="77777777" w:rsidR="005357C6" w:rsidRPr="00D44604" w:rsidRDefault="005357C6" w:rsidP="00475564">
            <w:pPr>
              <w:spacing w:before="40" w:after="40" w:line="240" w:lineRule="auto"/>
              <w:ind w:left="113"/>
              <w:rPr>
                <w:rFonts w:eastAsia="Times New Roman" w:cs="Arial"/>
                <w:bCs/>
                <w:spacing w:val="-2"/>
                <w:sz w:val="14"/>
                <w:szCs w:val="14"/>
                <w:lang w:eastAsia="pt-BR"/>
              </w:rPr>
            </w:pPr>
            <w:r w:rsidRPr="00D44604">
              <w:rPr>
                <w:rFonts w:eastAsia="Times New Roman" w:cs="Arial"/>
                <w:spacing w:val="-2"/>
                <w:sz w:val="14"/>
                <w:szCs w:val="18"/>
                <w:lang w:eastAsia="pt-BR"/>
              </w:rPr>
              <w:t>Other current assets</w:t>
            </w:r>
          </w:p>
        </w:tc>
        <w:tc>
          <w:tcPr>
            <w:tcW w:w="1417" w:type="dxa"/>
            <w:shd w:val="clear" w:color="auto" w:fill="auto"/>
            <w:vAlign w:val="center"/>
          </w:tcPr>
          <w:p w14:paraId="59244EE1"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1</w:t>
            </w:r>
            <w:r>
              <w:rPr>
                <w:rFonts w:cs="Arial"/>
                <w:sz w:val="14"/>
                <w:szCs w:val="14"/>
              </w:rPr>
              <w:t>,</w:t>
            </w:r>
            <w:r w:rsidRPr="003E0F6E">
              <w:rPr>
                <w:rFonts w:cs="Arial"/>
                <w:sz w:val="14"/>
                <w:szCs w:val="14"/>
              </w:rPr>
              <w:t>088</w:t>
            </w:r>
            <w:r>
              <w:rPr>
                <w:rFonts w:cs="Arial"/>
                <w:sz w:val="14"/>
                <w:szCs w:val="14"/>
              </w:rPr>
              <w:t>,</w:t>
            </w:r>
            <w:r w:rsidRPr="003E0F6E">
              <w:rPr>
                <w:rFonts w:cs="Arial"/>
                <w:sz w:val="14"/>
                <w:szCs w:val="14"/>
              </w:rPr>
              <w:t xml:space="preserve">899 </w:t>
            </w:r>
          </w:p>
        </w:tc>
        <w:tc>
          <w:tcPr>
            <w:tcW w:w="1418" w:type="dxa"/>
            <w:shd w:val="clear" w:color="auto" w:fill="auto"/>
            <w:vAlign w:val="center"/>
          </w:tcPr>
          <w:p w14:paraId="60F2F1FE"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40</w:t>
            </w:r>
            <w:r>
              <w:rPr>
                <w:rFonts w:cs="Arial"/>
                <w:sz w:val="14"/>
                <w:szCs w:val="14"/>
              </w:rPr>
              <w:t>,</w:t>
            </w:r>
            <w:r w:rsidRPr="003E0F6E">
              <w:rPr>
                <w:rFonts w:cs="Arial"/>
                <w:sz w:val="14"/>
                <w:szCs w:val="14"/>
              </w:rPr>
              <w:t xml:space="preserve">843 </w:t>
            </w:r>
          </w:p>
        </w:tc>
        <w:tc>
          <w:tcPr>
            <w:tcW w:w="1418" w:type="dxa"/>
            <w:shd w:val="clear" w:color="auto" w:fill="auto"/>
            <w:vAlign w:val="center"/>
          </w:tcPr>
          <w:p w14:paraId="633A7876"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5</w:t>
            </w:r>
            <w:r>
              <w:rPr>
                <w:rFonts w:cs="Arial"/>
                <w:sz w:val="14"/>
                <w:szCs w:val="14"/>
              </w:rPr>
              <w:t>,</w:t>
            </w:r>
            <w:r w:rsidRPr="003E0F6E">
              <w:rPr>
                <w:rFonts w:cs="Arial"/>
                <w:sz w:val="14"/>
                <w:szCs w:val="14"/>
              </w:rPr>
              <w:t xml:space="preserve">958 </w:t>
            </w:r>
          </w:p>
        </w:tc>
        <w:tc>
          <w:tcPr>
            <w:tcW w:w="1418" w:type="dxa"/>
            <w:shd w:val="clear" w:color="auto" w:fill="auto"/>
            <w:vAlign w:val="center"/>
          </w:tcPr>
          <w:p w14:paraId="552C22E1"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116 </w:t>
            </w:r>
          </w:p>
        </w:tc>
        <w:tc>
          <w:tcPr>
            <w:tcW w:w="1418" w:type="dxa"/>
            <w:shd w:val="clear" w:color="auto" w:fill="auto"/>
            <w:vAlign w:val="center"/>
          </w:tcPr>
          <w:p w14:paraId="1942EDAE"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3</w:t>
            </w:r>
            <w:r>
              <w:rPr>
                <w:rFonts w:cs="Arial"/>
                <w:sz w:val="14"/>
                <w:szCs w:val="14"/>
              </w:rPr>
              <w:t>,</w:t>
            </w:r>
            <w:r w:rsidRPr="003E0F6E">
              <w:rPr>
                <w:rFonts w:cs="Arial"/>
                <w:sz w:val="14"/>
                <w:szCs w:val="14"/>
              </w:rPr>
              <w:t xml:space="preserve">451 </w:t>
            </w:r>
          </w:p>
        </w:tc>
      </w:tr>
      <w:tr w:rsidR="005357C6" w:rsidRPr="00D44604" w14:paraId="47F53922" w14:textId="77777777" w:rsidTr="00000E40">
        <w:trPr>
          <w:trHeight w:val="238"/>
          <w:jc w:val="center"/>
        </w:trPr>
        <w:tc>
          <w:tcPr>
            <w:tcW w:w="2551" w:type="dxa"/>
            <w:shd w:val="clear" w:color="auto" w:fill="auto"/>
          </w:tcPr>
          <w:p w14:paraId="4A6B5D04" w14:textId="77777777" w:rsidR="005357C6" w:rsidRPr="00D44604" w:rsidRDefault="005357C6" w:rsidP="00475564">
            <w:pPr>
              <w:spacing w:before="40" w:after="40" w:line="240" w:lineRule="auto"/>
              <w:rPr>
                <w:rFonts w:eastAsia="Times New Roman" w:cs="Arial"/>
                <w:b/>
                <w:bCs/>
                <w:spacing w:val="-2"/>
                <w:sz w:val="14"/>
                <w:szCs w:val="14"/>
                <w:lang w:eastAsia="pt-BR"/>
              </w:rPr>
            </w:pPr>
            <w:r w:rsidRPr="00D44604">
              <w:rPr>
                <w:rFonts w:eastAsia="Times New Roman" w:cs="Arial"/>
                <w:b/>
                <w:spacing w:val="-2"/>
                <w:sz w:val="14"/>
                <w:szCs w:val="18"/>
                <w:lang w:eastAsia="pt-BR"/>
              </w:rPr>
              <w:t>Non-current assets</w:t>
            </w:r>
          </w:p>
        </w:tc>
        <w:tc>
          <w:tcPr>
            <w:tcW w:w="1417" w:type="dxa"/>
            <w:shd w:val="clear" w:color="auto" w:fill="auto"/>
            <w:vAlign w:val="center"/>
          </w:tcPr>
          <w:p w14:paraId="13DC3B2C"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19</w:t>
            </w:r>
            <w:r>
              <w:rPr>
                <w:rFonts w:cs="Arial"/>
                <w:b/>
                <w:sz w:val="14"/>
                <w:szCs w:val="14"/>
              </w:rPr>
              <w:t>,</w:t>
            </w:r>
            <w:r w:rsidRPr="003E0F6E">
              <w:rPr>
                <w:rFonts w:cs="Arial"/>
                <w:b/>
                <w:sz w:val="14"/>
                <w:szCs w:val="14"/>
              </w:rPr>
              <w:t>536</w:t>
            </w:r>
            <w:r>
              <w:rPr>
                <w:rFonts w:cs="Arial"/>
                <w:b/>
                <w:sz w:val="14"/>
                <w:szCs w:val="14"/>
              </w:rPr>
              <w:t>,</w:t>
            </w:r>
            <w:r w:rsidRPr="003E0F6E">
              <w:rPr>
                <w:rFonts w:cs="Arial"/>
                <w:b/>
                <w:sz w:val="14"/>
                <w:szCs w:val="14"/>
              </w:rPr>
              <w:t xml:space="preserve">888 </w:t>
            </w:r>
          </w:p>
        </w:tc>
        <w:tc>
          <w:tcPr>
            <w:tcW w:w="1418" w:type="dxa"/>
            <w:shd w:val="clear" w:color="auto" w:fill="auto"/>
            <w:vAlign w:val="center"/>
          </w:tcPr>
          <w:p w14:paraId="02D6BCDD"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w:t>
            </w:r>
            <w:r>
              <w:rPr>
                <w:rFonts w:cs="Arial"/>
                <w:b/>
                <w:sz w:val="14"/>
                <w:szCs w:val="14"/>
              </w:rPr>
              <w:t>,</w:t>
            </w:r>
            <w:r w:rsidRPr="003E0F6E">
              <w:rPr>
                <w:rFonts w:cs="Arial"/>
                <w:b/>
                <w:sz w:val="14"/>
                <w:szCs w:val="14"/>
              </w:rPr>
              <w:t>079</w:t>
            </w:r>
            <w:r>
              <w:rPr>
                <w:rFonts w:cs="Arial"/>
                <w:b/>
                <w:sz w:val="14"/>
                <w:szCs w:val="14"/>
              </w:rPr>
              <w:t>,</w:t>
            </w:r>
            <w:r w:rsidRPr="003E0F6E">
              <w:rPr>
                <w:rFonts w:cs="Arial"/>
                <w:b/>
                <w:sz w:val="14"/>
                <w:szCs w:val="14"/>
              </w:rPr>
              <w:t xml:space="preserve">098 </w:t>
            </w:r>
          </w:p>
        </w:tc>
        <w:tc>
          <w:tcPr>
            <w:tcW w:w="1418" w:type="dxa"/>
            <w:shd w:val="clear" w:color="auto" w:fill="auto"/>
            <w:vAlign w:val="center"/>
          </w:tcPr>
          <w:p w14:paraId="03180E68"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w:t>
            </w:r>
            <w:r>
              <w:rPr>
                <w:rFonts w:cs="Arial"/>
                <w:b/>
                <w:sz w:val="14"/>
                <w:szCs w:val="14"/>
              </w:rPr>
              <w:t>,</w:t>
            </w:r>
            <w:r w:rsidRPr="003E0F6E">
              <w:rPr>
                <w:rFonts w:cs="Arial"/>
                <w:b/>
                <w:sz w:val="14"/>
                <w:szCs w:val="14"/>
              </w:rPr>
              <w:t xml:space="preserve">270 </w:t>
            </w:r>
          </w:p>
        </w:tc>
        <w:tc>
          <w:tcPr>
            <w:tcW w:w="1418" w:type="dxa"/>
            <w:shd w:val="clear" w:color="auto" w:fill="auto"/>
            <w:vAlign w:val="center"/>
          </w:tcPr>
          <w:p w14:paraId="4CED4E06"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w:t>
            </w:r>
            <w:r>
              <w:rPr>
                <w:rFonts w:cs="Arial"/>
                <w:b/>
                <w:sz w:val="14"/>
                <w:szCs w:val="14"/>
              </w:rPr>
              <w:t>,</w:t>
            </w:r>
            <w:r w:rsidRPr="003E0F6E">
              <w:rPr>
                <w:rFonts w:cs="Arial"/>
                <w:b/>
                <w:sz w:val="14"/>
                <w:szCs w:val="14"/>
              </w:rPr>
              <w:t>292</w:t>
            </w:r>
            <w:r>
              <w:rPr>
                <w:rFonts w:cs="Arial"/>
                <w:b/>
                <w:sz w:val="14"/>
                <w:szCs w:val="14"/>
              </w:rPr>
              <w:t>,</w:t>
            </w:r>
            <w:r w:rsidRPr="003E0F6E">
              <w:rPr>
                <w:rFonts w:cs="Arial"/>
                <w:b/>
                <w:sz w:val="14"/>
                <w:szCs w:val="14"/>
              </w:rPr>
              <w:t xml:space="preserve">715 </w:t>
            </w:r>
          </w:p>
        </w:tc>
        <w:tc>
          <w:tcPr>
            <w:tcW w:w="1418" w:type="dxa"/>
            <w:shd w:val="clear" w:color="auto" w:fill="auto"/>
            <w:vAlign w:val="center"/>
          </w:tcPr>
          <w:p w14:paraId="46D72D64"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w:t>
            </w:r>
            <w:r>
              <w:rPr>
                <w:rFonts w:cs="Arial"/>
                <w:b/>
                <w:sz w:val="14"/>
                <w:szCs w:val="14"/>
              </w:rPr>
              <w:t>,</w:t>
            </w:r>
            <w:r w:rsidRPr="003E0F6E">
              <w:rPr>
                <w:rFonts w:cs="Arial"/>
                <w:b/>
                <w:sz w:val="14"/>
                <w:szCs w:val="14"/>
              </w:rPr>
              <w:t xml:space="preserve">677 </w:t>
            </w:r>
          </w:p>
        </w:tc>
      </w:tr>
      <w:tr w:rsidR="005357C6" w:rsidRPr="00D44604" w14:paraId="62430793" w14:textId="77777777" w:rsidTr="00000E40">
        <w:trPr>
          <w:trHeight w:val="238"/>
          <w:jc w:val="center"/>
        </w:trPr>
        <w:tc>
          <w:tcPr>
            <w:tcW w:w="2551" w:type="dxa"/>
            <w:shd w:val="clear" w:color="auto" w:fill="auto"/>
          </w:tcPr>
          <w:p w14:paraId="259DA518" w14:textId="77777777" w:rsidR="005357C6" w:rsidRPr="00D44604" w:rsidRDefault="005357C6" w:rsidP="00475564">
            <w:pPr>
              <w:spacing w:before="40" w:after="40" w:line="240" w:lineRule="auto"/>
              <w:ind w:left="113"/>
              <w:rPr>
                <w:rFonts w:eastAsia="Times New Roman" w:cs="Arial"/>
                <w:bCs/>
                <w:spacing w:val="-2"/>
                <w:sz w:val="14"/>
                <w:szCs w:val="14"/>
                <w:lang w:eastAsia="pt-BR"/>
              </w:rPr>
            </w:pPr>
            <w:r w:rsidRPr="00D44604">
              <w:rPr>
                <w:rFonts w:eastAsia="Times New Roman" w:cs="Arial"/>
                <w:spacing w:val="-2"/>
                <w:sz w:val="14"/>
                <w:szCs w:val="18"/>
                <w:lang w:eastAsia="pt-BR"/>
              </w:rPr>
              <w:t>Financial investments</w:t>
            </w:r>
          </w:p>
        </w:tc>
        <w:tc>
          <w:tcPr>
            <w:tcW w:w="1417" w:type="dxa"/>
            <w:shd w:val="clear" w:color="auto" w:fill="auto"/>
            <w:vAlign w:val="center"/>
          </w:tcPr>
          <w:p w14:paraId="2BD35818"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18</w:t>
            </w:r>
            <w:r>
              <w:rPr>
                <w:rFonts w:cs="Arial"/>
                <w:sz w:val="14"/>
                <w:szCs w:val="14"/>
              </w:rPr>
              <w:t>,</w:t>
            </w:r>
            <w:r w:rsidRPr="003E0F6E">
              <w:rPr>
                <w:rFonts w:cs="Arial"/>
                <w:sz w:val="14"/>
                <w:szCs w:val="14"/>
              </w:rPr>
              <w:t>404</w:t>
            </w:r>
            <w:r>
              <w:rPr>
                <w:rFonts w:cs="Arial"/>
                <w:sz w:val="14"/>
                <w:szCs w:val="14"/>
              </w:rPr>
              <w:t>,</w:t>
            </w:r>
            <w:r w:rsidRPr="003E0F6E">
              <w:rPr>
                <w:rFonts w:cs="Arial"/>
                <w:sz w:val="14"/>
                <w:szCs w:val="14"/>
              </w:rPr>
              <w:t xml:space="preserve">469 </w:t>
            </w:r>
          </w:p>
        </w:tc>
        <w:tc>
          <w:tcPr>
            <w:tcW w:w="1418" w:type="dxa"/>
            <w:shd w:val="clear" w:color="auto" w:fill="auto"/>
            <w:vAlign w:val="center"/>
          </w:tcPr>
          <w:p w14:paraId="65E76A68"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2</w:t>
            </w:r>
            <w:r>
              <w:rPr>
                <w:rFonts w:cs="Arial"/>
                <w:sz w:val="14"/>
                <w:szCs w:val="14"/>
              </w:rPr>
              <w:t>,</w:t>
            </w:r>
            <w:r w:rsidRPr="003E0F6E">
              <w:rPr>
                <w:rFonts w:cs="Arial"/>
                <w:sz w:val="14"/>
                <w:szCs w:val="14"/>
              </w:rPr>
              <w:t>694</w:t>
            </w:r>
            <w:r>
              <w:rPr>
                <w:rFonts w:cs="Arial"/>
                <w:sz w:val="14"/>
                <w:szCs w:val="14"/>
              </w:rPr>
              <w:t>,</w:t>
            </w:r>
            <w:r w:rsidRPr="003E0F6E">
              <w:rPr>
                <w:rFonts w:cs="Arial"/>
                <w:sz w:val="14"/>
                <w:szCs w:val="14"/>
              </w:rPr>
              <w:t xml:space="preserve">594 </w:t>
            </w:r>
          </w:p>
        </w:tc>
        <w:tc>
          <w:tcPr>
            <w:tcW w:w="1418" w:type="dxa"/>
            <w:shd w:val="clear" w:color="auto" w:fill="auto"/>
            <w:vAlign w:val="center"/>
          </w:tcPr>
          <w:p w14:paraId="79EA01E0"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2156F65F"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350</w:t>
            </w:r>
            <w:r>
              <w:rPr>
                <w:rFonts w:cs="Arial"/>
                <w:sz w:val="14"/>
                <w:szCs w:val="14"/>
              </w:rPr>
              <w:t>,</w:t>
            </w:r>
            <w:r w:rsidRPr="003E0F6E">
              <w:rPr>
                <w:rFonts w:cs="Arial"/>
                <w:sz w:val="14"/>
                <w:szCs w:val="14"/>
              </w:rPr>
              <w:t xml:space="preserve">217 </w:t>
            </w:r>
          </w:p>
        </w:tc>
        <w:tc>
          <w:tcPr>
            <w:tcW w:w="1418" w:type="dxa"/>
            <w:shd w:val="clear" w:color="auto" w:fill="auto"/>
            <w:vAlign w:val="center"/>
          </w:tcPr>
          <w:p w14:paraId="20366811"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r>
      <w:tr w:rsidR="005357C6" w:rsidRPr="00D44604" w14:paraId="603CAA2E" w14:textId="77777777" w:rsidTr="00000E40">
        <w:trPr>
          <w:trHeight w:val="238"/>
          <w:jc w:val="center"/>
        </w:trPr>
        <w:tc>
          <w:tcPr>
            <w:tcW w:w="2551" w:type="dxa"/>
            <w:shd w:val="clear" w:color="auto" w:fill="auto"/>
          </w:tcPr>
          <w:p w14:paraId="40868378" w14:textId="77777777" w:rsidR="005357C6" w:rsidRPr="00D44604" w:rsidRDefault="005357C6" w:rsidP="00475564">
            <w:pPr>
              <w:spacing w:before="40" w:after="40" w:line="240" w:lineRule="auto"/>
              <w:ind w:left="113"/>
              <w:rPr>
                <w:rFonts w:eastAsia="Times New Roman" w:cs="Arial"/>
                <w:b/>
                <w:bCs/>
                <w:color w:val="000000"/>
                <w:spacing w:val="-2"/>
                <w:sz w:val="14"/>
                <w:szCs w:val="14"/>
                <w:lang w:eastAsia="pt-BR"/>
              </w:rPr>
            </w:pPr>
            <w:r w:rsidRPr="00D44604">
              <w:rPr>
                <w:rFonts w:eastAsia="Times New Roman" w:cs="Arial"/>
                <w:spacing w:val="-2"/>
                <w:sz w:val="14"/>
                <w:szCs w:val="14"/>
                <w:lang w:eastAsia="pt-BR"/>
              </w:rPr>
              <w:t>Commissions receivable</w:t>
            </w:r>
          </w:p>
        </w:tc>
        <w:tc>
          <w:tcPr>
            <w:tcW w:w="1417" w:type="dxa"/>
            <w:shd w:val="clear" w:color="auto" w:fill="auto"/>
            <w:vAlign w:val="center"/>
          </w:tcPr>
          <w:p w14:paraId="036E701C"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Pr>
                <w:rFonts w:eastAsia="Times New Roman" w:cs="Arial"/>
                <w:spacing w:val="-2"/>
                <w:sz w:val="14"/>
                <w:szCs w:val="14"/>
                <w:lang w:eastAsia="pt-BR"/>
              </w:rPr>
              <w:t>--</w:t>
            </w:r>
          </w:p>
        </w:tc>
        <w:tc>
          <w:tcPr>
            <w:tcW w:w="1418" w:type="dxa"/>
            <w:shd w:val="clear" w:color="auto" w:fill="auto"/>
            <w:vAlign w:val="center"/>
          </w:tcPr>
          <w:p w14:paraId="3ECF89A9"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c>
          <w:tcPr>
            <w:tcW w:w="1418" w:type="dxa"/>
            <w:shd w:val="clear" w:color="auto" w:fill="auto"/>
            <w:vAlign w:val="center"/>
          </w:tcPr>
          <w:p w14:paraId="3AE0E7AB"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Pr>
                <w:rFonts w:eastAsia="Times New Roman" w:cs="Arial"/>
                <w:spacing w:val="-2"/>
                <w:sz w:val="14"/>
                <w:szCs w:val="14"/>
                <w:lang w:eastAsia="pt-BR"/>
              </w:rPr>
              <w:t>--</w:t>
            </w:r>
          </w:p>
        </w:tc>
        <w:tc>
          <w:tcPr>
            <w:tcW w:w="1418" w:type="dxa"/>
            <w:shd w:val="clear" w:color="auto" w:fill="auto"/>
            <w:vAlign w:val="center"/>
          </w:tcPr>
          <w:p w14:paraId="61246BB4"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708</w:t>
            </w:r>
            <w:r>
              <w:rPr>
                <w:rFonts w:cs="Arial"/>
                <w:sz w:val="14"/>
                <w:szCs w:val="14"/>
              </w:rPr>
              <w:t>,</w:t>
            </w:r>
            <w:r w:rsidRPr="003E0F6E">
              <w:rPr>
                <w:rFonts w:cs="Arial"/>
                <w:sz w:val="14"/>
                <w:szCs w:val="14"/>
              </w:rPr>
              <w:t xml:space="preserve">990 </w:t>
            </w:r>
          </w:p>
        </w:tc>
        <w:tc>
          <w:tcPr>
            <w:tcW w:w="1418" w:type="dxa"/>
            <w:shd w:val="clear" w:color="auto" w:fill="auto"/>
            <w:vAlign w:val="center"/>
          </w:tcPr>
          <w:p w14:paraId="4D44B766"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Pr>
                <w:rFonts w:eastAsia="Times New Roman" w:cs="Arial"/>
                <w:spacing w:val="-2"/>
                <w:sz w:val="14"/>
                <w:szCs w:val="14"/>
                <w:lang w:eastAsia="pt-BR"/>
              </w:rPr>
              <w:t>--</w:t>
            </w:r>
          </w:p>
        </w:tc>
      </w:tr>
      <w:tr w:rsidR="005357C6" w:rsidRPr="00D44604" w14:paraId="29335353" w14:textId="77777777" w:rsidTr="00000E40">
        <w:trPr>
          <w:trHeight w:val="238"/>
          <w:jc w:val="center"/>
        </w:trPr>
        <w:tc>
          <w:tcPr>
            <w:tcW w:w="2551" w:type="dxa"/>
            <w:shd w:val="clear" w:color="auto" w:fill="auto"/>
          </w:tcPr>
          <w:p w14:paraId="125996A8" w14:textId="77777777" w:rsidR="005357C6" w:rsidRPr="00D44604" w:rsidRDefault="005357C6" w:rsidP="00475564">
            <w:pPr>
              <w:spacing w:before="40" w:after="40" w:line="240" w:lineRule="auto"/>
              <w:ind w:left="113"/>
              <w:rPr>
                <w:rFonts w:eastAsia="Times New Roman" w:cs="Arial"/>
                <w:b/>
                <w:bCs/>
                <w:spacing w:val="-2"/>
                <w:sz w:val="14"/>
                <w:szCs w:val="14"/>
                <w:lang w:eastAsia="pt-BR"/>
              </w:rPr>
            </w:pPr>
            <w:r w:rsidRPr="00D44604">
              <w:rPr>
                <w:rFonts w:eastAsia="Times New Roman" w:cs="Arial"/>
                <w:spacing w:val="-2"/>
                <w:sz w:val="14"/>
                <w:szCs w:val="18"/>
                <w:lang w:eastAsia="pt-BR"/>
              </w:rPr>
              <w:t>Other non-current assets</w:t>
            </w:r>
          </w:p>
        </w:tc>
        <w:tc>
          <w:tcPr>
            <w:tcW w:w="1417" w:type="dxa"/>
            <w:shd w:val="clear" w:color="auto" w:fill="auto"/>
            <w:vAlign w:val="center"/>
          </w:tcPr>
          <w:p w14:paraId="11F56CBF"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w:t>
            </w:r>
            <w:r>
              <w:rPr>
                <w:rFonts w:cs="Arial"/>
                <w:sz w:val="14"/>
                <w:szCs w:val="14"/>
              </w:rPr>
              <w:t>,</w:t>
            </w:r>
            <w:r w:rsidRPr="003E0F6E">
              <w:rPr>
                <w:rFonts w:cs="Arial"/>
                <w:sz w:val="14"/>
                <w:szCs w:val="14"/>
              </w:rPr>
              <w:t>132</w:t>
            </w:r>
            <w:r>
              <w:rPr>
                <w:rFonts w:cs="Arial"/>
                <w:sz w:val="14"/>
                <w:szCs w:val="14"/>
              </w:rPr>
              <w:t>,</w:t>
            </w:r>
            <w:r w:rsidRPr="003E0F6E">
              <w:rPr>
                <w:rFonts w:cs="Arial"/>
                <w:sz w:val="14"/>
                <w:szCs w:val="14"/>
              </w:rPr>
              <w:t xml:space="preserve">419 </w:t>
            </w:r>
          </w:p>
        </w:tc>
        <w:tc>
          <w:tcPr>
            <w:tcW w:w="1418" w:type="dxa"/>
            <w:shd w:val="clear" w:color="auto" w:fill="auto"/>
            <w:vAlign w:val="center"/>
          </w:tcPr>
          <w:p w14:paraId="0F599A54"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w:t>
            </w:r>
            <w:r>
              <w:rPr>
                <w:rFonts w:cs="Arial"/>
                <w:sz w:val="14"/>
                <w:szCs w:val="14"/>
              </w:rPr>
              <w:t>,</w:t>
            </w:r>
            <w:r w:rsidRPr="003E0F6E">
              <w:rPr>
                <w:rFonts w:cs="Arial"/>
                <w:sz w:val="14"/>
                <w:szCs w:val="14"/>
              </w:rPr>
              <w:t>384</w:t>
            </w:r>
            <w:r>
              <w:rPr>
                <w:rFonts w:cs="Arial"/>
                <w:sz w:val="14"/>
                <w:szCs w:val="14"/>
              </w:rPr>
              <w:t>,</w:t>
            </w:r>
            <w:r w:rsidRPr="003E0F6E">
              <w:rPr>
                <w:rFonts w:cs="Arial"/>
                <w:sz w:val="14"/>
                <w:szCs w:val="14"/>
              </w:rPr>
              <w:t xml:space="preserve">504 </w:t>
            </w:r>
          </w:p>
        </w:tc>
        <w:tc>
          <w:tcPr>
            <w:tcW w:w="1418" w:type="dxa"/>
            <w:shd w:val="clear" w:color="auto" w:fill="auto"/>
            <w:vAlign w:val="center"/>
          </w:tcPr>
          <w:p w14:paraId="7B82522B"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w:t>
            </w:r>
            <w:r>
              <w:rPr>
                <w:rFonts w:cs="Arial"/>
                <w:sz w:val="14"/>
                <w:szCs w:val="14"/>
              </w:rPr>
              <w:t>,</w:t>
            </w:r>
            <w:r w:rsidRPr="003E0F6E">
              <w:rPr>
                <w:rFonts w:cs="Arial"/>
                <w:sz w:val="14"/>
                <w:szCs w:val="14"/>
              </w:rPr>
              <w:t xml:space="preserve">270 </w:t>
            </w:r>
          </w:p>
        </w:tc>
        <w:tc>
          <w:tcPr>
            <w:tcW w:w="1418" w:type="dxa"/>
            <w:shd w:val="clear" w:color="auto" w:fill="auto"/>
            <w:vAlign w:val="center"/>
          </w:tcPr>
          <w:p w14:paraId="51972AAA"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233</w:t>
            </w:r>
            <w:r>
              <w:rPr>
                <w:rFonts w:cs="Arial"/>
                <w:sz w:val="14"/>
                <w:szCs w:val="14"/>
              </w:rPr>
              <w:t>,</w:t>
            </w:r>
            <w:r w:rsidRPr="003E0F6E">
              <w:rPr>
                <w:rFonts w:cs="Arial"/>
                <w:sz w:val="14"/>
                <w:szCs w:val="14"/>
              </w:rPr>
              <w:t xml:space="preserve">508 </w:t>
            </w:r>
          </w:p>
        </w:tc>
        <w:tc>
          <w:tcPr>
            <w:tcW w:w="1418" w:type="dxa"/>
            <w:shd w:val="clear" w:color="auto" w:fill="auto"/>
            <w:vAlign w:val="center"/>
          </w:tcPr>
          <w:p w14:paraId="2F4C9D17"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7</w:t>
            </w:r>
            <w:r>
              <w:rPr>
                <w:rFonts w:cs="Arial"/>
                <w:sz w:val="14"/>
                <w:szCs w:val="14"/>
              </w:rPr>
              <w:t>,</w:t>
            </w:r>
            <w:r w:rsidRPr="003E0F6E">
              <w:rPr>
                <w:rFonts w:cs="Arial"/>
                <w:sz w:val="14"/>
                <w:szCs w:val="14"/>
              </w:rPr>
              <w:t xml:space="preserve">677 </w:t>
            </w:r>
          </w:p>
        </w:tc>
      </w:tr>
      <w:tr w:rsidR="005357C6" w:rsidRPr="00D44604" w14:paraId="35758936" w14:textId="77777777" w:rsidTr="00000E40">
        <w:trPr>
          <w:trHeight w:val="238"/>
          <w:jc w:val="center"/>
        </w:trPr>
        <w:tc>
          <w:tcPr>
            <w:tcW w:w="2551" w:type="dxa"/>
            <w:shd w:val="clear" w:color="auto" w:fill="auto"/>
          </w:tcPr>
          <w:p w14:paraId="31105412" w14:textId="77777777" w:rsidR="005357C6" w:rsidRPr="00D44604" w:rsidRDefault="005357C6" w:rsidP="00475564">
            <w:pPr>
              <w:spacing w:before="40" w:after="40" w:line="240" w:lineRule="auto"/>
              <w:rPr>
                <w:rFonts w:eastAsia="Times New Roman" w:cs="Arial"/>
                <w:b/>
                <w:bCs/>
                <w:color w:val="000000"/>
                <w:spacing w:val="-2"/>
                <w:sz w:val="14"/>
                <w:szCs w:val="14"/>
                <w:lang w:eastAsia="pt-BR"/>
              </w:rPr>
            </w:pPr>
            <w:r w:rsidRPr="00D44604">
              <w:rPr>
                <w:rFonts w:eastAsia="Times New Roman" w:cs="Arial"/>
                <w:b/>
                <w:spacing w:val="-2"/>
                <w:sz w:val="14"/>
                <w:szCs w:val="18"/>
                <w:lang w:eastAsia="pt-BR"/>
              </w:rPr>
              <w:t>Current liabilities</w:t>
            </w:r>
          </w:p>
        </w:tc>
        <w:tc>
          <w:tcPr>
            <w:tcW w:w="1417" w:type="dxa"/>
            <w:shd w:val="clear" w:color="auto" w:fill="auto"/>
            <w:vAlign w:val="center"/>
          </w:tcPr>
          <w:p w14:paraId="5A7603DD"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39</w:t>
            </w:r>
            <w:r>
              <w:rPr>
                <w:rFonts w:cs="Arial"/>
                <w:b/>
                <w:sz w:val="14"/>
                <w:szCs w:val="14"/>
              </w:rPr>
              <w:t>,</w:t>
            </w:r>
            <w:r w:rsidRPr="003E0F6E">
              <w:rPr>
                <w:rFonts w:cs="Arial"/>
                <w:b/>
                <w:sz w:val="14"/>
                <w:szCs w:val="14"/>
              </w:rPr>
              <w:t>623</w:t>
            </w:r>
            <w:r>
              <w:rPr>
                <w:rFonts w:cs="Arial"/>
                <w:b/>
                <w:sz w:val="14"/>
                <w:szCs w:val="14"/>
              </w:rPr>
              <w:t>,</w:t>
            </w:r>
            <w:r w:rsidRPr="003E0F6E">
              <w:rPr>
                <w:rFonts w:cs="Arial"/>
                <w:b/>
                <w:sz w:val="14"/>
                <w:szCs w:val="14"/>
              </w:rPr>
              <w:t xml:space="preserve">895 </w:t>
            </w:r>
          </w:p>
        </w:tc>
        <w:tc>
          <w:tcPr>
            <w:tcW w:w="1418" w:type="dxa"/>
            <w:shd w:val="clear" w:color="auto" w:fill="auto"/>
            <w:vAlign w:val="center"/>
          </w:tcPr>
          <w:p w14:paraId="7C7F2081"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9</w:t>
            </w:r>
            <w:r>
              <w:rPr>
                <w:rFonts w:cs="Arial"/>
                <w:b/>
                <w:sz w:val="14"/>
                <w:szCs w:val="14"/>
              </w:rPr>
              <w:t>,</w:t>
            </w:r>
            <w:r w:rsidRPr="003E0F6E">
              <w:rPr>
                <w:rFonts w:cs="Arial"/>
                <w:b/>
                <w:sz w:val="14"/>
                <w:szCs w:val="14"/>
              </w:rPr>
              <w:t>698</w:t>
            </w:r>
            <w:r>
              <w:rPr>
                <w:rFonts w:cs="Arial"/>
                <w:b/>
                <w:sz w:val="14"/>
                <w:szCs w:val="14"/>
              </w:rPr>
              <w:t>,</w:t>
            </w:r>
            <w:r w:rsidRPr="003E0F6E">
              <w:rPr>
                <w:rFonts w:cs="Arial"/>
                <w:b/>
                <w:sz w:val="14"/>
                <w:szCs w:val="14"/>
              </w:rPr>
              <w:t>77</w:t>
            </w:r>
            <w:r>
              <w:rPr>
                <w:rFonts w:cs="Arial"/>
                <w:b/>
                <w:sz w:val="14"/>
                <w:szCs w:val="14"/>
              </w:rPr>
              <w:t>8</w:t>
            </w:r>
            <w:r w:rsidRPr="003E0F6E">
              <w:rPr>
                <w:rFonts w:cs="Arial"/>
                <w:b/>
                <w:sz w:val="14"/>
                <w:szCs w:val="14"/>
              </w:rPr>
              <w:t xml:space="preserve"> </w:t>
            </w:r>
          </w:p>
        </w:tc>
        <w:tc>
          <w:tcPr>
            <w:tcW w:w="1418" w:type="dxa"/>
            <w:shd w:val="clear" w:color="auto" w:fill="auto"/>
            <w:vAlign w:val="center"/>
          </w:tcPr>
          <w:p w14:paraId="340EF24B"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22</w:t>
            </w:r>
            <w:r>
              <w:rPr>
                <w:rFonts w:cs="Arial"/>
                <w:b/>
                <w:sz w:val="14"/>
                <w:szCs w:val="14"/>
              </w:rPr>
              <w:t>,</w:t>
            </w:r>
            <w:r w:rsidRPr="003E0F6E">
              <w:rPr>
                <w:rFonts w:cs="Arial"/>
                <w:b/>
                <w:sz w:val="14"/>
                <w:szCs w:val="14"/>
              </w:rPr>
              <w:t xml:space="preserve">084 </w:t>
            </w:r>
          </w:p>
        </w:tc>
        <w:tc>
          <w:tcPr>
            <w:tcW w:w="1418" w:type="dxa"/>
            <w:shd w:val="clear" w:color="auto" w:fill="auto"/>
            <w:vAlign w:val="center"/>
          </w:tcPr>
          <w:p w14:paraId="3C7203C8"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w:t>
            </w:r>
            <w:r>
              <w:rPr>
                <w:rFonts w:cs="Arial"/>
                <w:b/>
                <w:sz w:val="14"/>
                <w:szCs w:val="14"/>
              </w:rPr>
              <w:t>,</w:t>
            </w:r>
            <w:r w:rsidRPr="003E0F6E">
              <w:rPr>
                <w:rFonts w:cs="Arial"/>
                <w:b/>
                <w:sz w:val="14"/>
                <w:szCs w:val="14"/>
              </w:rPr>
              <w:t>254</w:t>
            </w:r>
            <w:r>
              <w:rPr>
                <w:rFonts w:cs="Arial"/>
                <w:b/>
                <w:sz w:val="14"/>
                <w:szCs w:val="14"/>
              </w:rPr>
              <w:t>,</w:t>
            </w:r>
            <w:r w:rsidRPr="003E0F6E">
              <w:rPr>
                <w:rFonts w:cs="Arial"/>
                <w:b/>
                <w:sz w:val="14"/>
                <w:szCs w:val="14"/>
              </w:rPr>
              <w:t xml:space="preserve">929 </w:t>
            </w:r>
          </w:p>
        </w:tc>
        <w:tc>
          <w:tcPr>
            <w:tcW w:w="1418" w:type="dxa"/>
            <w:shd w:val="clear" w:color="auto" w:fill="auto"/>
            <w:vAlign w:val="center"/>
          </w:tcPr>
          <w:p w14:paraId="7D07F601"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18</w:t>
            </w:r>
            <w:r>
              <w:rPr>
                <w:rFonts w:cs="Arial"/>
                <w:b/>
                <w:sz w:val="14"/>
                <w:szCs w:val="14"/>
              </w:rPr>
              <w:t>,</w:t>
            </w:r>
            <w:r w:rsidRPr="003E0F6E">
              <w:rPr>
                <w:rFonts w:cs="Arial"/>
                <w:b/>
                <w:sz w:val="14"/>
                <w:szCs w:val="14"/>
              </w:rPr>
              <w:t>56</w:t>
            </w:r>
            <w:r>
              <w:rPr>
                <w:rFonts w:cs="Arial"/>
                <w:b/>
                <w:sz w:val="14"/>
                <w:szCs w:val="14"/>
              </w:rPr>
              <w:t>8</w:t>
            </w:r>
            <w:r w:rsidRPr="003E0F6E">
              <w:rPr>
                <w:rFonts w:cs="Arial"/>
                <w:b/>
                <w:sz w:val="14"/>
                <w:szCs w:val="14"/>
              </w:rPr>
              <w:t xml:space="preserve"> </w:t>
            </w:r>
          </w:p>
        </w:tc>
      </w:tr>
      <w:tr w:rsidR="005357C6" w:rsidRPr="00D44604" w14:paraId="076A4179" w14:textId="77777777" w:rsidTr="00000E40">
        <w:trPr>
          <w:trHeight w:val="238"/>
          <w:jc w:val="center"/>
        </w:trPr>
        <w:tc>
          <w:tcPr>
            <w:tcW w:w="2551" w:type="dxa"/>
            <w:shd w:val="clear" w:color="auto" w:fill="auto"/>
          </w:tcPr>
          <w:p w14:paraId="791DB867" w14:textId="77777777" w:rsidR="005357C6" w:rsidRPr="00D44604" w:rsidRDefault="005357C6" w:rsidP="00475564">
            <w:pPr>
              <w:spacing w:before="40" w:after="40" w:line="240" w:lineRule="auto"/>
              <w:ind w:left="113"/>
              <w:rPr>
                <w:rFonts w:eastAsia="Times New Roman" w:cs="Arial"/>
                <w:b/>
                <w:color w:val="000000"/>
                <w:spacing w:val="-2"/>
                <w:sz w:val="14"/>
                <w:szCs w:val="14"/>
                <w:lang w:eastAsia="pt-BR"/>
              </w:rPr>
            </w:pPr>
            <w:r w:rsidRPr="00D44604">
              <w:rPr>
                <w:rFonts w:eastAsia="Times New Roman" w:cs="Arial"/>
                <w:spacing w:val="-2"/>
                <w:sz w:val="14"/>
                <w:szCs w:val="18"/>
                <w:lang w:eastAsia="pt-BR"/>
              </w:rPr>
              <w:t>Financial liabilities</w:t>
            </w:r>
          </w:p>
        </w:tc>
        <w:tc>
          <w:tcPr>
            <w:tcW w:w="1417" w:type="dxa"/>
            <w:shd w:val="clear" w:color="auto" w:fill="auto"/>
            <w:vAlign w:val="center"/>
          </w:tcPr>
          <w:p w14:paraId="043834D1" w14:textId="77777777" w:rsidR="005357C6" w:rsidRPr="00D44604" w:rsidRDefault="005357C6" w:rsidP="00475564">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678</w:t>
            </w:r>
            <w:r>
              <w:rPr>
                <w:rFonts w:cs="Arial"/>
                <w:sz w:val="14"/>
                <w:szCs w:val="14"/>
              </w:rPr>
              <w:t>,</w:t>
            </w:r>
            <w:r w:rsidRPr="003E0F6E">
              <w:rPr>
                <w:rFonts w:cs="Arial"/>
                <w:sz w:val="14"/>
                <w:szCs w:val="14"/>
              </w:rPr>
              <w:t xml:space="preserve">252 </w:t>
            </w:r>
          </w:p>
        </w:tc>
        <w:tc>
          <w:tcPr>
            <w:tcW w:w="1418" w:type="dxa"/>
            <w:shd w:val="clear" w:color="auto" w:fill="auto"/>
            <w:vAlign w:val="center"/>
          </w:tcPr>
          <w:p w14:paraId="7B4EF0E4" w14:textId="77777777" w:rsidR="005357C6" w:rsidRPr="00D44604" w:rsidRDefault="005357C6" w:rsidP="00475564">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c>
          <w:tcPr>
            <w:tcW w:w="1418" w:type="dxa"/>
            <w:shd w:val="clear" w:color="auto" w:fill="auto"/>
            <w:vAlign w:val="center"/>
          </w:tcPr>
          <w:p w14:paraId="1E7C5929" w14:textId="77777777" w:rsidR="005357C6" w:rsidRPr="00D44604" w:rsidRDefault="005357C6" w:rsidP="00475564">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c>
          <w:tcPr>
            <w:tcW w:w="1418" w:type="dxa"/>
            <w:shd w:val="clear" w:color="auto" w:fill="auto"/>
            <w:vAlign w:val="center"/>
          </w:tcPr>
          <w:p w14:paraId="237536F7" w14:textId="77777777" w:rsidR="005357C6" w:rsidRPr="00D44604" w:rsidRDefault="005357C6" w:rsidP="00475564">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c>
          <w:tcPr>
            <w:tcW w:w="1418" w:type="dxa"/>
            <w:shd w:val="clear" w:color="auto" w:fill="auto"/>
            <w:vAlign w:val="center"/>
          </w:tcPr>
          <w:p w14:paraId="62CA56A1" w14:textId="77777777" w:rsidR="005357C6" w:rsidRPr="00D44604" w:rsidRDefault="005357C6" w:rsidP="00475564">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1</w:t>
            </w:r>
            <w:r>
              <w:rPr>
                <w:rFonts w:cs="Arial"/>
                <w:sz w:val="14"/>
                <w:szCs w:val="14"/>
              </w:rPr>
              <w:t>,</w:t>
            </w:r>
            <w:r w:rsidRPr="003E0F6E">
              <w:rPr>
                <w:rFonts w:cs="Arial"/>
                <w:sz w:val="14"/>
                <w:szCs w:val="14"/>
              </w:rPr>
              <w:t xml:space="preserve">683 </w:t>
            </w:r>
          </w:p>
        </w:tc>
      </w:tr>
      <w:tr w:rsidR="005357C6" w:rsidRPr="00D44604" w14:paraId="208120EB" w14:textId="77777777" w:rsidTr="00000E40">
        <w:trPr>
          <w:trHeight w:val="238"/>
          <w:jc w:val="center"/>
        </w:trPr>
        <w:tc>
          <w:tcPr>
            <w:tcW w:w="2551" w:type="dxa"/>
            <w:shd w:val="clear" w:color="auto" w:fill="auto"/>
          </w:tcPr>
          <w:p w14:paraId="125E706A" w14:textId="77777777" w:rsidR="005357C6" w:rsidRPr="00D44604" w:rsidRDefault="005357C6" w:rsidP="00475564">
            <w:pPr>
              <w:spacing w:before="40" w:after="40" w:line="240" w:lineRule="auto"/>
              <w:ind w:left="113"/>
              <w:rPr>
                <w:rFonts w:eastAsia="Times New Roman" w:cs="Arial"/>
                <w:bCs/>
                <w:color w:val="000000"/>
                <w:spacing w:val="-2"/>
                <w:sz w:val="14"/>
                <w:szCs w:val="14"/>
                <w:lang w:eastAsia="pt-BR"/>
              </w:rPr>
            </w:pPr>
            <w:r w:rsidRPr="00D44604">
              <w:rPr>
                <w:rFonts w:eastAsia="Times New Roman" w:cs="Arial"/>
                <w:spacing w:val="-2"/>
                <w:sz w:val="14"/>
                <w:szCs w:val="18"/>
                <w:lang w:eastAsia="pt-BR"/>
              </w:rPr>
              <w:t>Technical provisions</w:t>
            </w:r>
          </w:p>
        </w:tc>
        <w:tc>
          <w:tcPr>
            <w:tcW w:w="1417" w:type="dxa"/>
            <w:shd w:val="clear" w:color="auto" w:fill="auto"/>
            <w:vAlign w:val="center"/>
          </w:tcPr>
          <w:p w14:paraId="4C0B417D"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38</w:t>
            </w:r>
            <w:r>
              <w:rPr>
                <w:rFonts w:cs="Arial"/>
                <w:sz w:val="14"/>
                <w:szCs w:val="14"/>
              </w:rPr>
              <w:t>,</w:t>
            </w:r>
            <w:r w:rsidRPr="003E0F6E">
              <w:rPr>
                <w:rFonts w:cs="Arial"/>
                <w:sz w:val="14"/>
                <w:szCs w:val="14"/>
              </w:rPr>
              <w:t>630</w:t>
            </w:r>
            <w:r>
              <w:rPr>
                <w:rFonts w:cs="Arial"/>
                <w:sz w:val="14"/>
                <w:szCs w:val="14"/>
              </w:rPr>
              <w:t>,</w:t>
            </w:r>
            <w:r w:rsidRPr="003E0F6E">
              <w:rPr>
                <w:rFonts w:cs="Arial"/>
                <w:sz w:val="14"/>
                <w:szCs w:val="14"/>
              </w:rPr>
              <w:t xml:space="preserve">650 </w:t>
            </w:r>
          </w:p>
        </w:tc>
        <w:tc>
          <w:tcPr>
            <w:tcW w:w="1418" w:type="dxa"/>
            <w:shd w:val="clear" w:color="auto" w:fill="auto"/>
            <w:vAlign w:val="center"/>
          </w:tcPr>
          <w:p w14:paraId="66DC2DFA"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9</w:t>
            </w:r>
            <w:r>
              <w:rPr>
                <w:rFonts w:cs="Arial"/>
                <w:sz w:val="14"/>
                <w:szCs w:val="14"/>
              </w:rPr>
              <w:t>,</w:t>
            </w:r>
            <w:r w:rsidRPr="003E0F6E">
              <w:rPr>
                <w:rFonts w:cs="Arial"/>
                <w:sz w:val="14"/>
                <w:szCs w:val="14"/>
              </w:rPr>
              <w:t>608</w:t>
            </w:r>
            <w:r>
              <w:rPr>
                <w:rFonts w:cs="Arial"/>
                <w:sz w:val="14"/>
                <w:szCs w:val="14"/>
              </w:rPr>
              <w:t>,</w:t>
            </w:r>
            <w:r w:rsidRPr="003E0F6E">
              <w:rPr>
                <w:rFonts w:cs="Arial"/>
                <w:sz w:val="14"/>
                <w:szCs w:val="14"/>
              </w:rPr>
              <w:t xml:space="preserve">352 </w:t>
            </w:r>
          </w:p>
        </w:tc>
        <w:tc>
          <w:tcPr>
            <w:tcW w:w="1418" w:type="dxa"/>
            <w:shd w:val="clear" w:color="auto" w:fill="auto"/>
            <w:vAlign w:val="center"/>
          </w:tcPr>
          <w:p w14:paraId="27DCBA4C"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13</w:t>
            </w:r>
            <w:r>
              <w:rPr>
                <w:rFonts w:cs="Arial"/>
                <w:sz w:val="14"/>
                <w:szCs w:val="14"/>
              </w:rPr>
              <w:t>,</w:t>
            </w:r>
            <w:r w:rsidRPr="003E0F6E">
              <w:rPr>
                <w:rFonts w:cs="Arial"/>
                <w:sz w:val="14"/>
                <w:szCs w:val="14"/>
              </w:rPr>
              <w:t xml:space="preserve">257 </w:t>
            </w:r>
          </w:p>
        </w:tc>
        <w:tc>
          <w:tcPr>
            <w:tcW w:w="1418" w:type="dxa"/>
            <w:shd w:val="clear" w:color="auto" w:fill="auto"/>
            <w:vAlign w:val="center"/>
          </w:tcPr>
          <w:p w14:paraId="59E3AD5B"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0E7E5B4C"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3</w:t>
            </w:r>
            <w:r>
              <w:rPr>
                <w:rFonts w:cs="Arial"/>
                <w:sz w:val="14"/>
                <w:szCs w:val="14"/>
              </w:rPr>
              <w:t>,</w:t>
            </w:r>
            <w:r w:rsidRPr="003E0F6E">
              <w:rPr>
                <w:rFonts w:cs="Arial"/>
                <w:sz w:val="14"/>
                <w:szCs w:val="14"/>
              </w:rPr>
              <w:t xml:space="preserve">017 </w:t>
            </w:r>
          </w:p>
        </w:tc>
      </w:tr>
      <w:tr w:rsidR="005357C6" w:rsidRPr="00D44604" w14:paraId="350F7B84" w14:textId="77777777" w:rsidTr="00000E40">
        <w:trPr>
          <w:trHeight w:val="238"/>
          <w:jc w:val="center"/>
        </w:trPr>
        <w:tc>
          <w:tcPr>
            <w:tcW w:w="2551" w:type="dxa"/>
            <w:shd w:val="clear" w:color="auto" w:fill="auto"/>
          </w:tcPr>
          <w:p w14:paraId="14D89497" w14:textId="77777777" w:rsidR="005357C6" w:rsidRPr="00D44604" w:rsidRDefault="005357C6" w:rsidP="00475564">
            <w:pPr>
              <w:spacing w:before="40" w:after="40" w:line="240" w:lineRule="auto"/>
              <w:ind w:left="113"/>
              <w:rPr>
                <w:rFonts w:eastAsia="Times New Roman" w:cs="Arial"/>
                <w:b/>
                <w:color w:val="000000"/>
                <w:spacing w:val="-2"/>
                <w:sz w:val="14"/>
                <w:szCs w:val="14"/>
                <w:lang w:eastAsia="pt-BR"/>
              </w:rPr>
            </w:pPr>
            <w:r w:rsidRPr="00D44604">
              <w:rPr>
                <w:rFonts w:eastAsia="Times New Roman" w:cs="Arial"/>
                <w:spacing w:val="-2"/>
                <w:sz w:val="14"/>
                <w:szCs w:val="14"/>
                <w:lang w:eastAsia="pt-BR"/>
              </w:rPr>
              <w:t>Dividends payable</w:t>
            </w:r>
          </w:p>
        </w:tc>
        <w:tc>
          <w:tcPr>
            <w:tcW w:w="1417" w:type="dxa"/>
            <w:shd w:val="clear" w:color="auto" w:fill="auto"/>
            <w:vAlign w:val="center"/>
          </w:tcPr>
          <w:p w14:paraId="53C927B1" w14:textId="77777777" w:rsidR="005357C6" w:rsidRPr="00D44604" w:rsidRDefault="005357C6" w:rsidP="00475564">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c>
          <w:tcPr>
            <w:tcW w:w="1418" w:type="dxa"/>
            <w:shd w:val="clear" w:color="auto" w:fill="auto"/>
            <w:vAlign w:val="center"/>
          </w:tcPr>
          <w:p w14:paraId="67048C09" w14:textId="77777777" w:rsidR="005357C6" w:rsidRPr="00D44604" w:rsidRDefault="005357C6" w:rsidP="00475564">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22</w:t>
            </w:r>
            <w:r>
              <w:rPr>
                <w:rFonts w:cs="Arial"/>
                <w:sz w:val="14"/>
                <w:szCs w:val="14"/>
              </w:rPr>
              <w:t>,</w:t>
            </w:r>
            <w:r w:rsidRPr="003E0F6E">
              <w:rPr>
                <w:rFonts w:cs="Arial"/>
                <w:sz w:val="14"/>
                <w:szCs w:val="14"/>
              </w:rPr>
              <w:t xml:space="preserve">127 </w:t>
            </w:r>
          </w:p>
        </w:tc>
        <w:tc>
          <w:tcPr>
            <w:tcW w:w="1418" w:type="dxa"/>
            <w:shd w:val="clear" w:color="auto" w:fill="auto"/>
            <w:vAlign w:val="center"/>
          </w:tcPr>
          <w:p w14:paraId="347D3433" w14:textId="77777777" w:rsidR="005357C6" w:rsidRPr="00D44604" w:rsidRDefault="005357C6" w:rsidP="00475564">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c>
          <w:tcPr>
            <w:tcW w:w="1418" w:type="dxa"/>
            <w:shd w:val="clear" w:color="auto" w:fill="auto"/>
            <w:vAlign w:val="center"/>
          </w:tcPr>
          <w:p w14:paraId="424856D4" w14:textId="77777777" w:rsidR="005357C6" w:rsidRPr="00D44604" w:rsidRDefault="005357C6" w:rsidP="00475564">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1</w:t>
            </w:r>
            <w:r>
              <w:rPr>
                <w:rFonts w:cs="Arial"/>
                <w:sz w:val="14"/>
                <w:szCs w:val="14"/>
              </w:rPr>
              <w:t>,</w:t>
            </w:r>
            <w:r w:rsidRPr="003E0F6E">
              <w:rPr>
                <w:rFonts w:cs="Arial"/>
                <w:sz w:val="14"/>
                <w:szCs w:val="14"/>
              </w:rPr>
              <w:t>522</w:t>
            </w:r>
            <w:r>
              <w:rPr>
                <w:rFonts w:cs="Arial"/>
                <w:sz w:val="14"/>
                <w:szCs w:val="14"/>
              </w:rPr>
              <w:t>,</w:t>
            </w:r>
            <w:r w:rsidRPr="003E0F6E">
              <w:rPr>
                <w:rFonts w:cs="Arial"/>
                <w:sz w:val="14"/>
                <w:szCs w:val="14"/>
              </w:rPr>
              <w:t xml:space="preserve">364 </w:t>
            </w:r>
          </w:p>
        </w:tc>
        <w:tc>
          <w:tcPr>
            <w:tcW w:w="1418" w:type="dxa"/>
            <w:shd w:val="clear" w:color="auto" w:fill="auto"/>
            <w:vAlign w:val="center"/>
          </w:tcPr>
          <w:p w14:paraId="6C37D5BC" w14:textId="77777777" w:rsidR="005357C6" w:rsidRPr="00D44604" w:rsidRDefault="005357C6" w:rsidP="00475564">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r>
      <w:tr w:rsidR="005357C6" w:rsidRPr="00D44604" w14:paraId="5D46CB62" w14:textId="77777777" w:rsidTr="00000E40">
        <w:trPr>
          <w:trHeight w:val="238"/>
          <w:jc w:val="center"/>
        </w:trPr>
        <w:tc>
          <w:tcPr>
            <w:tcW w:w="2551" w:type="dxa"/>
            <w:shd w:val="clear" w:color="auto" w:fill="auto"/>
          </w:tcPr>
          <w:p w14:paraId="2E025849" w14:textId="77777777" w:rsidR="005357C6" w:rsidRPr="00D44604" w:rsidRDefault="005357C6" w:rsidP="00475564">
            <w:pPr>
              <w:spacing w:before="40" w:after="40" w:line="240" w:lineRule="auto"/>
              <w:ind w:left="113"/>
              <w:rPr>
                <w:rFonts w:eastAsia="Times New Roman" w:cs="Arial"/>
                <w:bCs/>
                <w:color w:val="000000"/>
                <w:spacing w:val="-2"/>
                <w:sz w:val="14"/>
                <w:szCs w:val="14"/>
                <w:lang w:eastAsia="pt-BR"/>
              </w:rPr>
            </w:pPr>
            <w:r w:rsidRPr="00D44604">
              <w:rPr>
                <w:rFonts w:eastAsia="Times New Roman" w:cs="Arial"/>
                <w:spacing w:val="-2"/>
                <w:sz w:val="14"/>
                <w:szCs w:val="14"/>
                <w:lang w:eastAsia="pt-BR"/>
              </w:rPr>
              <w:t>Commissions to be appropriated</w:t>
            </w:r>
          </w:p>
        </w:tc>
        <w:tc>
          <w:tcPr>
            <w:tcW w:w="1417" w:type="dxa"/>
            <w:shd w:val="clear" w:color="auto" w:fill="auto"/>
            <w:vAlign w:val="center"/>
          </w:tcPr>
          <w:p w14:paraId="2B01C07D" w14:textId="77777777" w:rsidR="005357C6" w:rsidRPr="00D44604" w:rsidRDefault="005357C6" w:rsidP="00475564">
            <w:pPr>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418" w:type="dxa"/>
            <w:shd w:val="clear" w:color="auto" w:fill="auto"/>
            <w:vAlign w:val="center"/>
          </w:tcPr>
          <w:p w14:paraId="7D423853"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7077BBD7"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3C6E1254"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1</w:t>
            </w:r>
            <w:r>
              <w:rPr>
                <w:rFonts w:cs="Arial"/>
                <w:sz w:val="14"/>
                <w:szCs w:val="14"/>
              </w:rPr>
              <w:t>,</w:t>
            </w:r>
            <w:r w:rsidRPr="003E0F6E">
              <w:rPr>
                <w:rFonts w:cs="Arial"/>
                <w:sz w:val="14"/>
                <w:szCs w:val="14"/>
              </w:rPr>
              <w:t>760</w:t>
            </w:r>
            <w:r>
              <w:rPr>
                <w:rFonts w:cs="Arial"/>
                <w:sz w:val="14"/>
                <w:szCs w:val="14"/>
              </w:rPr>
              <w:t>,</w:t>
            </w:r>
            <w:r w:rsidRPr="003E0F6E">
              <w:rPr>
                <w:rFonts w:cs="Arial"/>
                <w:sz w:val="14"/>
                <w:szCs w:val="14"/>
              </w:rPr>
              <w:t xml:space="preserve">473 </w:t>
            </w:r>
          </w:p>
        </w:tc>
        <w:tc>
          <w:tcPr>
            <w:tcW w:w="1418" w:type="dxa"/>
            <w:shd w:val="clear" w:color="auto" w:fill="auto"/>
            <w:vAlign w:val="center"/>
          </w:tcPr>
          <w:p w14:paraId="65C1F7A8"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r>
      <w:tr w:rsidR="005357C6" w:rsidRPr="00D44604" w14:paraId="39D8AEEF" w14:textId="77777777" w:rsidTr="00000E40">
        <w:trPr>
          <w:trHeight w:val="238"/>
          <w:jc w:val="center"/>
        </w:trPr>
        <w:tc>
          <w:tcPr>
            <w:tcW w:w="2551" w:type="dxa"/>
            <w:shd w:val="clear" w:color="auto" w:fill="auto"/>
          </w:tcPr>
          <w:p w14:paraId="7FF56941" w14:textId="77777777" w:rsidR="005357C6" w:rsidRPr="00D44604" w:rsidRDefault="005357C6" w:rsidP="00475564">
            <w:pPr>
              <w:spacing w:before="40" w:after="40" w:line="240" w:lineRule="auto"/>
              <w:ind w:left="113"/>
              <w:rPr>
                <w:rFonts w:eastAsia="Times New Roman" w:cs="Arial"/>
                <w:b/>
                <w:bCs/>
                <w:color w:val="000000"/>
                <w:spacing w:val="-2"/>
                <w:sz w:val="14"/>
                <w:szCs w:val="14"/>
                <w:lang w:eastAsia="pt-BR"/>
              </w:rPr>
            </w:pPr>
            <w:r w:rsidRPr="00D44604">
              <w:rPr>
                <w:rFonts w:eastAsia="Times New Roman" w:cs="Arial"/>
                <w:spacing w:val="-2"/>
                <w:sz w:val="14"/>
                <w:szCs w:val="18"/>
                <w:lang w:eastAsia="pt-BR"/>
              </w:rPr>
              <w:t>Other current liabilities</w:t>
            </w:r>
          </w:p>
        </w:tc>
        <w:tc>
          <w:tcPr>
            <w:tcW w:w="1417" w:type="dxa"/>
            <w:shd w:val="clear" w:color="auto" w:fill="auto"/>
            <w:vAlign w:val="center"/>
          </w:tcPr>
          <w:p w14:paraId="04D3F015"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314</w:t>
            </w:r>
            <w:r>
              <w:rPr>
                <w:rFonts w:cs="Arial"/>
                <w:sz w:val="14"/>
                <w:szCs w:val="14"/>
              </w:rPr>
              <w:t>,</w:t>
            </w:r>
            <w:r w:rsidRPr="003E0F6E">
              <w:rPr>
                <w:rFonts w:cs="Arial"/>
                <w:sz w:val="14"/>
                <w:szCs w:val="14"/>
              </w:rPr>
              <w:t xml:space="preserve">993 </w:t>
            </w:r>
          </w:p>
        </w:tc>
        <w:tc>
          <w:tcPr>
            <w:tcW w:w="1418" w:type="dxa"/>
            <w:shd w:val="clear" w:color="auto" w:fill="auto"/>
            <w:vAlign w:val="center"/>
          </w:tcPr>
          <w:p w14:paraId="51AE06B5"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68</w:t>
            </w:r>
            <w:r>
              <w:rPr>
                <w:rFonts w:cs="Arial"/>
                <w:sz w:val="14"/>
                <w:szCs w:val="14"/>
              </w:rPr>
              <w:t>,</w:t>
            </w:r>
            <w:r w:rsidRPr="003E0F6E">
              <w:rPr>
                <w:rFonts w:cs="Arial"/>
                <w:sz w:val="14"/>
                <w:szCs w:val="14"/>
              </w:rPr>
              <w:t xml:space="preserve">299 </w:t>
            </w:r>
          </w:p>
        </w:tc>
        <w:tc>
          <w:tcPr>
            <w:tcW w:w="1418" w:type="dxa"/>
            <w:shd w:val="clear" w:color="auto" w:fill="auto"/>
            <w:vAlign w:val="center"/>
          </w:tcPr>
          <w:p w14:paraId="1C44269F"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8</w:t>
            </w:r>
            <w:r>
              <w:rPr>
                <w:rFonts w:cs="Arial"/>
                <w:sz w:val="14"/>
                <w:szCs w:val="14"/>
              </w:rPr>
              <w:t>,</w:t>
            </w:r>
            <w:r w:rsidRPr="003E0F6E">
              <w:rPr>
                <w:rFonts w:cs="Arial"/>
                <w:sz w:val="14"/>
                <w:szCs w:val="14"/>
              </w:rPr>
              <w:t xml:space="preserve">827 </w:t>
            </w:r>
          </w:p>
        </w:tc>
        <w:tc>
          <w:tcPr>
            <w:tcW w:w="1418" w:type="dxa"/>
            <w:shd w:val="clear" w:color="auto" w:fill="auto"/>
            <w:vAlign w:val="center"/>
          </w:tcPr>
          <w:p w14:paraId="7D8A6592"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972</w:t>
            </w:r>
            <w:r>
              <w:rPr>
                <w:rFonts w:cs="Arial"/>
                <w:sz w:val="14"/>
                <w:szCs w:val="14"/>
              </w:rPr>
              <w:t>,</w:t>
            </w:r>
            <w:r w:rsidRPr="003E0F6E">
              <w:rPr>
                <w:rFonts w:cs="Arial"/>
                <w:sz w:val="14"/>
                <w:szCs w:val="14"/>
              </w:rPr>
              <w:t xml:space="preserve">092 </w:t>
            </w:r>
          </w:p>
        </w:tc>
        <w:tc>
          <w:tcPr>
            <w:tcW w:w="1418" w:type="dxa"/>
            <w:shd w:val="clear" w:color="auto" w:fill="auto"/>
            <w:vAlign w:val="center"/>
          </w:tcPr>
          <w:p w14:paraId="41677AA4"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13</w:t>
            </w:r>
            <w:r>
              <w:rPr>
                <w:rFonts w:cs="Arial"/>
                <w:sz w:val="14"/>
                <w:szCs w:val="14"/>
              </w:rPr>
              <w:t>,</w:t>
            </w:r>
            <w:r w:rsidRPr="003E0F6E">
              <w:rPr>
                <w:rFonts w:cs="Arial"/>
                <w:sz w:val="14"/>
                <w:szCs w:val="14"/>
              </w:rPr>
              <w:t xml:space="preserve">868 </w:t>
            </w:r>
          </w:p>
        </w:tc>
      </w:tr>
      <w:tr w:rsidR="005357C6" w:rsidRPr="00D44604" w14:paraId="52D14B1A" w14:textId="77777777" w:rsidTr="00000E40">
        <w:trPr>
          <w:trHeight w:val="238"/>
          <w:jc w:val="center"/>
        </w:trPr>
        <w:tc>
          <w:tcPr>
            <w:tcW w:w="2551" w:type="dxa"/>
            <w:shd w:val="clear" w:color="auto" w:fill="auto"/>
          </w:tcPr>
          <w:p w14:paraId="48BBD9FF" w14:textId="77777777" w:rsidR="005357C6" w:rsidRPr="00D44604" w:rsidRDefault="005357C6" w:rsidP="00475564">
            <w:pPr>
              <w:spacing w:before="40" w:after="40" w:line="240" w:lineRule="auto"/>
              <w:rPr>
                <w:rFonts w:eastAsia="Times New Roman" w:cs="Arial"/>
                <w:b/>
                <w:color w:val="000000"/>
                <w:spacing w:val="-2"/>
                <w:sz w:val="14"/>
                <w:szCs w:val="14"/>
                <w:lang w:eastAsia="pt-BR"/>
              </w:rPr>
            </w:pPr>
            <w:r w:rsidRPr="00D44604">
              <w:rPr>
                <w:rFonts w:eastAsia="Times New Roman" w:cs="Arial"/>
                <w:b/>
                <w:spacing w:val="-2"/>
                <w:sz w:val="14"/>
                <w:szCs w:val="18"/>
                <w:lang w:eastAsia="pt-BR"/>
              </w:rPr>
              <w:t>Non-current liabilities</w:t>
            </w:r>
          </w:p>
        </w:tc>
        <w:tc>
          <w:tcPr>
            <w:tcW w:w="1417" w:type="dxa"/>
            <w:shd w:val="clear" w:color="auto" w:fill="auto"/>
            <w:vAlign w:val="center"/>
          </w:tcPr>
          <w:p w14:paraId="69A6D6F0"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305</w:t>
            </w:r>
            <w:r>
              <w:rPr>
                <w:rFonts w:cs="Arial"/>
                <w:b/>
                <w:sz w:val="14"/>
                <w:szCs w:val="14"/>
              </w:rPr>
              <w:t>,</w:t>
            </w:r>
            <w:r w:rsidRPr="003E0F6E">
              <w:rPr>
                <w:rFonts w:cs="Arial"/>
                <w:b/>
                <w:sz w:val="14"/>
                <w:szCs w:val="14"/>
              </w:rPr>
              <w:t>795</w:t>
            </w:r>
            <w:r>
              <w:rPr>
                <w:rFonts w:cs="Arial"/>
                <w:b/>
                <w:sz w:val="14"/>
                <w:szCs w:val="14"/>
              </w:rPr>
              <w:t>,</w:t>
            </w:r>
            <w:r w:rsidRPr="003E0F6E">
              <w:rPr>
                <w:rFonts w:cs="Arial"/>
                <w:b/>
                <w:sz w:val="14"/>
                <w:szCs w:val="14"/>
              </w:rPr>
              <w:t xml:space="preserve">446 </w:t>
            </w:r>
          </w:p>
        </w:tc>
        <w:tc>
          <w:tcPr>
            <w:tcW w:w="1418" w:type="dxa"/>
            <w:shd w:val="clear" w:color="auto" w:fill="auto"/>
            <w:vAlign w:val="center"/>
          </w:tcPr>
          <w:p w14:paraId="4090A415"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w:t>
            </w:r>
            <w:r>
              <w:rPr>
                <w:rFonts w:cs="Arial"/>
                <w:b/>
                <w:sz w:val="14"/>
                <w:szCs w:val="14"/>
              </w:rPr>
              <w:t>,</w:t>
            </w:r>
            <w:r w:rsidRPr="003E0F6E">
              <w:rPr>
                <w:rFonts w:cs="Arial"/>
                <w:b/>
                <w:sz w:val="14"/>
                <w:szCs w:val="14"/>
              </w:rPr>
              <w:t>142</w:t>
            </w:r>
            <w:r>
              <w:rPr>
                <w:rFonts w:cs="Arial"/>
                <w:b/>
                <w:sz w:val="14"/>
                <w:szCs w:val="14"/>
              </w:rPr>
              <w:t>,</w:t>
            </w:r>
            <w:r w:rsidRPr="003E0F6E">
              <w:rPr>
                <w:rFonts w:cs="Arial"/>
                <w:b/>
                <w:sz w:val="14"/>
                <w:szCs w:val="14"/>
              </w:rPr>
              <w:t xml:space="preserve">749 </w:t>
            </w:r>
          </w:p>
        </w:tc>
        <w:tc>
          <w:tcPr>
            <w:tcW w:w="1418" w:type="dxa"/>
            <w:shd w:val="clear" w:color="auto" w:fill="auto"/>
            <w:vAlign w:val="center"/>
          </w:tcPr>
          <w:p w14:paraId="07F38CE1"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251 </w:t>
            </w:r>
          </w:p>
        </w:tc>
        <w:tc>
          <w:tcPr>
            <w:tcW w:w="1418" w:type="dxa"/>
            <w:shd w:val="clear" w:color="auto" w:fill="auto"/>
            <w:vAlign w:val="center"/>
          </w:tcPr>
          <w:p w14:paraId="25703FA6"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w:t>
            </w:r>
            <w:r>
              <w:rPr>
                <w:rFonts w:cs="Arial"/>
                <w:b/>
                <w:sz w:val="14"/>
                <w:szCs w:val="14"/>
              </w:rPr>
              <w:t>,</w:t>
            </w:r>
            <w:r w:rsidRPr="003E0F6E">
              <w:rPr>
                <w:rFonts w:cs="Arial"/>
                <w:b/>
                <w:sz w:val="14"/>
                <w:szCs w:val="14"/>
              </w:rPr>
              <w:t>796</w:t>
            </w:r>
            <w:r>
              <w:rPr>
                <w:rFonts w:cs="Arial"/>
                <w:b/>
                <w:sz w:val="14"/>
                <w:szCs w:val="14"/>
              </w:rPr>
              <w:t>,</w:t>
            </w:r>
            <w:r w:rsidRPr="003E0F6E">
              <w:rPr>
                <w:rFonts w:cs="Arial"/>
                <w:b/>
                <w:sz w:val="14"/>
                <w:szCs w:val="14"/>
              </w:rPr>
              <w:t xml:space="preserve">338 </w:t>
            </w:r>
          </w:p>
        </w:tc>
        <w:tc>
          <w:tcPr>
            <w:tcW w:w="1418" w:type="dxa"/>
            <w:shd w:val="clear" w:color="auto" w:fill="auto"/>
            <w:vAlign w:val="center"/>
          </w:tcPr>
          <w:p w14:paraId="5E4687B6"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 </w:t>
            </w:r>
          </w:p>
        </w:tc>
      </w:tr>
      <w:tr w:rsidR="005357C6" w:rsidRPr="00D44604" w14:paraId="321F1684" w14:textId="77777777" w:rsidTr="00000E40">
        <w:trPr>
          <w:trHeight w:val="238"/>
          <w:jc w:val="center"/>
        </w:trPr>
        <w:tc>
          <w:tcPr>
            <w:tcW w:w="2551" w:type="dxa"/>
            <w:shd w:val="clear" w:color="auto" w:fill="auto"/>
          </w:tcPr>
          <w:p w14:paraId="423AF332" w14:textId="77777777" w:rsidR="005357C6" w:rsidRPr="00D44604" w:rsidRDefault="005357C6" w:rsidP="00475564">
            <w:pPr>
              <w:spacing w:before="40" w:after="40" w:line="240" w:lineRule="auto"/>
              <w:ind w:left="113"/>
              <w:rPr>
                <w:rFonts w:eastAsia="Times New Roman" w:cs="Arial"/>
                <w:b/>
                <w:spacing w:val="-2"/>
                <w:sz w:val="14"/>
                <w:szCs w:val="18"/>
                <w:lang w:eastAsia="pt-BR"/>
              </w:rPr>
            </w:pPr>
            <w:r w:rsidRPr="00D44604">
              <w:rPr>
                <w:rFonts w:eastAsia="Times New Roman" w:cs="Arial"/>
                <w:spacing w:val="-2"/>
                <w:sz w:val="14"/>
                <w:szCs w:val="18"/>
                <w:lang w:eastAsia="pt-BR"/>
              </w:rPr>
              <w:t>Financial liabilities</w:t>
            </w:r>
          </w:p>
        </w:tc>
        <w:tc>
          <w:tcPr>
            <w:tcW w:w="1417" w:type="dxa"/>
            <w:shd w:val="clear" w:color="auto" w:fill="auto"/>
            <w:vAlign w:val="center"/>
          </w:tcPr>
          <w:p w14:paraId="6A909B54" w14:textId="77777777" w:rsidR="005357C6" w:rsidRDefault="005357C6" w:rsidP="00475564">
            <w:pPr>
              <w:spacing w:before="40" w:after="40" w:line="240" w:lineRule="auto"/>
              <w:jc w:val="right"/>
              <w:rPr>
                <w:rFonts w:cs="Arial"/>
                <w:b/>
                <w:bCs/>
                <w:sz w:val="14"/>
                <w:szCs w:val="14"/>
              </w:rPr>
            </w:pPr>
            <w:r w:rsidRPr="003E0F6E">
              <w:rPr>
                <w:rFonts w:cs="Arial"/>
                <w:sz w:val="14"/>
                <w:szCs w:val="14"/>
              </w:rPr>
              <w:t xml:space="preserve">  575</w:t>
            </w:r>
            <w:r>
              <w:rPr>
                <w:rFonts w:cs="Arial"/>
                <w:sz w:val="14"/>
                <w:szCs w:val="14"/>
              </w:rPr>
              <w:t>,</w:t>
            </w:r>
            <w:r w:rsidRPr="003E0F6E">
              <w:rPr>
                <w:rFonts w:cs="Arial"/>
                <w:sz w:val="14"/>
                <w:szCs w:val="14"/>
              </w:rPr>
              <w:t xml:space="preserve">426 </w:t>
            </w:r>
          </w:p>
        </w:tc>
        <w:tc>
          <w:tcPr>
            <w:tcW w:w="1418" w:type="dxa"/>
            <w:shd w:val="clear" w:color="auto" w:fill="auto"/>
            <w:vAlign w:val="center"/>
          </w:tcPr>
          <w:p w14:paraId="48A3E15F" w14:textId="77777777" w:rsidR="005357C6" w:rsidRDefault="005357C6" w:rsidP="00475564">
            <w:pPr>
              <w:spacing w:before="40" w:after="40" w:line="240" w:lineRule="auto"/>
              <w:jc w:val="right"/>
              <w:rPr>
                <w:rFonts w:cs="Arial"/>
                <w:b/>
                <w:sz w:val="14"/>
                <w:szCs w:val="14"/>
              </w:rPr>
            </w:pPr>
            <w:r w:rsidRPr="003E0F6E">
              <w:rPr>
                <w:rFonts w:cs="Arial"/>
                <w:sz w:val="14"/>
                <w:szCs w:val="14"/>
              </w:rPr>
              <w:t xml:space="preserve">  11</w:t>
            </w:r>
            <w:r>
              <w:rPr>
                <w:rFonts w:cs="Arial"/>
                <w:sz w:val="14"/>
                <w:szCs w:val="14"/>
              </w:rPr>
              <w:t>,</w:t>
            </w:r>
            <w:r w:rsidRPr="003E0F6E">
              <w:rPr>
                <w:rFonts w:cs="Arial"/>
                <w:sz w:val="14"/>
                <w:szCs w:val="14"/>
              </w:rPr>
              <w:t xml:space="preserve">071 </w:t>
            </w:r>
          </w:p>
        </w:tc>
        <w:tc>
          <w:tcPr>
            <w:tcW w:w="1418" w:type="dxa"/>
            <w:shd w:val="clear" w:color="auto" w:fill="auto"/>
            <w:vAlign w:val="center"/>
          </w:tcPr>
          <w:p w14:paraId="5209DD04" w14:textId="77777777" w:rsidR="005357C6" w:rsidRDefault="005357C6" w:rsidP="00475564">
            <w:pPr>
              <w:spacing w:before="40" w:after="40" w:line="240" w:lineRule="auto"/>
              <w:jc w:val="right"/>
              <w:rPr>
                <w:rFonts w:cs="Arial"/>
                <w:b/>
                <w:bCs/>
                <w:sz w:val="14"/>
                <w:szCs w:val="14"/>
              </w:rPr>
            </w:pPr>
            <w:r w:rsidRPr="003E0F6E">
              <w:rPr>
                <w:rFonts w:cs="Arial"/>
                <w:sz w:val="14"/>
                <w:szCs w:val="14"/>
              </w:rPr>
              <w:t xml:space="preserve">  -- </w:t>
            </w:r>
          </w:p>
        </w:tc>
        <w:tc>
          <w:tcPr>
            <w:tcW w:w="1418" w:type="dxa"/>
            <w:shd w:val="clear" w:color="auto" w:fill="auto"/>
            <w:vAlign w:val="center"/>
          </w:tcPr>
          <w:p w14:paraId="5F70C4AF" w14:textId="77777777" w:rsidR="005357C6" w:rsidRDefault="005357C6" w:rsidP="00475564">
            <w:pPr>
              <w:spacing w:before="40" w:after="40" w:line="240" w:lineRule="auto"/>
              <w:jc w:val="right"/>
              <w:rPr>
                <w:rFonts w:cs="Arial"/>
                <w:b/>
                <w:bCs/>
                <w:sz w:val="14"/>
                <w:szCs w:val="14"/>
              </w:rPr>
            </w:pPr>
            <w:r w:rsidRPr="003E0F6E">
              <w:rPr>
                <w:rFonts w:cs="Arial"/>
                <w:sz w:val="14"/>
                <w:szCs w:val="14"/>
              </w:rPr>
              <w:t xml:space="preserve">  -- </w:t>
            </w:r>
          </w:p>
        </w:tc>
        <w:tc>
          <w:tcPr>
            <w:tcW w:w="1418" w:type="dxa"/>
            <w:shd w:val="clear" w:color="auto" w:fill="auto"/>
            <w:vAlign w:val="center"/>
          </w:tcPr>
          <w:p w14:paraId="04364C70" w14:textId="77777777" w:rsidR="005357C6" w:rsidRDefault="005357C6" w:rsidP="00475564">
            <w:pPr>
              <w:spacing w:before="40" w:after="40" w:line="240" w:lineRule="auto"/>
              <w:jc w:val="right"/>
              <w:rPr>
                <w:rFonts w:cs="Arial"/>
                <w:b/>
                <w:bCs/>
                <w:sz w:val="14"/>
                <w:szCs w:val="14"/>
              </w:rPr>
            </w:pPr>
            <w:r w:rsidRPr="003E0F6E">
              <w:rPr>
                <w:rFonts w:cs="Arial"/>
                <w:sz w:val="14"/>
                <w:szCs w:val="14"/>
              </w:rPr>
              <w:t xml:space="preserve">  -- </w:t>
            </w:r>
          </w:p>
        </w:tc>
      </w:tr>
      <w:tr w:rsidR="005357C6" w:rsidRPr="00D44604" w14:paraId="713A19E9" w14:textId="77777777" w:rsidTr="00000E40">
        <w:trPr>
          <w:trHeight w:val="238"/>
          <w:jc w:val="center"/>
        </w:trPr>
        <w:tc>
          <w:tcPr>
            <w:tcW w:w="2551" w:type="dxa"/>
            <w:shd w:val="clear" w:color="auto" w:fill="auto"/>
          </w:tcPr>
          <w:p w14:paraId="6DAF97C6" w14:textId="77777777" w:rsidR="005357C6" w:rsidRPr="00D44604" w:rsidRDefault="005357C6" w:rsidP="00475564">
            <w:pPr>
              <w:spacing w:before="40" w:after="40" w:line="240" w:lineRule="auto"/>
              <w:ind w:left="113"/>
              <w:rPr>
                <w:rFonts w:eastAsia="Times New Roman" w:cs="Arial"/>
                <w:b/>
                <w:color w:val="000000"/>
                <w:spacing w:val="-2"/>
                <w:sz w:val="14"/>
                <w:szCs w:val="14"/>
                <w:lang w:eastAsia="pt-BR"/>
              </w:rPr>
            </w:pPr>
            <w:r w:rsidRPr="00D44604">
              <w:rPr>
                <w:rFonts w:eastAsia="Times New Roman" w:cs="Arial"/>
                <w:spacing w:val="-2"/>
                <w:sz w:val="14"/>
                <w:szCs w:val="18"/>
                <w:lang w:eastAsia="pt-BR"/>
              </w:rPr>
              <w:t>Technical provisions</w:t>
            </w:r>
          </w:p>
        </w:tc>
        <w:tc>
          <w:tcPr>
            <w:tcW w:w="1417" w:type="dxa"/>
            <w:shd w:val="clear" w:color="auto" w:fill="auto"/>
            <w:vAlign w:val="center"/>
          </w:tcPr>
          <w:p w14:paraId="045E6E43"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305</w:t>
            </w:r>
            <w:r>
              <w:rPr>
                <w:rFonts w:cs="Arial"/>
                <w:sz w:val="14"/>
                <w:szCs w:val="14"/>
              </w:rPr>
              <w:t>,</w:t>
            </w:r>
            <w:r w:rsidRPr="003E0F6E">
              <w:rPr>
                <w:rFonts w:cs="Arial"/>
                <w:sz w:val="14"/>
                <w:szCs w:val="14"/>
              </w:rPr>
              <w:t>195</w:t>
            </w:r>
            <w:r>
              <w:rPr>
                <w:rFonts w:cs="Arial"/>
                <w:sz w:val="14"/>
                <w:szCs w:val="14"/>
              </w:rPr>
              <w:t>,</w:t>
            </w:r>
            <w:r w:rsidRPr="003E0F6E">
              <w:rPr>
                <w:rFonts w:cs="Arial"/>
                <w:sz w:val="14"/>
                <w:szCs w:val="14"/>
              </w:rPr>
              <w:t xml:space="preserve">846 </w:t>
            </w:r>
          </w:p>
        </w:tc>
        <w:tc>
          <w:tcPr>
            <w:tcW w:w="1418" w:type="dxa"/>
            <w:shd w:val="clear" w:color="auto" w:fill="auto"/>
            <w:vAlign w:val="center"/>
          </w:tcPr>
          <w:p w14:paraId="35B8A009"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Pr>
                <w:rFonts w:eastAsia="Times New Roman" w:cs="Arial"/>
                <w:bCs/>
                <w:spacing w:val="-2"/>
                <w:sz w:val="14"/>
                <w:szCs w:val="14"/>
                <w:lang w:eastAsia="pt-BR"/>
              </w:rPr>
              <w:t>--</w:t>
            </w:r>
          </w:p>
        </w:tc>
        <w:tc>
          <w:tcPr>
            <w:tcW w:w="1418" w:type="dxa"/>
            <w:shd w:val="clear" w:color="auto" w:fill="auto"/>
            <w:vAlign w:val="center"/>
          </w:tcPr>
          <w:p w14:paraId="06E04CBE"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c>
          <w:tcPr>
            <w:tcW w:w="1418" w:type="dxa"/>
            <w:shd w:val="clear" w:color="auto" w:fill="auto"/>
            <w:vAlign w:val="center"/>
          </w:tcPr>
          <w:p w14:paraId="65ECD5D6"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c>
          <w:tcPr>
            <w:tcW w:w="1418" w:type="dxa"/>
            <w:shd w:val="clear" w:color="auto" w:fill="auto"/>
            <w:vAlign w:val="center"/>
          </w:tcPr>
          <w:p w14:paraId="49D45127"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r>
      <w:tr w:rsidR="005357C6" w:rsidRPr="00D44604" w14:paraId="06E8ED9E" w14:textId="77777777" w:rsidTr="00000E40">
        <w:trPr>
          <w:trHeight w:val="238"/>
          <w:jc w:val="center"/>
        </w:trPr>
        <w:tc>
          <w:tcPr>
            <w:tcW w:w="2551" w:type="dxa"/>
            <w:shd w:val="clear" w:color="auto" w:fill="auto"/>
          </w:tcPr>
          <w:p w14:paraId="5D00EA31" w14:textId="77777777" w:rsidR="005357C6" w:rsidRPr="00D44604" w:rsidRDefault="005357C6" w:rsidP="00475564">
            <w:pPr>
              <w:spacing w:before="40" w:after="40" w:line="240" w:lineRule="auto"/>
              <w:ind w:left="113"/>
              <w:rPr>
                <w:rFonts w:eastAsia="Times New Roman" w:cs="Arial"/>
                <w:b/>
                <w:color w:val="000000"/>
                <w:spacing w:val="-2"/>
                <w:sz w:val="14"/>
                <w:szCs w:val="14"/>
                <w:lang w:eastAsia="pt-BR"/>
              </w:rPr>
            </w:pPr>
            <w:r w:rsidRPr="00D44604">
              <w:rPr>
                <w:rFonts w:eastAsia="Times New Roman" w:cs="Arial"/>
                <w:spacing w:val="-2"/>
                <w:sz w:val="14"/>
                <w:szCs w:val="14"/>
                <w:lang w:eastAsia="pt-BR"/>
              </w:rPr>
              <w:t>Commissions to be appropriated</w:t>
            </w:r>
          </w:p>
        </w:tc>
        <w:tc>
          <w:tcPr>
            <w:tcW w:w="1417" w:type="dxa"/>
            <w:shd w:val="clear" w:color="auto" w:fill="auto"/>
            <w:vAlign w:val="center"/>
          </w:tcPr>
          <w:p w14:paraId="07253F08"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Pr>
                <w:rFonts w:eastAsia="Times New Roman" w:cs="Arial"/>
                <w:bCs/>
                <w:spacing w:val="-2"/>
                <w:sz w:val="14"/>
                <w:szCs w:val="14"/>
                <w:lang w:eastAsia="pt-BR"/>
              </w:rPr>
              <w:t>--</w:t>
            </w:r>
          </w:p>
        </w:tc>
        <w:tc>
          <w:tcPr>
            <w:tcW w:w="1418" w:type="dxa"/>
            <w:shd w:val="clear" w:color="auto" w:fill="auto"/>
            <w:vAlign w:val="center"/>
          </w:tcPr>
          <w:p w14:paraId="3AEFD898"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Pr>
                <w:rFonts w:eastAsia="Times New Roman" w:cs="Arial"/>
                <w:bCs/>
                <w:spacing w:val="-2"/>
                <w:sz w:val="14"/>
                <w:szCs w:val="14"/>
                <w:lang w:eastAsia="pt-BR"/>
              </w:rPr>
              <w:t>--</w:t>
            </w:r>
          </w:p>
        </w:tc>
        <w:tc>
          <w:tcPr>
            <w:tcW w:w="1418" w:type="dxa"/>
            <w:shd w:val="clear" w:color="auto" w:fill="auto"/>
            <w:vAlign w:val="center"/>
          </w:tcPr>
          <w:p w14:paraId="1E550C06"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c>
          <w:tcPr>
            <w:tcW w:w="1418" w:type="dxa"/>
            <w:shd w:val="clear" w:color="auto" w:fill="auto"/>
            <w:vAlign w:val="center"/>
          </w:tcPr>
          <w:p w14:paraId="3FBAFCA0"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w:t>
            </w:r>
            <w:r>
              <w:rPr>
                <w:rFonts w:cs="Arial"/>
                <w:sz w:val="14"/>
                <w:szCs w:val="14"/>
              </w:rPr>
              <w:t>,</w:t>
            </w:r>
            <w:r w:rsidRPr="003E0F6E">
              <w:rPr>
                <w:rFonts w:cs="Arial"/>
                <w:sz w:val="14"/>
                <w:szCs w:val="14"/>
              </w:rPr>
              <w:t>787</w:t>
            </w:r>
            <w:r>
              <w:rPr>
                <w:rFonts w:cs="Arial"/>
                <w:sz w:val="14"/>
                <w:szCs w:val="14"/>
              </w:rPr>
              <w:t>,</w:t>
            </w:r>
            <w:r w:rsidRPr="003E0F6E">
              <w:rPr>
                <w:rFonts w:cs="Arial"/>
                <w:sz w:val="14"/>
                <w:szCs w:val="14"/>
              </w:rPr>
              <w:t xml:space="preserve">547 </w:t>
            </w:r>
          </w:p>
        </w:tc>
        <w:tc>
          <w:tcPr>
            <w:tcW w:w="1418" w:type="dxa"/>
            <w:shd w:val="clear" w:color="auto" w:fill="auto"/>
            <w:vAlign w:val="center"/>
          </w:tcPr>
          <w:p w14:paraId="037A53AE"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r>
      <w:tr w:rsidR="005357C6" w:rsidRPr="00D44604" w14:paraId="09554FED" w14:textId="77777777" w:rsidTr="00000E40">
        <w:trPr>
          <w:trHeight w:val="238"/>
          <w:jc w:val="center"/>
        </w:trPr>
        <w:tc>
          <w:tcPr>
            <w:tcW w:w="2551" w:type="dxa"/>
            <w:shd w:val="clear" w:color="auto" w:fill="auto"/>
          </w:tcPr>
          <w:p w14:paraId="30F06ABD" w14:textId="77777777" w:rsidR="005357C6" w:rsidRPr="00D44604" w:rsidRDefault="005357C6" w:rsidP="00475564">
            <w:pPr>
              <w:spacing w:before="40" w:after="40" w:line="240" w:lineRule="auto"/>
              <w:ind w:left="113"/>
              <w:rPr>
                <w:rFonts w:eastAsia="Times New Roman" w:cs="Arial"/>
                <w:b/>
                <w:color w:val="000000"/>
                <w:spacing w:val="-2"/>
                <w:sz w:val="14"/>
                <w:szCs w:val="14"/>
                <w:lang w:eastAsia="pt-BR"/>
              </w:rPr>
            </w:pPr>
            <w:r w:rsidRPr="00D44604">
              <w:rPr>
                <w:rFonts w:eastAsia="Times New Roman" w:cs="Arial"/>
                <w:spacing w:val="-2"/>
                <w:sz w:val="14"/>
                <w:szCs w:val="18"/>
                <w:lang w:eastAsia="pt-BR"/>
              </w:rPr>
              <w:t>Other non-current liabilities</w:t>
            </w:r>
          </w:p>
        </w:tc>
        <w:tc>
          <w:tcPr>
            <w:tcW w:w="1417" w:type="dxa"/>
            <w:shd w:val="clear" w:color="auto" w:fill="auto"/>
            <w:vAlign w:val="center"/>
          </w:tcPr>
          <w:p w14:paraId="123BB22C"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24</w:t>
            </w:r>
            <w:r>
              <w:rPr>
                <w:rFonts w:cs="Arial"/>
                <w:sz w:val="14"/>
                <w:szCs w:val="14"/>
              </w:rPr>
              <w:t>,</w:t>
            </w:r>
            <w:r w:rsidRPr="003E0F6E">
              <w:rPr>
                <w:rFonts w:cs="Arial"/>
                <w:sz w:val="14"/>
                <w:szCs w:val="14"/>
              </w:rPr>
              <w:t xml:space="preserve">174 </w:t>
            </w:r>
          </w:p>
        </w:tc>
        <w:tc>
          <w:tcPr>
            <w:tcW w:w="1418" w:type="dxa"/>
            <w:shd w:val="clear" w:color="auto" w:fill="auto"/>
            <w:vAlign w:val="center"/>
          </w:tcPr>
          <w:p w14:paraId="172F0FD6"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w:t>
            </w:r>
            <w:r>
              <w:rPr>
                <w:rFonts w:cs="Arial"/>
                <w:sz w:val="14"/>
                <w:szCs w:val="14"/>
              </w:rPr>
              <w:t>,</w:t>
            </w:r>
            <w:r w:rsidRPr="003E0F6E">
              <w:rPr>
                <w:rFonts w:cs="Arial"/>
                <w:sz w:val="14"/>
                <w:szCs w:val="14"/>
              </w:rPr>
              <w:t>131</w:t>
            </w:r>
            <w:r>
              <w:rPr>
                <w:rFonts w:cs="Arial"/>
                <w:sz w:val="14"/>
                <w:szCs w:val="14"/>
              </w:rPr>
              <w:t>,</w:t>
            </w:r>
            <w:r w:rsidRPr="003E0F6E">
              <w:rPr>
                <w:rFonts w:cs="Arial"/>
                <w:sz w:val="14"/>
                <w:szCs w:val="14"/>
              </w:rPr>
              <w:t xml:space="preserve">678 </w:t>
            </w:r>
          </w:p>
        </w:tc>
        <w:tc>
          <w:tcPr>
            <w:tcW w:w="1418" w:type="dxa"/>
            <w:shd w:val="clear" w:color="auto" w:fill="auto"/>
            <w:vAlign w:val="center"/>
          </w:tcPr>
          <w:p w14:paraId="037F5405"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251 </w:t>
            </w:r>
          </w:p>
        </w:tc>
        <w:tc>
          <w:tcPr>
            <w:tcW w:w="1418" w:type="dxa"/>
            <w:shd w:val="clear" w:color="auto" w:fill="auto"/>
            <w:vAlign w:val="center"/>
          </w:tcPr>
          <w:p w14:paraId="46C6FE09"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8</w:t>
            </w:r>
            <w:r>
              <w:rPr>
                <w:rFonts w:cs="Arial"/>
                <w:sz w:val="14"/>
                <w:szCs w:val="14"/>
              </w:rPr>
              <w:t>,</w:t>
            </w:r>
            <w:r w:rsidRPr="003E0F6E">
              <w:rPr>
                <w:rFonts w:cs="Arial"/>
                <w:sz w:val="14"/>
                <w:szCs w:val="14"/>
              </w:rPr>
              <w:t xml:space="preserve">791 </w:t>
            </w:r>
          </w:p>
        </w:tc>
        <w:tc>
          <w:tcPr>
            <w:tcW w:w="1418" w:type="dxa"/>
            <w:shd w:val="clear" w:color="auto" w:fill="auto"/>
            <w:vAlign w:val="center"/>
          </w:tcPr>
          <w:p w14:paraId="5B0C7E47"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r>
      <w:tr w:rsidR="005357C6" w:rsidRPr="00D44604" w14:paraId="46D87F15" w14:textId="77777777" w:rsidTr="00000E40">
        <w:trPr>
          <w:trHeight w:val="238"/>
          <w:jc w:val="center"/>
        </w:trPr>
        <w:tc>
          <w:tcPr>
            <w:tcW w:w="2551" w:type="dxa"/>
            <w:shd w:val="clear" w:color="auto" w:fill="auto"/>
          </w:tcPr>
          <w:p w14:paraId="28E7DA51" w14:textId="77777777" w:rsidR="005357C6" w:rsidRPr="00D44604" w:rsidRDefault="005357C6" w:rsidP="00475564">
            <w:pPr>
              <w:spacing w:before="40" w:after="40" w:line="240" w:lineRule="auto"/>
              <w:rPr>
                <w:rFonts w:eastAsia="Times New Roman" w:cs="Arial"/>
                <w:b/>
                <w:color w:val="000000"/>
                <w:spacing w:val="-2"/>
                <w:sz w:val="14"/>
                <w:szCs w:val="14"/>
                <w:lang w:eastAsia="pt-BR"/>
              </w:rPr>
            </w:pPr>
            <w:r w:rsidRPr="00D44604">
              <w:rPr>
                <w:rFonts w:eastAsia="Times New Roman" w:cs="Times New Roman"/>
                <w:b/>
                <w:spacing w:val="-2"/>
                <w:sz w:val="14"/>
                <w:szCs w:val="18"/>
                <w:lang w:eastAsia="pt-BR"/>
              </w:rPr>
              <w:t>Net worth</w:t>
            </w:r>
          </w:p>
        </w:tc>
        <w:tc>
          <w:tcPr>
            <w:tcW w:w="1417" w:type="dxa"/>
            <w:shd w:val="clear" w:color="auto" w:fill="auto"/>
            <w:vAlign w:val="center"/>
          </w:tcPr>
          <w:p w14:paraId="61AF1723"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w:t>
            </w:r>
            <w:r>
              <w:rPr>
                <w:rFonts w:cs="Arial"/>
                <w:b/>
                <w:sz w:val="14"/>
                <w:szCs w:val="14"/>
              </w:rPr>
              <w:t>,</w:t>
            </w:r>
            <w:r w:rsidRPr="003E0F6E">
              <w:rPr>
                <w:rFonts w:cs="Arial"/>
                <w:b/>
                <w:sz w:val="14"/>
                <w:szCs w:val="14"/>
              </w:rPr>
              <w:t>048</w:t>
            </w:r>
            <w:r>
              <w:rPr>
                <w:rFonts w:cs="Arial"/>
                <w:b/>
                <w:sz w:val="14"/>
                <w:szCs w:val="14"/>
              </w:rPr>
              <w:t>,</w:t>
            </w:r>
            <w:r w:rsidRPr="003E0F6E">
              <w:rPr>
                <w:rFonts w:cs="Arial"/>
                <w:b/>
                <w:sz w:val="14"/>
                <w:szCs w:val="14"/>
              </w:rPr>
              <w:t xml:space="preserve">025 </w:t>
            </w:r>
          </w:p>
        </w:tc>
        <w:tc>
          <w:tcPr>
            <w:tcW w:w="1418" w:type="dxa"/>
            <w:shd w:val="clear" w:color="auto" w:fill="auto"/>
            <w:vAlign w:val="center"/>
          </w:tcPr>
          <w:p w14:paraId="15177F05"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649</w:t>
            </w:r>
            <w:r>
              <w:rPr>
                <w:rFonts w:cs="Arial"/>
                <w:b/>
                <w:sz w:val="14"/>
                <w:szCs w:val="14"/>
              </w:rPr>
              <w:t>,</w:t>
            </w:r>
            <w:r w:rsidRPr="003E0F6E">
              <w:rPr>
                <w:rFonts w:cs="Arial"/>
                <w:b/>
                <w:sz w:val="14"/>
                <w:szCs w:val="14"/>
              </w:rPr>
              <w:t xml:space="preserve">780 </w:t>
            </w:r>
          </w:p>
        </w:tc>
        <w:tc>
          <w:tcPr>
            <w:tcW w:w="1418" w:type="dxa"/>
            <w:shd w:val="clear" w:color="auto" w:fill="auto"/>
            <w:vAlign w:val="center"/>
          </w:tcPr>
          <w:p w14:paraId="4170AC79"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28</w:t>
            </w:r>
            <w:r>
              <w:rPr>
                <w:rFonts w:cs="Arial"/>
                <w:b/>
                <w:sz w:val="14"/>
                <w:szCs w:val="14"/>
              </w:rPr>
              <w:t>,</w:t>
            </w:r>
            <w:r w:rsidRPr="003E0F6E">
              <w:rPr>
                <w:rFonts w:cs="Arial"/>
                <w:b/>
                <w:sz w:val="14"/>
                <w:szCs w:val="14"/>
              </w:rPr>
              <w:t xml:space="preserve">644 </w:t>
            </w:r>
          </w:p>
        </w:tc>
        <w:tc>
          <w:tcPr>
            <w:tcW w:w="1418" w:type="dxa"/>
            <w:shd w:val="clear" w:color="auto" w:fill="auto"/>
            <w:vAlign w:val="center"/>
          </w:tcPr>
          <w:p w14:paraId="1A9566A4"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w:t>
            </w:r>
            <w:r>
              <w:rPr>
                <w:rFonts w:cs="Arial"/>
                <w:b/>
                <w:sz w:val="14"/>
                <w:szCs w:val="14"/>
              </w:rPr>
              <w:t>,</w:t>
            </w:r>
            <w:r w:rsidRPr="003E0F6E">
              <w:rPr>
                <w:rFonts w:cs="Arial"/>
                <w:b/>
                <w:sz w:val="14"/>
                <w:szCs w:val="14"/>
              </w:rPr>
              <w:t xml:space="preserve">338 </w:t>
            </w:r>
          </w:p>
        </w:tc>
        <w:tc>
          <w:tcPr>
            <w:tcW w:w="1418" w:type="dxa"/>
            <w:shd w:val="clear" w:color="auto" w:fill="auto"/>
            <w:vAlign w:val="center"/>
          </w:tcPr>
          <w:p w14:paraId="708F5C65"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w:t>
            </w:r>
            <w:r>
              <w:rPr>
                <w:rFonts w:cs="Arial"/>
                <w:b/>
                <w:sz w:val="14"/>
                <w:szCs w:val="14"/>
              </w:rPr>
              <w:t>,</w:t>
            </w:r>
            <w:r w:rsidRPr="003E0F6E">
              <w:rPr>
                <w:rFonts w:cs="Arial"/>
                <w:b/>
                <w:sz w:val="14"/>
                <w:szCs w:val="14"/>
              </w:rPr>
              <w:t xml:space="preserve">008 </w:t>
            </w:r>
          </w:p>
        </w:tc>
      </w:tr>
      <w:tr w:rsidR="005357C6" w:rsidRPr="00C71FFF" w14:paraId="4CA2B927" w14:textId="77777777" w:rsidTr="00000E40">
        <w:trPr>
          <w:trHeight w:val="238"/>
          <w:jc w:val="center"/>
        </w:trPr>
        <w:tc>
          <w:tcPr>
            <w:tcW w:w="2551" w:type="dxa"/>
            <w:shd w:val="clear" w:color="auto" w:fill="auto"/>
          </w:tcPr>
          <w:p w14:paraId="7A903426" w14:textId="77777777" w:rsidR="005357C6" w:rsidRPr="00C71FFF" w:rsidRDefault="005357C6" w:rsidP="00475564">
            <w:pPr>
              <w:spacing w:before="40" w:after="40" w:line="240" w:lineRule="auto"/>
              <w:rPr>
                <w:rFonts w:eastAsia="Times New Roman" w:cs="Times New Roman"/>
                <w:b/>
                <w:spacing w:val="-2"/>
                <w:sz w:val="14"/>
                <w:szCs w:val="18"/>
                <w:lang w:eastAsia="pt-BR"/>
              </w:rPr>
            </w:pPr>
            <w:r w:rsidRPr="00C71FFF">
              <w:rPr>
                <w:rFonts w:eastAsia="Times New Roman" w:cs="Times New Roman"/>
                <w:b/>
                <w:spacing w:val="-2"/>
                <w:sz w:val="14"/>
                <w:szCs w:val="18"/>
                <w:lang w:eastAsia="pt-BR"/>
              </w:rPr>
              <w:t>Attributable to BB Seguridade</w:t>
            </w:r>
          </w:p>
        </w:tc>
        <w:tc>
          <w:tcPr>
            <w:tcW w:w="1417" w:type="dxa"/>
            <w:shd w:val="clear" w:color="auto" w:fill="auto"/>
            <w:vAlign w:val="center"/>
          </w:tcPr>
          <w:p w14:paraId="092D88C0" w14:textId="77777777" w:rsidR="005357C6" w:rsidRPr="00C71FFF" w:rsidRDefault="005357C6" w:rsidP="00475564">
            <w:pPr>
              <w:spacing w:before="40" w:after="40" w:line="240" w:lineRule="auto"/>
              <w:jc w:val="right"/>
              <w:rPr>
                <w:rFonts w:eastAsia="Times New Roman" w:cs="Times New Roman"/>
                <w:b/>
                <w:spacing w:val="-2"/>
                <w:sz w:val="14"/>
                <w:szCs w:val="18"/>
                <w:lang w:eastAsia="pt-BR"/>
              </w:rPr>
            </w:pPr>
            <w:r w:rsidRPr="003E0F6E">
              <w:rPr>
                <w:rFonts w:cs="Arial"/>
                <w:b/>
                <w:sz w:val="14"/>
                <w:szCs w:val="14"/>
              </w:rPr>
              <w:t xml:space="preserve"> 4</w:t>
            </w:r>
            <w:r>
              <w:rPr>
                <w:rFonts w:cs="Arial"/>
                <w:b/>
                <w:sz w:val="14"/>
                <w:szCs w:val="14"/>
              </w:rPr>
              <w:t>,</w:t>
            </w:r>
            <w:r w:rsidRPr="003E0F6E">
              <w:rPr>
                <w:rFonts w:cs="Arial"/>
                <w:b/>
                <w:sz w:val="14"/>
                <w:szCs w:val="14"/>
              </w:rPr>
              <w:t>535</w:t>
            </w:r>
            <w:r>
              <w:rPr>
                <w:rFonts w:cs="Arial"/>
                <w:b/>
                <w:sz w:val="14"/>
                <w:szCs w:val="14"/>
              </w:rPr>
              <w:t>,</w:t>
            </w:r>
            <w:r w:rsidRPr="003E0F6E">
              <w:rPr>
                <w:rFonts w:cs="Arial"/>
                <w:b/>
                <w:sz w:val="14"/>
                <w:szCs w:val="14"/>
              </w:rPr>
              <w:t xml:space="preserve">717 </w:t>
            </w:r>
          </w:p>
        </w:tc>
        <w:tc>
          <w:tcPr>
            <w:tcW w:w="1418" w:type="dxa"/>
            <w:shd w:val="clear" w:color="auto" w:fill="auto"/>
            <w:vAlign w:val="center"/>
          </w:tcPr>
          <w:p w14:paraId="32E3D371" w14:textId="77777777" w:rsidR="005357C6" w:rsidRPr="00C71FFF" w:rsidRDefault="005357C6" w:rsidP="00475564">
            <w:pPr>
              <w:spacing w:before="40" w:after="40" w:line="240" w:lineRule="auto"/>
              <w:jc w:val="right"/>
              <w:rPr>
                <w:rFonts w:eastAsia="Times New Roman" w:cs="Times New Roman"/>
                <w:b/>
                <w:spacing w:val="-2"/>
                <w:sz w:val="14"/>
                <w:szCs w:val="18"/>
                <w:lang w:eastAsia="pt-BR"/>
              </w:rPr>
            </w:pPr>
            <w:r w:rsidRPr="003E0F6E">
              <w:rPr>
                <w:rFonts w:cs="Arial"/>
                <w:b/>
                <w:sz w:val="14"/>
                <w:szCs w:val="14"/>
              </w:rPr>
              <w:t xml:space="preserve"> 433</w:t>
            </w:r>
            <w:r>
              <w:rPr>
                <w:rFonts w:cs="Arial"/>
                <w:b/>
                <w:sz w:val="14"/>
                <w:szCs w:val="14"/>
              </w:rPr>
              <w:t>,</w:t>
            </w:r>
            <w:r w:rsidRPr="003E0F6E">
              <w:rPr>
                <w:rFonts w:cs="Arial"/>
                <w:b/>
                <w:sz w:val="14"/>
                <w:szCs w:val="14"/>
              </w:rPr>
              <w:t xml:space="preserve">841 </w:t>
            </w:r>
          </w:p>
        </w:tc>
        <w:tc>
          <w:tcPr>
            <w:tcW w:w="1418" w:type="dxa"/>
            <w:shd w:val="clear" w:color="auto" w:fill="auto"/>
            <w:vAlign w:val="center"/>
          </w:tcPr>
          <w:p w14:paraId="69335789" w14:textId="77777777" w:rsidR="005357C6" w:rsidRPr="00C71FFF" w:rsidRDefault="005357C6" w:rsidP="00475564">
            <w:pPr>
              <w:spacing w:before="40" w:after="40" w:line="240" w:lineRule="auto"/>
              <w:jc w:val="right"/>
              <w:rPr>
                <w:rFonts w:eastAsia="Times New Roman" w:cs="Times New Roman"/>
                <w:b/>
                <w:spacing w:val="-2"/>
                <w:sz w:val="14"/>
                <w:szCs w:val="18"/>
                <w:lang w:eastAsia="pt-BR"/>
              </w:rPr>
            </w:pPr>
            <w:r w:rsidRPr="003E0F6E">
              <w:rPr>
                <w:rFonts w:cs="Arial"/>
                <w:b/>
                <w:sz w:val="14"/>
                <w:szCs w:val="14"/>
              </w:rPr>
              <w:t xml:space="preserve"> 21</w:t>
            </w:r>
            <w:r>
              <w:rPr>
                <w:rFonts w:cs="Arial"/>
                <w:b/>
                <w:sz w:val="14"/>
                <w:szCs w:val="14"/>
              </w:rPr>
              <w:t>,</w:t>
            </w:r>
            <w:r w:rsidRPr="003E0F6E">
              <w:rPr>
                <w:rFonts w:cs="Arial"/>
                <w:b/>
                <w:sz w:val="14"/>
                <w:szCs w:val="14"/>
              </w:rPr>
              <w:t xml:space="preserve">483 </w:t>
            </w:r>
          </w:p>
        </w:tc>
        <w:tc>
          <w:tcPr>
            <w:tcW w:w="1418" w:type="dxa"/>
            <w:shd w:val="clear" w:color="auto" w:fill="auto"/>
            <w:vAlign w:val="center"/>
          </w:tcPr>
          <w:p w14:paraId="71B21987" w14:textId="77777777" w:rsidR="005357C6" w:rsidRPr="00C71FFF" w:rsidRDefault="005357C6" w:rsidP="00475564">
            <w:pPr>
              <w:spacing w:before="40" w:after="40" w:line="240" w:lineRule="auto"/>
              <w:jc w:val="right"/>
              <w:rPr>
                <w:rFonts w:eastAsia="Times New Roman" w:cs="Times New Roman"/>
                <w:b/>
                <w:spacing w:val="-2"/>
                <w:sz w:val="14"/>
                <w:szCs w:val="18"/>
                <w:lang w:eastAsia="pt-BR"/>
              </w:rPr>
            </w:pPr>
            <w:r w:rsidRPr="003E0F6E">
              <w:rPr>
                <w:rFonts w:cs="Arial"/>
                <w:b/>
                <w:sz w:val="14"/>
                <w:szCs w:val="14"/>
              </w:rPr>
              <w:t>6</w:t>
            </w:r>
            <w:r>
              <w:rPr>
                <w:rFonts w:cs="Arial"/>
                <w:b/>
                <w:sz w:val="14"/>
                <w:szCs w:val="14"/>
              </w:rPr>
              <w:t>,</w:t>
            </w:r>
            <w:r w:rsidRPr="003E0F6E">
              <w:rPr>
                <w:rFonts w:cs="Arial"/>
                <w:b/>
                <w:sz w:val="14"/>
                <w:szCs w:val="14"/>
              </w:rPr>
              <w:t>338</w:t>
            </w:r>
          </w:p>
        </w:tc>
        <w:tc>
          <w:tcPr>
            <w:tcW w:w="1418" w:type="dxa"/>
            <w:shd w:val="clear" w:color="auto" w:fill="auto"/>
            <w:vAlign w:val="center"/>
          </w:tcPr>
          <w:p w14:paraId="588A4C6C" w14:textId="77777777" w:rsidR="005357C6" w:rsidRPr="00C71FFF" w:rsidRDefault="005357C6" w:rsidP="00475564">
            <w:pPr>
              <w:spacing w:before="40" w:after="40" w:line="240" w:lineRule="auto"/>
              <w:jc w:val="right"/>
              <w:rPr>
                <w:rFonts w:eastAsia="Times New Roman" w:cs="Times New Roman"/>
                <w:b/>
                <w:spacing w:val="-2"/>
                <w:sz w:val="14"/>
                <w:szCs w:val="18"/>
                <w:lang w:eastAsia="pt-BR"/>
              </w:rPr>
            </w:pPr>
            <w:r w:rsidRPr="003E0F6E">
              <w:rPr>
                <w:rFonts w:cs="Arial"/>
                <w:b/>
                <w:sz w:val="14"/>
                <w:szCs w:val="14"/>
              </w:rPr>
              <w:t xml:space="preserve"> 1</w:t>
            </w:r>
            <w:r>
              <w:rPr>
                <w:rFonts w:cs="Arial"/>
                <w:b/>
                <w:sz w:val="14"/>
                <w:szCs w:val="14"/>
              </w:rPr>
              <w:t>,</w:t>
            </w:r>
            <w:r w:rsidRPr="003E0F6E">
              <w:rPr>
                <w:rFonts w:cs="Arial"/>
                <w:b/>
                <w:sz w:val="14"/>
                <w:szCs w:val="14"/>
              </w:rPr>
              <w:t xml:space="preserve">506 </w:t>
            </w:r>
          </w:p>
        </w:tc>
      </w:tr>
      <w:tr w:rsidR="005357C6" w:rsidRPr="00D44604" w14:paraId="7D219C5A" w14:textId="77777777" w:rsidTr="00000E40">
        <w:trPr>
          <w:trHeight w:val="238"/>
          <w:jc w:val="center"/>
        </w:trPr>
        <w:tc>
          <w:tcPr>
            <w:tcW w:w="2551" w:type="dxa"/>
            <w:shd w:val="clear" w:color="auto" w:fill="auto"/>
          </w:tcPr>
          <w:p w14:paraId="19A5F8EB" w14:textId="77777777" w:rsidR="005357C6" w:rsidRPr="00D44604" w:rsidRDefault="005357C6" w:rsidP="00475564">
            <w:pPr>
              <w:spacing w:before="40" w:after="40" w:line="240" w:lineRule="auto"/>
              <w:ind w:left="113"/>
              <w:rPr>
                <w:rFonts w:eastAsia="Times New Roman" w:cs="Arial"/>
                <w:b/>
                <w:color w:val="000000"/>
                <w:spacing w:val="-2"/>
                <w:sz w:val="14"/>
                <w:szCs w:val="14"/>
                <w:lang w:eastAsia="pt-BR"/>
              </w:rPr>
            </w:pPr>
            <w:r>
              <w:rPr>
                <w:rFonts w:eastAsia="Times New Roman" w:cs="Times New Roman"/>
                <w:spacing w:val="-2"/>
                <w:sz w:val="14"/>
                <w:szCs w:val="18"/>
                <w:lang w:eastAsia="pt-BR"/>
              </w:rPr>
              <w:t>Adjustments</w:t>
            </w:r>
            <w:r w:rsidRPr="00D44604">
              <w:rPr>
                <w:rFonts w:eastAsia="Times New Roman" w:cs="Times New Roman"/>
                <w:spacing w:val="-2"/>
                <w:sz w:val="14"/>
                <w:szCs w:val="18"/>
                <w:lang w:eastAsia="pt-BR"/>
              </w:rPr>
              <w:t xml:space="preserve"> </w:t>
            </w:r>
            <w:r w:rsidRPr="00D44604">
              <w:rPr>
                <w:rFonts w:eastAsia="Times New Roman" w:cs="Times New Roman"/>
                <w:spacing w:val="-2"/>
                <w:sz w:val="14"/>
                <w:szCs w:val="18"/>
                <w:vertAlign w:val="superscript"/>
                <w:lang w:eastAsia="pt-BR"/>
              </w:rPr>
              <w:t>(1)</w:t>
            </w:r>
          </w:p>
        </w:tc>
        <w:tc>
          <w:tcPr>
            <w:tcW w:w="1417" w:type="dxa"/>
            <w:shd w:val="clear" w:color="auto" w:fill="auto"/>
            <w:vAlign w:val="center"/>
          </w:tcPr>
          <w:p w14:paraId="0F4B0A7E"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eastAsia="Times New Roman" w:cs="Arial"/>
                <w:spacing w:val="-2"/>
                <w:sz w:val="14"/>
                <w:szCs w:val="14"/>
                <w:lang w:eastAsia="pt-BR"/>
              </w:rPr>
              <w:t>(22</w:t>
            </w:r>
            <w:r>
              <w:rPr>
                <w:rFonts w:eastAsia="Times New Roman" w:cs="Arial"/>
                <w:spacing w:val="-2"/>
                <w:sz w:val="14"/>
                <w:szCs w:val="14"/>
                <w:lang w:eastAsia="pt-BR"/>
              </w:rPr>
              <w:t>,</w:t>
            </w:r>
            <w:r w:rsidRPr="003E0F6E">
              <w:rPr>
                <w:rFonts w:eastAsia="Times New Roman" w:cs="Arial"/>
                <w:spacing w:val="-2"/>
                <w:sz w:val="14"/>
                <w:szCs w:val="14"/>
                <w:lang w:eastAsia="pt-BR"/>
              </w:rPr>
              <w:t>831)</w:t>
            </w:r>
          </w:p>
        </w:tc>
        <w:tc>
          <w:tcPr>
            <w:tcW w:w="1418" w:type="dxa"/>
            <w:shd w:val="clear" w:color="auto" w:fill="auto"/>
            <w:vAlign w:val="center"/>
          </w:tcPr>
          <w:p w14:paraId="4CDE4350" w14:textId="77777777" w:rsidR="005357C6" w:rsidRPr="00D44604" w:rsidRDefault="005357C6" w:rsidP="00475564">
            <w:pPr>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110,749</w:t>
            </w:r>
          </w:p>
        </w:tc>
        <w:tc>
          <w:tcPr>
            <w:tcW w:w="1418" w:type="dxa"/>
            <w:shd w:val="clear" w:color="auto" w:fill="auto"/>
            <w:vAlign w:val="center"/>
          </w:tcPr>
          <w:p w14:paraId="05C92F1B"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eastAsia="Times New Roman" w:cs="Arial"/>
                <w:spacing w:val="-2"/>
                <w:sz w:val="14"/>
                <w:szCs w:val="14"/>
                <w:lang w:eastAsia="pt-BR"/>
              </w:rPr>
              <w:t>--</w:t>
            </w:r>
          </w:p>
        </w:tc>
        <w:tc>
          <w:tcPr>
            <w:tcW w:w="1418" w:type="dxa"/>
            <w:shd w:val="clear" w:color="auto" w:fill="auto"/>
            <w:vAlign w:val="center"/>
          </w:tcPr>
          <w:p w14:paraId="1220C686"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eastAsia="Times New Roman" w:cs="Arial"/>
                <w:spacing w:val="-2"/>
                <w:sz w:val="14"/>
                <w:szCs w:val="14"/>
                <w:lang w:eastAsia="pt-BR"/>
              </w:rPr>
              <w:t>--</w:t>
            </w:r>
          </w:p>
        </w:tc>
        <w:tc>
          <w:tcPr>
            <w:tcW w:w="1418" w:type="dxa"/>
            <w:shd w:val="clear" w:color="auto" w:fill="auto"/>
            <w:vAlign w:val="center"/>
          </w:tcPr>
          <w:p w14:paraId="0E6CC080" w14:textId="77777777" w:rsidR="005357C6" w:rsidRPr="00D44604" w:rsidRDefault="005357C6" w:rsidP="00475564">
            <w:pPr>
              <w:spacing w:before="40" w:after="40" w:line="240" w:lineRule="auto"/>
              <w:jc w:val="right"/>
              <w:rPr>
                <w:rFonts w:eastAsia="Times New Roman" w:cs="Arial"/>
                <w:spacing w:val="-2"/>
                <w:sz w:val="14"/>
                <w:szCs w:val="14"/>
                <w:lang w:eastAsia="pt-BR"/>
              </w:rPr>
            </w:pPr>
            <w:r w:rsidRPr="003E0F6E">
              <w:rPr>
                <w:rFonts w:eastAsia="Times New Roman" w:cs="Arial"/>
                <w:spacing w:val="-2"/>
                <w:sz w:val="14"/>
                <w:szCs w:val="14"/>
                <w:lang w:eastAsia="pt-BR"/>
              </w:rPr>
              <w:t>--</w:t>
            </w:r>
          </w:p>
        </w:tc>
      </w:tr>
      <w:tr w:rsidR="005357C6" w:rsidRPr="00D44604" w14:paraId="507D3696" w14:textId="77777777" w:rsidTr="00000E40">
        <w:trPr>
          <w:trHeight w:val="238"/>
          <w:jc w:val="center"/>
        </w:trPr>
        <w:tc>
          <w:tcPr>
            <w:tcW w:w="2551" w:type="dxa"/>
            <w:tcBorders>
              <w:bottom w:val="single" w:sz="2" w:space="0" w:color="1F4E79" w:themeColor="accent1" w:themeShade="80"/>
            </w:tcBorders>
            <w:shd w:val="clear" w:color="auto" w:fill="auto"/>
          </w:tcPr>
          <w:p w14:paraId="0D782F32" w14:textId="77777777" w:rsidR="005357C6" w:rsidRPr="00D44604" w:rsidRDefault="005357C6" w:rsidP="00475564">
            <w:pPr>
              <w:spacing w:before="40" w:after="40" w:line="240" w:lineRule="auto"/>
              <w:rPr>
                <w:rFonts w:eastAsia="Times New Roman" w:cs="Arial"/>
                <w:b/>
                <w:spacing w:val="-2"/>
                <w:sz w:val="14"/>
                <w:szCs w:val="14"/>
                <w:lang w:eastAsia="pt-BR"/>
              </w:rPr>
            </w:pPr>
            <w:r w:rsidRPr="00D44604">
              <w:rPr>
                <w:rFonts w:eastAsia="Times New Roman" w:cs="Times New Roman"/>
                <w:b/>
                <w:spacing w:val="-2"/>
                <w:sz w:val="14"/>
                <w:szCs w:val="18"/>
                <w:lang w:eastAsia="pt-BR"/>
              </w:rPr>
              <w:t>Investment balance</w:t>
            </w:r>
          </w:p>
        </w:tc>
        <w:tc>
          <w:tcPr>
            <w:tcW w:w="1417" w:type="dxa"/>
            <w:tcBorders>
              <w:bottom w:val="single" w:sz="2" w:space="0" w:color="1F4E79" w:themeColor="accent1" w:themeShade="80"/>
            </w:tcBorders>
            <w:shd w:val="clear" w:color="auto" w:fill="auto"/>
            <w:vAlign w:val="center"/>
          </w:tcPr>
          <w:p w14:paraId="56B74670"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w:t>
            </w:r>
            <w:r>
              <w:rPr>
                <w:rFonts w:cs="Arial"/>
                <w:b/>
                <w:sz w:val="14"/>
                <w:szCs w:val="14"/>
              </w:rPr>
              <w:t>,</w:t>
            </w:r>
            <w:r w:rsidRPr="003E0F6E">
              <w:rPr>
                <w:rFonts w:cs="Arial"/>
                <w:b/>
                <w:sz w:val="14"/>
                <w:szCs w:val="14"/>
              </w:rPr>
              <w:t>512</w:t>
            </w:r>
            <w:r>
              <w:rPr>
                <w:rFonts w:cs="Arial"/>
                <w:b/>
                <w:sz w:val="14"/>
                <w:szCs w:val="14"/>
              </w:rPr>
              <w:t>,</w:t>
            </w:r>
            <w:r w:rsidRPr="003E0F6E">
              <w:rPr>
                <w:rFonts w:cs="Arial"/>
                <w:b/>
                <w:sz w:val="14"/>
                <w:szCs w:val="14"/>
              </w:rPr>
              <w:t xml:space="preserve">886 </w:t>
            </w:r>
          </w:p>
        </w:tc>
        <w:tc>
          <w:tcPr>
            <w:tcW w:w="1418" w:type="dxa"/>
            <w:tcBorders>
              <w:bottom w:val="single" w:sz="2" w:space="0" w:color="1F4E79" w:themeColor="accent1" w:themeShade="80"/>
            </w:tcBorders>
            <w:shd w:val="clear" w:color="auto" w:fill="auto"/>
            <w:vAlign w:val="center"/>
          </w:tcPr>
          <w:p w14:paraId="50161625"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544</w:t>
            </w:r>
            <w:r>
              <w:rPr>
                <w:rFonts w:cs="Arial"/>
                <w:b/>
                <w:sz w:val="14"/>
                <w:szCs w:val="14"/>
              </w:rPr>
              <w:t>,</w:t>
            </w:r>
            <w:r w:rsidRPr="003E0F6E">
              <w:rPr>
                <w:rFonts w:cs="Arial"/>
                <w:b/>
                <w:sz w:val="14"/>
                <w:szCs w:val="14"/>
              </w:rPr>
              <w:t xml:space="preserve">590 </w:t>
            </w:r>
          </w:p>
        </w:tc>
        <w:tc>
          <w:tcPr>
            <w:tcW w:w="1418" w:type="dxa"/>
            <w:tcBorders>
              <w:bottom w:val="single" w:sz="2" w:space="0" w:color="1F4E79" w:themeColor="accent1" w:themeShade="80"/>
            </w:tcBorders>
            <w:shd w:val="clear" w:color="auto" w:fill="auto"/>
            <w:vAlign w:val="center"/>
          </w:tcPr>
          <w:p w14:paraId="7A5C7303"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21</w:t>
            </w:r>
            <w:r>
              <w:rPr>
                <w:rFonts w:cs="Arial"/>
                <w:b/>
                <w:sz w:val="14"/>
                <w:szCs w:val="14"/>
              </w:rPr>
              <w:t>,</w:t>
            </w:r>
            <w:r w:rsidRPr="003E0F6E">
              <w:rPr>
                <w:rFonts w:cs="Arial"/>
                <w:b/>
                <w:sz w:val="14"/>
                <w:szCs w:val="14"/>
              </w:rPr>
              <w:t xml:space="preserve">483 </w:t>
            </w:r>
          </w:p>
        </w:tc>
        <w:tc>
          <w:tcPr>
            <w:tcW w:w="1418" w:type="dxa"/>
            <w:tcBorders>
              <w:bottom w:val="single" w:sz="2" w:space="0" w:color="1F4E79" w:themeColor="accent1" w:themeShade="80"/>
            </w:tcBorders>
            <w:shd w:val="clear" w:color="auto" w:fill="auto"/>
            <w:vAlign w:val="center"/>
          </w:tcPr>
          <w:p w14:paraId="47B537AB"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eastAsia="Times New Roman" w:cs="Arial"/>
                <w:b/>
                <w:spacing w:val="-2"/>
                <w:sz w:val="14"/>
                <w:szCs w:val="14"/>
                <w:lang w:eastAsia="pt-BR"/>
              </w:rPr>
              <w:t>6</w:t>
            </w:r>
            <w:r>
              <w:rPr>
                <w:rFonts w:eastAsia="Times New Roman" w:cs="Arial"/>
                <w:b/>
                <w:spacing w:val="-2"/>
                <w:sz w:val="14"/>
                <w:szCs w:val="14"/>
                <w:lang w:eastAsia="pt-BR"/>
              </w:rPr>
              <w:t>,</w:t>
            </w:r>
            <w:r w:rsidRPr="003E0F6E">
              <w:rPr>
                <w:rFonts w:eastAsia="Times New Roman" w:cs="Arial"/>
                <w:b/>
                <w:spacing w:val="-2"/>
                <w:sz w:val="14"/>
                <w:szCs w:val="14"/>
                <w:lang w:eastAsia="pt-BR"/>
              </w:rPr>
              <w:t>338</w:t>
            </w:r>
          </w:p>
        </w:tc>
        <w:tc>
          <w:tcPr>
            <w:tcW w:w="1418" w:type="dxa"/>
            <w:tcBorders>
              <w:bottom w:val="single" w:sz="2" w:space="0" w:color="1F4E79" w:themeColor="accent1" w:themeShade="80"/>
            </w:tcBorders>
            <w:shd w:val="clear" w:color="auto" w:fill="auto"/>
            <w:vAlign w:val="center"/>
          </w:tcPr>
          <w:p w14:paraId="0E258573" w14:textId="77777777" w:rsidR="005357C6" w:rsidRPr="00D44604" w:rsidRDefault="005357C6" w:rsidP="00475564">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w:t>
            </w:r>
            <w:r>
              <w:rPr>
                <w:rFonts w:cs="Arial"/>
                <w:b/>
                <w:sz w:val="14"/>
                <w:szCs w:val="14"/>
              </w:rPr>
              <w:t>,</w:t>
            </w:r>
            <w:r w:rsidRPr="003E0F6E">
              <w:rPr>
                <w:rFonts w:cs="Arial"/>
                <w:b/>
                <w:sz w:val="14"/>
                <w:szCs w:val="14"/>
              </w:rPr>
              <w:t xml:space="preserve">506 </w:t>
            </w:r>
          </w:p>
        </w:tc>
      </w:tr>
    </w:tbl>
    <w:p w14:paraId="6EA3FFF7" w14:textId="77777777" w:rsidR="005357C6" w:rsidRPr="00C46003" w:rsidRDefault="005357C6" w:rsidP="005357C6">
      <w:pPr>
        <w:numPr>
          <w:ilvl w:val="0"/>
          <w:numId w:val="25"/>
        </w:numPr>
        <w:spacing w:after="0" w:line="276" w:lineRule="auto"/>
        <w:contextualSpacing/>
        <w:jc w:val="both"/>
        <w:rPr>
          <w:rFonts w:cs="Arial"/>
          <w:sz w:val="14"/>
          <w:szCs w:val="18"/>
          <w:lang w:val="en-US"/>
        </w:rPr>
      </w:pPr>
      <w:r w:rsidRPr="00C46003">
        <w:rPr>
          <w:rFonts w:cs="Arial"/>
          <w:sz w:val="14"/>
          <w:szCs w:val="18"/>
          <w:lang w:val="en-US"/>
        </w:rPr>
        <w:t xml:space="preserve">At Brasilprev, the amount refers to the reduction in the unrealized result from the sale of the shareholding in </w:t>
      </w:r>
      <w:r>
        <w:rPr>
          <w:rFonts w:cs="Arial"/>
          <w:sz w:val="14"/>
          <w:szCs w:val="18"/>
          <w:lang w:val="en-US"/>
        </w:rPr>
        <w:t>MAPFRE</w:t>
      </w:r>
      <w:r w:rsidRPr="00C46003">
        <w:rPr>
          <w:rFonts w:cs="Arial"/>
          <w:sz w:val="14"/>
          <w:szCs w:val="18"/>
          <w:lang w:val="en-US"/>
        </w:rPr>
        <w:t xml:space="preserve"> Nossa Caixa Vida e Previdência (MNCVP) in July 2012. At Brasilcap, the amount refers to the goodwill on the acquisition of equity interest in company Sulacap by BB Seguros, which took place on 07/22/2011.</w:t>
      </w:r>
    </w:p>
    <w:p w14:paraId="249FA104" w14:textId="77777777" w:rsidR="005357C6" w:rsidRPr="00D44604" w:rsidRDefault="005357C6" w:rsidP="00C71FFF">
      <w:pPr>
        <w:keepNext/>
        <w:keepLines/>
        <w:spacing w:after="0"/>
        <w:jc w:val="right"/>
        <w:rPr>
          <w:rFonts w:cs="Arial"/>
          <w:b/>
          <w:sz w:val="14"/>
          <w:szCs w:val="18"/>
        </w:rPr>
      </w:pPr>
      <w:r w:rsidRPr="00FC6C4B">
        <w:rPr>
          <w:rFonts w:cs="Arial"/>
          <w:b/>
          <w:sz w:val="14"/>
          <w:szCs w:val="18"/>
        </w:rPr>
        <w:lastRenderedPageBreak/>
        <w:t>R$ thousand</w:t>
      </w:r>
    </w:p>
    <w:tbl>
      <w:tblPr>
        <w:tblW w:w="9640" w:type="dxa"/>
        <w:jc w:val="center"/>
        <w:tblLayout w:type="fixed"/>
        <w:tblLook w:val="04A0" w:firstRow="1" w:lastRow="0" w:firstColumn="1" w:lastColumn="0" w:noHBand="0" w:noVBand="1"/>
      </w:tblPr>
      <w:tblGrid>
        <w:gridCol w:w="2553"/>
        <w:gridCol w:w="1417"/>
        <w:gridCol w:w="1417"/>
        <w:gridCol w:w="1418"/>
        <w:gridCol w:w="1417"/>
        <w:gridCol w:w="1418"/>
      </w:tblGrid>
      <w:tr w:rsidR="005357C6" w:rsidRPr="00D44604" w14:paraId="74934AAA" w14:textId="77777777" w:rsidTr="00222492">
        <w:trPr>
          <w:trHeight w:val="238"/>
          <w:jc w:val="center"/>
        </w:trPr>
        <w:tc>
          <w:tcPr>
            <w:tcW w:w="2553" w:type="dxa"/>
            <w:tcBorders>
              <w:top w:val="single" w:sz="2" w:space="0" w:color="1F4E79" w:themeColor="accent1" w:themeShade="80"/>
              <w:bottom w:val="single" w:sz="2" w:space="0" w:color="1F4E79" w:themeColor="accent1" w:themeShade="80"/>
            </w:tcBorders>
            <w:shd w:val="clear" w:color="auto" w:fill="auto"/>
            <w:vAlign w:val="center"/>
          </w:tcPr>
          <w:p w14:paraId="1AF0DAB7" w14:textId="77777777" w:rsidR="005357C6" w:rsidRPr="00D44604" w:rsidRDefault="005357C6" w:rsidP="00222492">
            <w:pPr>
              <w:keepNext/>
              <w:spacing w:before="40" w:after="40" w:line="240" w:lineRule="auto"/>
              <w:jc w:val="center"/>
              <w:rPr>
                <w:rFonts w:eastAsia="Times New Roman" w:cs="Arial"/>
                <w:b/>
                <w:spacing w:val="-2"/>
                <w:sz w:val="14"/>
                <w:szCs w:val="18"/>
                <w:lang w:eastAsia="pt-BR"/>
              </w:rPr>
            </w:pPr>
            <w:r w:rsidRPr="00D44604">
              <w:rPr>
                <w:rFonts w:cs="Arial"/>
                <w:b/>
                <w:sz w:val="14"/>
                <w:szCs w:val="14"/>
              </w:rPr>
              <w:t>Segment</w:t>
            </w:r>
          </w:p>
        </w:tc>
        <w:tc>
          <w:tcPr>
            <w:tcW w:w="4252" w:type="dxa"/>
            <w:gridSpan w:val="3"/>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2503642A"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Insurance</w:t>
            </w:r>
          </w:p>
        </w:tc>
        <w:tc>
          <w:tcPr>
            <w:tcW w:w="2835" w:type="dxa"/>
            <w:gridSpan w:val="2"/>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0E267641"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Brokerage</w:t>
            </w:r>
          </w:p>
        </w:tc>
      </w:tr>
      <w:tr w:rsidR="005357C6" w:rsidRPr="00D44604" w14:paraId="777BD581" w14:textId="77777777" w:rsidTr="00222492">
        <w:trPr>
          <w:trHeight w:val="238"/>
          <w:jc w:val="center"/>
        </w:trPr>
        <w:tc>
          <w:tcPr>
            <w:tcW w:w="2553" w:type="dxa"/>
            <w:tcBorders>
              <w:top w:val="single" w:sz="2" w:space="0" w:color="1F4E79" w:themeColor="accent1" w:themeShade="80"/>
              <w:bottom w:val="single" w:sz="2" w:space="0" w:color="1F4E79" w:themeColor="accent1" w:themeShade="80"/>
            </w:tcBorders>
            <w:shd w:val="clear" w:color="auto" w:fill="auto"/>
            <w:vAlign w:val="center"/>
          </w:tcPr>
          <w:p w14:paraId="51A45EA8" w14:textId="77777777" w:rsidR="005357C6" w:rsidRPr="00D44604" w:rsidRDefault="005357C6" w:rsidP="00222492">
            <w:pPr>
              <w:keepNext/>
              <w:spacing w:before="40" w:after="40" w:line="240" w:lineRule="auto"/>
              <w:jc w:val="center"/>
              <w:rPr>
                <w:rFonts w:eastAsia="Times New Roman" w:cs="Arial"/>
                <w:b/>
                <w:spacing w:val="-2"/>
                <w:sz w:val="14"/>
                <w:szCs w:val="14"/>
                <w:lang w:eastAsia="pt-BR"/>
              </w:rPr>
            </w:pPr>
            <w:r w:rsidRPr="00D44604">
              <w:rPr>
                <w:rFonts w:cs="Arial"/>
                <w:b/>
                <w:sz w:val="14"/>
                <w:szCs w:val="14"/>
              </w:rPr>
              <w:t>Line of business</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9D03976"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Private</w:t>
            </w:r>
          </w:p>
          <w:p w14:paraId="343922F5"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Pension Plans</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0EFEE899"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Capitalization</w:t>
            </w:r>
          </w:p>
          <w:p w14:paraId="642DF605"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Plans</w:t>
            </w:r>
          </w:p>
        </w:tc>
        <w:tc>
          <w:tcPr>
            <w:tcW w:w="1418" w:type="dxa"/>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5243FFBF"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cs="Arial"/>
                <w:b/>
                <w:sz w:val="14"/>
                <w:szCs w:val="14"/>
              </w:rPr>
              <w:t>Line of business</w:t>
            </w:r>
          </w:p>
        </w:tc>
        <w:tc>
          <w:tcPr>
            <w:tcW w:w="1417"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15B72BBD"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Private</w:t>
            </w:r>
          </w:p>
          <w:p w14:paraId="2F15B3F9"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Pension Plans</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6EA627C7"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Capitalization</w:t>
            </w:r>
          </w:p>
          <w:p w14:paraId="7750F2B4"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Plans</w:t>
            </w:r>
          </w:p>
        </w:tc>
      </w:tr>
      <w:tr w:rsidR="005357C6" w:rsidRPr="00D44604" w14:paraId="2A4DC665" w14:textId="77777777" w:rsidTr="00222492">
        <w:trPr>
          <w:trHeight w:val="238"/>
          <w:jc w:val="center"/>
        </w:trPr>
        <w:tc>
          <w:tcPr>
            <w:tcW w:w="2553" w:type="dxa"/>
            <w:tcBorders>
              <w:top w:val="single" w:sz="2" w:space="0" w:color="1F4E79" w:themeColor="accent1" w:themeShade="80"/>
              <w:bottom w:val="single" w:sz="2" w:space="0" w:color="1F4E79" w:themeColor="accent1" w:themeShade="80"/>
            </w:tcBorders>
            <w:shd w:val="clear" w:color="auto" w:fill="auto"/>
            <w:vAlign w:val="center"/>
          </w:tcPr>
          <w:p w14:paraId="64BAA847"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Pr>
                <w:rFonts w:eastAsia="Times New Roman" w:cs="Arial"/>
                <w:b/>
                <w:spacing w:val="-2"/>
                <w:sz w:val="14"/>
                <w:szCs w:val="14"/>
                <w:lang w:eastAsia="pt-BR"/>
              </w:rPr>
              <w:t>Dec</w:t>
            </w:r>
            <w:r w:rsidRPr="00D44604">
              <w:rPr>
                <w:rFonts w:eastAsia="Times New Roman" w:cs="Arial"/>
                <w:b/>
                <w:spacing w:val="-2"/>
                <w:sz w:val="14"/>
                <w:szCs w:val="14"/>
                <w:lang w:eastAsia="pt-BR"/>
              </w:rPr>
              <w:t xml:space="preserve"> </w:t>
            </w:r>
            <w:r>
              <w:rPr>
                <w:rFonts w:eastAsia="Times New Roman" w:cs="Arial"/>
                <w:b/>
                <w:spacing w:val="-2"/>
                <w:sz w:val="14"/>
                <w:szCs w:val="14"/>
                <w:lang w:eastAsia="pt-BR"/>
              </w:rPr>
              <w:t>31</w:t>
            </w:r>
            <w:r w:rsidRPr="00D44604">
              <w:rPr>
                <w:rFonts w:eastAsia="Times New Roman" w:cs="Arial"/>
                <w:b/>
                <w:spacing w:val="-2"/>
                <w:sz w:val="14"/>
                <w:szCs w:val="14"/>
                <w:lang w:eastAsia="pt-BR"/>
              </w:rPr>
              <w:t>,</w:t>
            </w:r>
            <w:r>
              <w:rPr>
                <w:rFonts w:eastAsia="Times New Roman" w:cs="Arial"/>
                <w:b/>
                <w:spacing w:val="-2"/>
                <w:sz w:val="14"/>
                <w:szCs w:val="14"/>
                <w:lang w:eastAsia="pt-BR"/>
              </w:rPr>
              <w:t xml:space="preserve"> </w:t>
            </w:r>
            <w:r w:rsidRPr="00D44604">
              <w:rPr>
                <w:rFonts w:eastAsia="Times New Roman" w:cs="Arial"/>
                <w:b/>
                <w:spacing w:val="-2"/>
                <w:sz w:val="14"/>
                <w:szCs w:val="14"/>
                <w:lang w:eastAsia="pt-BR"/>
              </w:rPr>
              <w:t>20</w:t>
            </w:r>
            <w:r>
              <w:rPr>
                <w:rFonts w:eastAsia="Times New Roman" w:cs="Arial"/>
                <w:b/>
                <w:spacing w:val="-2"/>
                <w:sz w:val="14"/>
                <w:szCs w:val="14"/>
                <w:lang w:eastAsia="pt-BR"/>
              </w:rPr>
              <w:t>21</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67D693B7"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 xml:space="preserve">Brasilprev </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DEDD136"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Brasilcap</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177FD684"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 xml:space="preserve">Brasildental </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1E554DE3"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 xml:space="preserve">BB Corretora </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4999BF54" w14:textId="77777777" w:rsidR="005357C6" w:rsidRPr="00D44604" w:rsidRDefault="005357C6" w:rsidP="00222492">
            <w:pPr>
              <w:keepNext/>
              <w:keepLines/>
              <w:spacing w:before="40" w:after="40" w:line="240" w:lineRule="auto"/>
              <w:jc w:val="center"/>
              <w:rPr>
                <w:rFonts w:eastAsia="Times New Roman" w:cs="Arial"/>
                <w:b/>
                <w:spacing w:val="-2"/>
                <w:sz w:val="14"/>
                <w:szCs w:val="14"/>
                <w:lang w:eastAsia="pt-BR"/>
              </w:rPr>
            </w:pPr>
            <w:r w:rsidRPr="00D44604">
              <w:rPr>
                <w:rFonts w:eastAsia="Times New Roman" w:cs="Arial"/>
                <w:b/>
                <w:spacing w:val="-2"/>
                <w:sz w:val="14"/>
                <w:szCs w:val="14"/>
                <w:lang w:eastAsia="pt-BR"/>
              </w:rPr>
              <w:t>Ciclic</w:t>
            </w:r>
          </w:p>
        </w:tc>
      </w:tr>
      <w:tr w:rsidR="005357C6" w:rsidRPr="001B58AD" w14:paraId="60C00D60" w14:textId="77777777" w:rsidTr="00222492">
        <w:trPr>
          <w:trHeight w:val="238"/>
          <w:jc w:val="center"/>
        </w:trPr>
        <w:tc>
          <w:tcPr>
            <w:tcW w:w="2553" w:type="dxa"/>
            <w:tcBorders>
              <w:top w:val="single" w:sz="2" w:space="0" w:color="1F4E79" w:themeColor="accent1" w:themeShade="80"/>
            </w:tcBorders>
            <w:shd w:val="clear" w:color="auto" w:fill="auto"/>
          </w:tcPr>
          <w:p w14:paraId="04C0D21C" w14:textId="77777777" w:rsidR="005357C6" w:rsidRPr="001B58AD" w:rsidRDefault="005357C6" w:rsidP="001D76DC">
            <w:pPr>
              <w:keepNext/>
              <w:keepLines/>
              <w:spacing w:before="40" w:after="40" w:line="240" w:lineRule="auto"/>
              <w:rPr>
                <w:rFonts w:eastAsia="Times New Roman" w:cs="Arial"/>
                <w:b/>
                <w:spacing w:val="-2"/>
                <w:sz w:val="14"/>
                <w:szCs w:val="14"/>
                <w:lang w:eastAsia="pt-BR"/>
              </w:rPr>
            </w:pPr>
            <w:r w:rsidRPr="001B58AD">
              <w:rPr>
                <w:rFonts w:eastAsia="Times New Roman" w:cs="Arial"/>
                <w:b/>
                <w:spacing w:val="-2"/>
                <w:sz w:val="14"/>
                <w:szCs w:val="18"/>
                <w:lang w:eastAsia="pt-BR"/>
              </w:rPr>
              <w:t>Current assets</w:t>
            </w:r>
          </w:p>
        </w:tc>
        <w:tc>
          <w:tcPr>
            <w:tcW w:w="1417" w:type="dxa"/>
            <w:tcBorders>
              <w:top w:val="single" w:sz="2" w:space="0" w:color="1F4E79" w:themeColor="accent1" w:themeShade="80"/>
            </w:tcBorders>
            <w:shd w:val="clear" w:color="auto" w:fill="auto"/>
            <w:vAlign w:val="center"/>
          </w:tcPr>
          <w:p w14:paraId="74491F3C"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302,399,384</w:t>
            </w:r>
          </w:p>
        </w:tc>
        <w:tc>
          <w:tcPr>
            <w:tcW w:w="1417" w:type="dxa"/>
            <w:tcBorders>
              <w:top w:val="single" w:sz="2" w:space="0" w:color="1F4E79" w:themeColor="accent1" w:themeShade="80"/>
            </w:tcBorders>
            <w:shd w:val="clear" w:color="auto" w:fill="auto"/>
            <w:vAlign w:val="center"/>
          </w:tcPr>
          <w:p w14:paraId="3440414D"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6,130,957</w:t>
            </w:r>
          </w:p>
        </w:tc>
        <w:tc>
          <w:tcPr>
            <w:tcW w:w="1418" w:type="dxa"/>
            <w:tcBorders>
              <w:top w:val="single" w:sz="2" w:space="0" w:color="1F4E79" w:themeColor="accent1" w:themeShade="80"/>
            </w:tcBorders>
            <w:shd w:val="clear" w:color="auto" w:fill="auto"/>
            <w:vAlign w:val="center"/>
          </w:tcPr>
          <w:p w14:paraId="2015EE3B"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44,433</w:t>
            </w:r>
          </w:p>
        </w:tc>
        <w:tc>
          <w:tcPr>
            <w:tcW w:w="1417" w:type="dxa"/>
            <w:tcBorders>
              <w:top w:val="single" w:sz="2" w:space="0" w:color="1F4E79" w:themeColor="accent1" w:themeShade="80"/>
            </w:tcBorders>
            <w:shd w:val="clear" w:color="auto" w:fill="auto"/>
            <w:vAlign w:val="center"/>
          </w:tcPr>
          <w:p w14:paraId="04611D50"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 xml:space="preserve">  4,096,447 </w:t>
            </w:r>
          </w:p>
        </w:tc>
        <w:tc>
          <w:tcPr>
            <w:tcW w:w="1418" w:type="dxa"/>
            <w:tcBorders>
              <w:top w:val="single" w:sz="2" w:space="0" w:color="1F4E79" w:themeColor="accent1" w:themeShade="80"/>
            </w:tcBorders>
            <w:shd w:val="clear" w:color="auto" w:fill="auto"/>
            <w:vAlign w:val="center"/>
          </w:tcPr>
          <w:p w14:paraId="1CAE2B4E"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13</w:t>
            </w:r>
            <w:r>
              <w:rPr>
                <w:rFonts w:cs="Arial"/>
                <w:b/>
                <w:sz w:val="14"/>
                <w:szCs w:val="14"/>
              </w:rPr>
              <w:t>,</w:t>
            </w:r>
            <w:r w:rsidRPr="002E1412">
              <w:rPr>
                <w:rFonts w:cs="Arial"/>
                <w:b/>
                <w:sz w:val="14"/>
                <w:szCs w:val="14"/>
              </w:rPr>
              <w:t>182</w:t>
            </w:r>
          </w:p>
        </w:tc>
      </w:tr>
      <w:tr w:rsidR="005357C6" w:rsidRPr="00D44604" w14:paraId="1D7D26D5" w14:textId="77777777" w:rsidTr="00222492">
        <w:trPr>
          <w:trHeight w:val="238"/>
          <w:jc w:val="center"/>
        </w:trPr>
        <w:tc>
          <w:tcPr>
            <w:tcW w:w="2553" w:type="dxa"/>
            <w:shd w:val="clear" w:color="auto" w:fill="auto"/>
          </w:tcPr>
          <w:p w14:paraId="42CE0500" w14:textId="77777777" w:rsidR="005357C6" w:rsidRPr="00D44604" w:rsidRDefault="005357C6" w:rsidP="001D76DC">
            <w:pPr>
              <w:keepNext/>
              <w:keepLines/>
              <w:spacing w:before="40" w:after="40" w:line="240" w:lineRule="auto"/>
              <w:ind w:left="113"/>
              <w:rPr>
                <w:rFonts w:eastAsia="Times New Roman" w:cs="Arial"/>
                <w:bCs/>
                <w:spacing w:val="-2"/>
                <w:sz w:val="14"/>
                <w:szCs w:val="14"/>
                <w:lang w:eastAsia="pt-BR"/>
              </w:rPr>
            </w:pPr>
            <w:r w:rsidRPr="00D44604">
              <w:rPr>
                <w:rFonts w:eastAsia="Times New Roman" w:cs="Arial"/>
                <w:spacing w:val="-2"/>
                <w:sz w:val="14"/>
                <w:szCs w:val="18"/>
                <w:lang w:eastAsia="pt-BR"/>
              </w:rPr>
              <w:t>Cash and cash equivalents</w:t>
            </w:r>
          </w:p>
        </w:tc>
        <w:tc>
          <w:tcPr>
            <w:tcW w:w="1417" w:type="dxa"/>
            <w:shd w:val="clear" w:color="auto" w:fill="auto"/>
            <w:vAlign w:val="center"/>
          </w:tcPr>
          <w:p w14:paraId="74A2A4C4"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601,280</w:t>
            </w:r>
          </w:p>
        </w:tc>
        <w:tc>
          <w:tcPr>
            <w:tcW w:w="1417" w:type="dxa"/>
            <w:shd w:val="clear" w:color="auto" w:fill="auto"/>
            <w:vAlign w:val="center"/>
          </w:tcPr>
          <w:p w14:paraId="1E97F641"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37</w:t>
            </w:r>
          </w:p>
        </w:tc>
        <w:tc>
          <w:tcPr>
            <w:tcW w:w="1418" w:type="dxa"/>
            <w:shd w:val="clear" w:color="auto" w:fill="auto"/>
            <w:vAlign w:val="center"/>
          </w:tcPr>
          <w:p w14:paraId="46CEE99D"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2,262</w:t>
            </w:r>
          </w:p>
        </w:tc>
        <w:tc>
          <w:tcPr>
            <w:tcW w:w="1417" w:type="dxa"/>
            <w:shd w:val="clear" w:color="auto" w:fill="auto"/>
            <w:vAlign w:val="center"/>
          </w:tcPr>
          <w:p w14:paraId="0AE50940" w14:textId="77777777" w:rsidR="005357C6" w:rsidRPr="001B58AD"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 xml:space="preserve">  3,070,107 </w:t>
            </w:r>
          </w:p>
        </w:tc>
        <w:tc>
          <w:tcPr>
            <w:tcW w:w="1418" w:type="dxa"/>
            <w:shd w:val="clear" w:color="auto" w:fill="auto"/>
          </w:tcPr>
          <w:p w14:paraId="0FA08E3B"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sidRPr="005523CF">
              <w:rPr>
                <w:rFonts w:cs="Arial"/>
                <w:sz w:val="14"/>
                <w:szCs w:val="14"/>
              </w:rPr>
              <w:t>929</w:t>
            </w:r>
          </w:p>
        </w:tc>
      </w:tr>
      <w:tr w:rsidR="005357C6" w:rsidRPr="00D44604" w14:paraId="39C77955" w14:textId="77777777" w:rsidTr="00222492">
        <w:trPr>
          <w:trHeight w:val="238"/>
          <w:jc w:val="center"/>
        </w:trPr>
        <w:tc>
          <w:tcPr>
            <w:tcW w:w="2553" w:type="dxa"/>
            <w:shd w:val="clear" w:color="auto" w:fill="auto"/>
          </w:tcPr>
          <w:p w14:paraId="65477219" w14:textId="77777777" w:rsidR="005357C6" w:rsidRPr="00D44604" w:rsidRDefault="005357C6" w:rsidP="001D76DC">
            <w:pPr>
              <w:keepNext/>
              <w:keepLines/>
              <w:spacing w:before="40" w:after="40" w:line="240" w:lineRule="auto"/>
              <w:ind w:left="113"/>
              <w:rPr>
                <w:rFonts w:eastAsia="Times New Roman" w:cs="Arial"/>
                <w:bCs/>
                <w:color w:val="000000"/>
                <w:spacing w:val="-2"/>
                <w:sz w:val="14"/>
                <w:szCs w:val="14"/>
                <w:lang w:eastAsia="pt-BR"/>
              </w:rPr>
            </w:pPr>
            <w:r w:rsidRPr="00D44604">
              <w:rPr>
                <w:rFonts w:eastAsia="Times New Roman" w:cs="Arial"/>
                <w:spacing w:val="-2"/>
                <w:sz w:val="14"/>
                <w:szCs w:val="18"/>
                <w:lang w:eastAsia="pt-BR"/>
              </w:rPr>
              <w:t>Financial investments</w:t>
            </w:r>
          </w:p>
        </w:tc>
        <w:tc>
          <w:tcPr>
            <w:tcW w:w="1417" w:type="dxa"/>
            <w:shd w:val="clear" w:color="auto" w:fill="auto"/>
            <w:vAlign w:val="center"/>
          </w:tcPr>
          <w:p w14:paraId="00F1162F"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300,462,391</w:t>
            </w:r>
          </w:p>
        </w:tc>
        <w:tc>
          <w:tcPr>
            <w:tcW w:w="1417" w:type="dxa"/>
            <w:shd w:val="clear" w:color="auto" w:fill="auto"/>
            <w:vAlign w:val="center"/>
          </w:tcPr>
          <w:p w14:paraId="3BECA82C"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6,092,191</w:t>
            </w:r>
          </w:p>
        </w:tc>
        <w:tc>
          <w:tcPr>
            <w:tcW w:w="1418" w:type="dxa"/>
            <w:shd w:val="clear" w:color="auto" w:fill="auto"/>
            <w:vAlign w:val="center"/>
          </w:tcPr>
          <w:p w14:paraId="00FC6214"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36,402</w:t>
            </w:r>
          </w:p>
        </w:tc>
        <w:tc>
          <w:tcPr>
            <w:tcW w:w="1417" w:type="dxa"/>
            <w:shd w:val="clear" w:color="auto" w:fill="auto"/>
            <w:vAlign w:val="center"/>
          </w:tcPr>
          <w:p w14:paraId="6D4B39C8" w14:textId="77777777" w:rsidR="005357C6" w:rsidRPr="001B58AD"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 xml:space="preserve"> -- </w:t>
            </w:r>
          </w:p>
        </w:tc>
        <w:tc>
          <w:tcPr>
            <w:tcW w:w="1418" w:type="dxa"/>
            <w:shd w:val="clear" w:color="auto" w:fill="auto"/>
          </w:tcPr>
          <w:p w14:paraId="79F4A76A"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sidRPr="005523CF">
              <w:rPr>
                <w:rFonts w:cs="Arial"/>
                <w:sz w:val="14"/>
                <w:szCs w:val="14"/>
              </w:rPr>
              <w:t>1</w:t>
            </w:r>
            <w:r>
              <w:rPr>
                <w:rFonts w:cs="Arial"/>
                <w:sz w:val="14"/>
                <w:szCs w:val="14"/>
              </w:rPr>
              <w:t>,</w:t>
            </w:r>
            <w:r w:rsidRPr="005523CF">
              <w:rPr>
                <w:rFonts w:cs="Arial"/>
                <w:sz w:val="14"/>
                <w:szCs w:val="14"/>
              </w:rPr>
              <w:t>832</w:t>
            </w:r>
          </w:p>
        </w:tc>
      </w:tr>
      <w:tr w:rsidR="005357C6" w:rsidRPr="00D44604" w14:paraId="6776FC67" w14:textId="77777777" w:rsidTr="00222492">
        <w:trPr>
          <w:trHeight w:val="238"/>
          <w:jc w:val="center"/>
        </w:trPr>
        <w:tc>
          <w:tcPr>
            <w:tcW w:w="2553" w:type="dxa"/>
            <w:shd w:val="clear" w:color="auto" w:fill="auto"/>
          </w:tcPr>
          <w:p w14:paraId="3486740B" w14:textId="77777777" w:rsidR="005357C6" w:rsidRPr="00D44604" w:rsidRDefault="005357C6" w:rsidP="001D76DC">
            <w:pPr>
              <w:keepNext/>
              <w:keepLines/>
              <w:spacing w:before="40" w:after="40" w:line="240" w:lineRule="auto"/>
              <w:ind w:left="113"/>
              <w:rPr>
                <w:rFonts w:eastAsia="Times New Roman" w:cs="Arial"/>
                <w:bCs/>
                <w:spacing w:val="-2"/>
                <w:sz w:val="14"/>
                <w:szCs w:val="14"/>
                <w:lang w:eastAsia="pt-BR"/>
              </w:rPr>
            </w:pPr>
            <w:r w:rsidRPr="00D44604">
              <w:rPr>
                <w:rFonts w:eastAsia="Times New Roman" w:cs="Arial"/>
                <w:spacing w:val="-2"/>
                <w:sz w:val="14"/>
                <w:szCs w:val="14"/>
                <w:lang w:eastAsia="pt-BR"/>
              </w:rPr>
              <w:t>Commissions receivable</w:t>
            </w:r>
          </w:p>
        </w:tc>
        <w:tc>
          <w:tcPr>
            <w:tcW w:w="1417" w:type="dxa"/>
            <w:shd w:val="clear" w:color="auto" w:fill="auto"/>
            <w:vAlign w:val="center"/>
          </w:tcPr>
          <w:p w14:paraId="251E8C62"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w:t>
            </w:r>
          </w:p>
        </w:tc>
        <w:tc>
          <w:tcPr>
            <w:tcW w:w="1417" w:type="dxa"/>
            <w:shd w:val="clear" w:color="auto" w:fill="auto"/>
            <w:vAlign w:val="center"/>
          </w:tcPr>
          <w:p w14:paraId="1FFC62E5"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w:t>
            </w:r>
          </w:p>
        </w:tc>
        <w:tc>
          <w:tcPr>
            <w:tcW w:w="1418" w:type="dxa"/>
            <w:shd w:val="clear" w:color="auto" w:fill="auto"/>
            <w:vAlign w:val="center"/>
          </w:tcPr>
          <w:p w14:paraId="306AB61F"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w:t>
            </w:r>
          </w:p>
        </w:tc>
        <w:tc>
          <w:tcPr>
            <w:tcW w:w="1417" w:type="dxa"/>
            <w:shd w:val="clear" w:color="auto" w:fill="auto"/>
            <w:vAlign w:val="center"/>
          </w:tcPr>
          <w:p w14:paraId="08D98F51" w14:textId="77777777" w:rsidR="005357C6" w:rsidRPr="001B58AD"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 xml:space="preserve">  1,026,158 </w:t>
            </w:r>
          </w:p>
        </w:tc>
        <w:tc>
          <w:tcPr>
            <w:tcW w:w="1418" w:type="dxa"/>
            <w:shd w:val="clear" w:color="auto" w:fill="auto"/>
          </w:tcPr>
          <w:p w14:paraId="1D5BD7EA"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sidRPr="005523CF">
              <w:rPr>
                <w:rFonts w:cs="Arial"/>
                <w:sz w:val="14"/>
                <w:szCs w:val="14"/>
              </w:rPr>
              <w:t>2</w:t>
            </w:r>
            <w:r>
              <w:rPr>
                <w:rFonts w:cs="Arial"/>
                <w:sz w:val="14"/>
                <w:szCs w:val="14"/>
              </w:rPr>
              <w:t>,</w:t>
            </w:r>
            <w:r w:rsidRPr="005523CF">
              <w:rPr>
                <w:rFonts w:cs="Arial"/>
                <w:sz w:val="14"/>
                <w:szCs w:val="14"/>
              </w:rPr>
              <w:t>442</w:t>
            </w:r>
          </w:p>
        </w:tc>
      </w:tr>
      <w:tr w:rsidR="005357C6" w:rsidRPr="00D44604" w14:paraId="4D4A82F8" w14:textId="77777777" w:rsidTr="00222492">
        <w:trPr>
          <w:trHeight w:val="238"/>
          <w:jc w:val="center"/>
        </w:trPr>
        <w:tc>
          <w:tcPr>
            <w:tcW w:w="2553" w:type="dxa"/>
            <w:shd w:val="clear" w:color="auto" w:fill="auto"/>
          </w:tcPr>
          <w:p w14:paraId="5ABDF7CC" w14:textId="77777777" w:rsidR="005357C6" w:rsidRPr="00D44604" w:rsidRDefault="005357C6" w:rsidP="001D76DC">
            <w:pPr>
              <w:keepNext/>
              <w:keepLines/>
              <w:spacing w:before="40" w:after="40" w:line="240" w:lineRule="auto"/>
              <w:ind w:left="113"/>
              <w:rPr>
                <w:rFonts w:eastAsia="Times New Roman" w:cs="Arial"/>
                <w:bCs/>
                <w:spacing w:val="-2"/>
                <w:sz w:val="14"/>
                <w:szCs w:val="14"/>
                <w:lang w:eastAsia="pt-BR"/>
              </w:rPr>
            </w:pPr>
            <w:r w:rsidRPr="00D44604">
              <w:rPr>
                <w:rFonts w:eastAsia="Times New Roman" w:cs="Arial"/>
                <w:spacing w:val="-2"/>
                <w:sz w:val="14"/>
                <w:szCs w:val="18"/>
                <w:lang w:eastAsia="pt-BR"/>
              </w:rPr>
              <w:t>Other current assets</w:t>
            </w:r>
          </w:p>
        </w:tc>
        <w:tc>
          <w:tcPr>
            <w:tcW w:w="1417" w:type="dxa"/>
            <w:shd w:val="clear" w:color="auto" w:fill="auto"/>
            <w:vAlign w:val="center"/>
          </w:tcPr>
          <w:p w14:paraId="44D83B07"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1,335,713</w:t>
            </w:r>
          </w:p>
        </w:tc>
        <w:tc>
          <w:tcPr>
            <w:tcW w:w="1417" w:type="dxa"/>
            <w:shd w:val="clear" w:color="auto" w:fill="auto"/>
            <w:vAlign w:val="center"/>
          </w:tcPr>
          <w:p w14:paraId="365D674A"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38,729</w:t>
            </w:r>
          </w:p>
        </w:tc>
        <w:tc>
          <w:tcPr>
            <w:tcW w:w="1418" w:type="dxa"/>
            <w:shd w:val="clear" w:color="auto" w:fill="auto"/>
            <w:vAlign w:val="center"/>
          </w:tcPr>
          <w:p w14:paraId="3850635E"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5,769</w:t>
            </w:r>
          </w:p>
        </w:tc>
        <w:tc>
          <w:tcPr>
            <w:tcW w:w="1417" w:type="dxa"/>
            <w:shd w:val="clear" w:color="auto" w:fill="auto"/>
            <w:vAlign w:val="center"/>
          </w:tcPr>
          <w:p w14:paraId="7F00CCAF" w14:textId="77777777" w:rsidR="005357C6" w:rsidRPr="001B58AD"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 xml:space="preserve">  182 </w:t>
            </w:r>
          </w:p>
        </w:tc>
        <w:tc>
          <w:tcPr>
            <w:tcW w:w="1418" w:type="dxa"/>
            <w:shd w:val="clear" w:color="auto" w:fill="auto"/>
          </w:tcPr>
          <w:p w14:paraId="5CB956F9"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sidRPr="005523CF">
              <w:rPr>
                <w:rFonts w:cs="Arial"/>
                <w:sz w:val="14"/>
                <w:szCs w:val="14"/>
              </w:rPr>
              <w:t>7</w:t>
            </w:r>
            <w:r>
              <w:rPr>
                <w:rFonts w:cs="Arial"/>
                <w:sz w:val="14"/>
                <w:szCs w:val="14"/>
              </w:rPr>
              <w:t>,</w:t>
            </w:r>
            <w:r w:rsidRPr="005523CF">
              <w:rPr>
                <w:rFonts w:cs="Arial"/>
                <w:sz w:val="14"/>
                <w:szCs w:val="14"/>
              </w:rPr>
              <w:t>979</w:t>
            </w:r>
          </w:p>
        </w:tc>
      </w:tr>
      <w:tr w:rsidR="005357C6" w:rsidRPr="001B58AD" w14:paraId="5B06A857" w14:textId="77777777" w:rsidTr="00222492">
        <w:trPr>
          <w:trHeight w:val="238"/>
          <w:jc w:val="center"/>
        </w:trPr>
        <w:tc>
          <w:tcPr>
            <w:tcW w:w="2553" w:type="dxa"/>
            <w:shd w:val="clear" w:color="auto" w:fill="auto"/>
          </w:tcPr>
          <w:p w14:paraId="3E8F4F3E" w14:textId="77777777" w:rsidR="005357C6" w:rsidRPr="001B58AD" w:rsidRDefault="005357C6" w:rsidP="001D76DC">
            <w:pPr>
              <w:keepNext/>
              <w:keepLines/>
              <w:spacing w:before="40" w:after="40" w:line="240" w:lineRule="auto"/>
              <w:rPr>
                <w:rFonts w:eastAsia="Times New Roman" w:cs="Arial"/>
                <w:b/>
                <w:spacing w:val="-2"/>
                <w:sz w:val="14"/>
                <w:szCs w:val="14"/>
                <w:lang w:eastAsia="pt-BR"/>
              </w:rPr>
            </w:pPr>
            <w:r w:rsidRPr="001B58AD">
              <w:rPr>
                <w:rFonts w:eastAsia="Times New Roman" w:cs="Arial"/>
                <w:b/>
                <w:spacing w:val="-2"/>
                <w:sz w:val="14"/>
                <w:szCs w:val="18"/>
                <w:lang w:eastAsia="pt-BR"/>
              </w:rPr>
              <w:t>Non-current assets</w:t>
            </w:r>
          </w:p>
        </w:tc>
        <w:tc>
          <w:tcPr>
            <w:tcW w:w="1417" w:type="dxa"/>
            <w:shd w:val="clear" w:color="auto" w:fill="auto"/>
            <w:vAlign w:val="center"/>
          </w:tcPr>
          <w:p w14:paraId="1ADFCDA0"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18,186,069</w:t>
            </w:r>
          </w:p>
        </w:tc>
        <w:tc>
          <w:tcPr>
            <w:tcW w:w="1417" w:type="dxa"/>
            <w:shd w:val="clear" w:color="auto" w:fill="auto"/>
            <w:vAlign w:val="center"/>
          </w:tcPr>
          <w:p w14:paraId="16E02D46"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3,540,508</w:t>
            </w:r>
          </w:p>
        </w:tc>
        <w:tc>
          <w:tcPr>
            <w:tcW w:w="1418" w:type="dxa"/>
            <w:shd w:val="clear" w:color="auto" w:fill="auto"/>
            <w:vAlign w:val="center"/>
          </w:tcPr>
          <w:p w14:paraId="3135881C"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2,401</w:t>
            </w:r>
          </w:p>
        </w:tc>
        <w:tc>
          <w:tcPr>
            <w:tcW w:w="1417" w:type="dxa"/>
            <w:shd w:val="clear" w:color="auto" w:fill="auto"/>
            <w:vAlign w:val="center"/>
          </w:tcPr>
          <w:p w14:paraId="6DB35E0E"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 xml:space="preserve">  962,467 </w:t>
            </w:r>
          </w:p>
        </w:tc>
        <w:tc>
          <w:tcPr>
            <w:tcW w:w="1418" w:type="dxa"/>
            <w:shd w:val="clear" w:color="auto" w:fill="auto"/>
            <w:vAlign w:val="center"/>
          </w:tcPr>
          <w:p w14:paraId="152C2EA8"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3</w:t>
            </w:r>
            <w:r>
              <w:rPr>
                <w:rFonts w:cs="Arial"/>
                <w:b/>
                <w:sz w:val="14"/>
                <w:szCs w:val="14"/>
              </w:rPr>
              <w:t>,</w:t>
            </w:r>
            <w:r w:rsidRPr="002E1412">
              <w:rPr>
                <w:rFonts w:cs="Arial"/>
                <w:b/>
                <w:sz w:val="14"/>
                <w:szCs w:val="14"/>
              </w:rPr>
              <w:t>671</w:t>
            </w:r>
          </w:p>
        </w:tc>
      </w:tr>
      <w:tr w:rsidR="005357C6" w:rsidRPr="00D44604" w14:paraId="23C5E8AA" w14:textId="77777777" w:rsidTr="00222492">
        <w:trPr>
          <w:trHeight w:val="238"/>
          <w:jc w:val="center"/>
        </w:trPr>
        <w:tc>
          <w:tcPr>
            <w:tcW w:w="2553" w:type="dxa"/>
            <w:shd w:val="clear" w:color="auto" w:fill="auto"/>
          </w:tcPr>
          <w:p w14:paraId="2974EC1F" w14:textId="77777777" w:rsidR="005357C6" w:rsidRPr="00D44604" w:rsidRDefault="005357C6" w:rsidP="001D76DC">
            <w:pPr>
              <w:keepNext/>
              <w:keepLines/>
              <w:spacing w:before="40" w:after="40" w:line="240" w:lineRule="auto"/>
              <w:ind w:left="113"/>
              <w:rPr>
                <w:rFonts w:eastAsia="Times New Roman" w:cs="Arial"/>
                <w:bCs/>
                <w:spacing w:val="-2"/>
                <w:sz w:val="14"/>
                <w:szCs w:val="14"/>
                <w:lang w:eastAsia="pt-BR"/>
              </w:rPr>
            </w:pPr>
            <w:r w:rsidRPr="00D44604">
              <w:rPr>
                <w:rFonts w:eastAsia="Times New Roman" w:cs="Arial"/>
                <w:spacing w:val="-2"/>
                <w:sz w:val="14"/>
                <w:szCs w:val="18"/>
                <w:lang w:eastAsia="pt-BR"/>
              </w:rPr>
              <w:t>Financial investments</w:t>
            </w:r>
          </w:p>
        </w:tc>
        <w:tc>
          <w:tcPr>
            <w:tcW w:w="1417" w:type="dxa"/>
            <w:shd w:val="clear" w:color="auto" w:fill="auto"/>
            <w:vAlign w:val="center"/>
          </w:tcPr>
          <w:p w14:paraId="059324ED"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17,094,808</w:t>
            </w:r>
          </w:p>
        </w:tc>
        <w:tc>
          <w:tcPr>
            <w:tcW w:w="1417" w:type="dxa"/>
            <w:shd w:val="clear" w:color="auto" w:fill="auto"/>
            <w:vAlign w:val="center"/>
          </w:tcPr>
          <w:p w14:paraId="78FC4C65"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2,182,944</w:t>
            </w:r>
          </w:p>
        </w:tc>
        <w:tc>
          <w:tcPr>
            <w:tcW w:w="1418" w:type="dxa"/>
            <w:shd w:val="clear" w:color="auto" w:fill="auto"/>
            <w:vAlign w:val="center"/>
          </w:tcPr>
          <w:p w14:paraId="020BB6A8"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w:t>
            </w:r>
          </w:p>
        </w:tc>
        <w:tc>
          <w:tcPr>
            <w:tcW w:w="1417" w:type="dxa"/>
            <w:shd w:val="clear" w:color="auto" w:fill="auto"/>
            <w:vAlign w:val="center"/>
          </w:tcPr>
          <w:p w14:paraId="166AF72B" w14:textId="77777777" w:rsidR="005357C6" w:rsidRPr="001B58AD"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 xml:space="preserve">  -- </w:t>
            </w:r>
          </w:p>
        </w:tc>
        <w:tc>
          <w:tcPr>
            <w:tcW w:w="1418" w:type="dxa"/>
            <w:shd w:val="clear" w:color="auto" w:fill="auto"/>
            <w:vAlign w:val="center"/>
          </w:tcPr>
          <w:p w14:paraId="2098DF94"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r>
      <w:tr w:rsidR="005357C6" w:rsidRPr="008927DC" w14:paraId="25CD7CEC" w14:textId="77777777" w:rsidTr="00222492">
        <w:trPr>
          <w:trHeight w:val="238"/>
          <w:jc w:val="center"/>
        </w:trPr>
        <w:tc>
          <w:tcPr>
            <w:tcW w:w="2553" w:type="dxa"/>
            <w:shd w:val="clear" w:color="auto" w:fill="auto"/>
          </w:tcPr>
          <w:p w14:paraId="7A7B8890" w14:textId="77777777" w:rsidR="005357C6" w:rsidRPr="008927DC" w:rsidRDefault="005357C6" w:rsidP="001D76DC">
            <w:pPr>
              <w:keepNext/>
              <w:keepLines/>
              <w:spacing w:before="40" w:after="40" w:line="240" w:lineRule="auto"/>
              <w:ind w:left="113"/>
              <w:rPr>
                <w:rFonts w:eastAsia="Times New Roman" w:cs="Arial"/>
                <w:color w:val="000000"/>
                <w:spacing w:val="-2"/>
                <w:sz w:val="14"/>
                <w:szCs w:val="14"/>
                <w:lang w:eastAsia="pt-BR"/>
              </w:rPr>
            </w:pPr>
            <w:r w:rsidRPr="008927DC">
              <w:rPr>
                <w:rFonts w:eastAsia="Times New Roman" w:cs="Arial"/>
                <w:spacing w:val="-2"/>
                <w:sz w:val="14"/>
                <w:szCs w:val="14"/>
                <w:lang w:eastAsia="pt-BR"/>
              </w:rPr>
              <w:t>Commissions receivable</w:t>
            </w:r>
          </w:p>
        </w:tc>
        <w:tc>
          <w:tcPr>
            <w:tcW w:w="1417" w:type="dxa"/>
            <w:shd w:val="clear" w:color="auto" w:fill="auto"/>
            <w:vAlign w:val="center"/>
          </w:tcPr>
          <w:p w14:paraId="7032EF1A"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417" w:type="dxa"/>
            <w:shd w:val="clear" w:color="auto" w:fill="auto"/>
            <w:vAlign w:val="center"/>
          </w:tcPr>
          <w:p w14:paraId="6D0B9CC6"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w:t>
            </w:r>
          </w:p>
        </w:tc>
        <w:tc>
          <w:tcPr>
            <w:tcW w:w="1418" w:type="dxa"/>
            <w:shd w:val="clear" w:color="auto" w:fill="auto"/>
            <w:vAlign w:val="center"/>
          </w:tcPr>
          <w:p w14:paraId="718A3A28"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417" w:type="dxa"/>
            <w:shd w:val="clear" w:color="auto" w:fill="auto"/>
            <w:vAlign w:val="center"/>
          </w:tcPr>
          <w:p w14:paraId="5EE615D4"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 xml:space="preserve">  698,435 </w:t>
            </w:r>
          </w:p>
        </w:tc>
        <w:tc>
          <w:tcPr>
            <w:tcW w:w="1418" w:type="dxa"/>
            <w:shd w:val="clear" w:color="auto" w:fill="auto"/>
            <w:vAlign w:val="center"/>
          </w:tcPr>
          <w:p w14:paraId="3BE04540"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sidRPr="00800353">
              <w:rPr>
                <w:rFonts w:eastAsia="Times New Roman" w:cs="Arial"/>
                <w:spacing w:val="-2"/>
                <w:sz w:val="14"/>
                <w:szCs w:val="14"/>
                <w:lang w:eastAsia="pt-BR"/>
              </w:rPr>
              <w:t>--</w:t>
            </w:r>
          </w:p>
        </w:tc>
      </w:tr>
      <w:tr w:rsidR="005357C6" w:rsidRPr="008927DC" w14:paraId="5E375699" w14:textId="77777777" w:rsidTr="00222492">
        <w:trPr>
          <w:trHeight w:val="238"/>
          <w:jc w:val="center"/>
        </w:trPr>
        <w:tc>
          <w:tcPr>
            <w:tcW w:w="2553" w:type="dxa"/>
            <w:shd w:val="clear" w:color="auto" w:fill="auto"/>
          </w:tcPr>
          <w:p w14:paraId="573E26F3" w14:textId="77777777" w:rsidR="005357C6" w:rsidRPr="008927DC" w:rsidRDefault="005357C6" w:rsidP="001D76DC">
            <w:pPr>
              <w:keepNext/>
              <w:keepLines/>
              <w:spacing w:before="40" w:after="40" w:line="240" w:lineRule="auto"/>
              <w:ind w:left="113"/>
              <w:rPr>
                <w:rFonts w:eastAsia="Times New Roman" w:cs="Arial"/>
                <w:spacing w:val="-2"/>
                <w:sz w:val="14"/>
                <w:szCs w:val="14"/>
                <w:lang w:eastAsia="pt-BR"/>
              </w:rPr>
            </w:pPr>
            <w:r w:rsidRPr="008927DC">
              <w:rPr>
                <w:rFonts w:eastAsia="Times New Roman" w:cs="Arial"/>
                <w:spacing w:val="-2"/>
                <w:sz w:val="14"/>
                <w:szCs w:val="18"/>
                <w:lang w:eastAsia="pt-BR"/>
              </w:rPr>
              <w:t>Other non-current assets</w:t>
            </w:r>
          </w:p>
        </w:tc>
        <w:tc>
          <w:tcPr>
            <w:tcW w:w="1417" w:type="dxa"/>
            <w:shd w:val="clear" w:color="auto" w:fill="auto"/>
            <w:vAlign w:val="center"/>
          </w:tcPr>
          <w:p w14:paraId="0669217B"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1,091,261</w:t>
            </w:r>
          </w:p>
        </w:tc>
        <w:tc>
          <w:tcPr>
            <w:tcW w:w="1417" w:type="dxa"/>
            <w:shd w:val="clear" w:color="auto" w:fill="auto"/>
            <w:vAlign w:val="center"/>
          </w:tcPr>
          <w:p w14:paraId="0A362010"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1,357,564</w:t>
            </w:r>
          </w:p>
        </w:tc>
        <w:tc>
          <w:tcPr>
            <w:tcW w:w="1418" w:type="dxa"/>
            <w:shd w:val="clear" w:color="auto" w:fill="auto"/>
            <w:vAlign w:val="center"/>
          </w:tcPr>
          <w:p w14:paraId="5978B803"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2,401</w:t>
            </w:r>
          </w:p>
        </w:tc>
        <w:tc>
          <w:tcPr>
            <w:tcW w:w="1417" w:type="dxa"/>
            <w:shd w:val="clear" w:color="auto" w:fill="auto"/>
            <w:vAlign w:val="center"/>
          </w:tcPr>
          <w:p w14:paraId="07383FC2"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 xml:space="preserve">  264,032 </w:t>
            </w:r>
          </w:p>
        </w:tc>
        <w:tc>
          <w:tcPr>
            <w:tcW w:w="1418" w:type="dxa"/>
            <w:shd w:val="clear" w:color="auto" w:fill="auto"/>
            <w:vAlign w:val="center"/>
          </w:tcPr>
          <w:p w14:paraId="13F2A1D6"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3</w:t>
            </w:r>
            <w:r>
              <w:rPr>
                <w:rFonts w:cs="Arial"/>
                <w:sz w:val="14"/>
                <w:szCs w:val="14"/>
              </w:rPr>
              <w:t>,</w:t>
            </w:r>
            <w:r w:rsidRPr="00F74843">
              <w:rPr>
                <w:rFonts w:cs="Arial"/>
                <w:sz w:val="14"/>
                <w:szCs w:val="14"/>
              </w:rPr>
              <w:t>671</w:t>
            </w:r>
          </w:p>
        </w:tc>
      </w:tr>
      <w:tr w:rsidR="005357C6" w:rsidRPr="001B58AD" w14:paraId="76955ED2" w14:textId="77777777" w:rsidTr="00222492">
        <w:trPr>
          <w:trHeight w:val="238"/>
          <w:jc w:val="center"/>
        </w:trPr>
        <w:tc>
          <w:tcPr>
            <w:tcW w:w="2553" w:type="dxa"/>
            <w:shd w:val="clear" w:color="auto" w:fill="auto"/>
          </w:tcPr>
          <w:p w14:paraId="0C020CD8" w14:textId="77777777" w:rsidR="005357C6" w:rsidRPr="001B58AD" w:rsidRDefault="005357C6" w:rsidP="001D76DC">
            <w:pPr>
              <w:keepNext/>
              <w:keepLines/>
              <w:spacing w:before="40" w:after="40" w:line="240" w:lineRule="auto"/>
              <w:rPr>
                <w:rFonts w:eastAsia="Times New Roman" w:cs="Arial"/>
                <w:b/>
                <w:color w:val="000000"/>
                <w:spacing w:val="-2"/>
                <w:sz w:val="14"/>
                <w:szCs w:val="14"/>
                <w:lang w:eastAsia="pt-BR"/>
              </w:rPr>
            </w:pPr>
            <w:r w:rsidRPr="001B58AD">
              <w:rPr>
                <w:rFonts w:eastAsia="Times New Roman" w:cs="Arial"/>
                <w:b/>
                <w:spacing w:val="-2"/>
                <w:sz w:val="14"/>
                <w:szCs w:val="18"/>
                <w:lang w:eastAsia="pt-BR"/>
              </w:rPr>
              <w:t>Current liabilities</w:t>
            </w:r>
          </w:p>
        </w:tc>
        <w:tc>
          <w:tcPr>
            <w:tcW w:w="1417" w:type="dxa"/>
            <w:shd w:val="clear" w:color="auto" w:fill="auto"/>
            <w:vAlign w:val="center"/>
          </w:tcPr>
          <w:p w14:paraId="45B3651A"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35,631,094</w:t>
            </w:r>
          </w:p>
        </w:tc>
        <w:tc>
          <w:tcPr>
            <w:tcW w:w="1417" w:type="dxa"/>
            <w:shd w:val="clear" w:color="auto" w:fill="auto"/>
            <w:vAlign w:val="center"/>
          </w:tcPr>
          <w:p w14:paraId="0E3A7DDA"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8,107,689</w:t>
            </w:r>
          </w:p>
        </w:tc>
        <w:tc>
          <w:tcPr>
            <w:tcW w:w="1418" w:type="dxa"/>
            <w:shd w:val="clear" w:color="auto" w:fill="auto"/>
            <w:vAlign w:val="center"/>
          </w:tcPr>
          <w:p w14:paraId="74FABAC8"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21,302</w:t>
            </w:r>
          </w:p>
        </w:tc>
        <w:tc>
          <w:tcPr>
            <w:tcW w:w="1417" w:type="dxa"/>
            <w:shd w:val="clear" w:color="auto" w:fill="auto"/>
            <w:vAlign w:val="center"/>
          </w:tcPr>
          <w:p w14:paraId="51DC7966"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 xml:space="preserve">  3,248,559 </w:t>
            </w:r>
          </w:p>
        </w:tc>
        <w:tc>
          <w:tcPr>
            <w:tcW w:w="1418" w:type="dxa"/>
            <w:shd w:val="clear" w:color="auto" w:fill="auto"/>
            <w:vAlign w:val="center"/>
          </w:tcPr>
          <w:p w14:paraId="122A29E1"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14</w:t>
            </w:r>
            <w:r>
              <w:rPr>
                <w:rFonts w:cs="Arial"/>
                <w:b/>
                <w:sz w:val="14"/>
                <w:szCs w:val="14"/>
              </w:rPr>
              <w:t>,</w:t>
            </w:r>
            <w:r w:rsidRPr="002E1412">
              <w:rPr>
                <w:rFonts w:cs="Arial"/>
                <w:b/>
                <w:sz w:val="14"/>
                <w:szCs w:val="14"/>
              </w:rPr>
              <w:t>387</w:t>
            </w:r>
          </w:p>
        </w:tc>
      </w:tr>
      <w:tr w:rsidR="005357C6" w:rsidRPr="00D44604" w14:paraId="0B3A2E21" w14:textId="77777777" w:rsidTr="00222492">
        <w:trPr>
          <w:trHeight w:val="238"/>
          <w:jc w:val="center"/>
        </w:trPr>
        <w:tc>
          <w:tcPr>
            <w:tcW w:w="2553" w:type="dxa"/>
            <w:shd w:val="clear" w:color="auto" w:fill="auto"/>
          </w:tcPr>
          <w:p w14:paraId="5B63A66F" w14:textId="77777777" w:rsidR="005357C6" w:rsidRPr="00D44604" w:rsidRDefault="005357C6" w:rsidP="001D76DC">
            <w:pPr>
              <w:keepNext/>
              <w:keepLines/>
              <w:spacing w:before="40" w:after="40" w:line="240" w:lineRule="auto"/>
              <w:ind w:left="113"/>
              <w:rPr>
                <w:rFonts w:eastAsia="Times New Roman" w:cs="Arial"/>
                <w:b/>
                <w:color w:val="000000"/>
                <w:spacing w:val="-2"/>
                <w:sz w:val="14"/>
                <w:szCs w:val="14"/>
                <w:lang w:eastAsia="pt-BR"/>
              </w:rPr>
            </w:pPr>
            <w:r w:rsidRPr="00D44604">
              <w:rPr>
                <w:rFonts w:eastAsia="Times New Roman" w:cs="Arial"/>
                <w:spacing w:val="-2"/>
                <w:sz w:val="14"/>
                <w:szCs w:val="18"/>
                <w:lang w:eastAsia="pt-BR"/>
              </w:rPr>
              <w:t>Financial liabilities</w:t>
            </w:r>
          </w:p>
        </w:tc>
        <w:tc>
          <w:tcPr>
            <w:tcW w:w="1417" w:type="dxa"/>
            <w:shd w:val="clear" w:color="auto" w:fill="auto"/>
            <w:vAlign w:val="center"/>
          </w:tcPr>
          <w:p w14:paraId="18F4CBD0" w14:textId="77777777" w:rsidR="005357C6" w:rsidRPr="00D44604" w:rsidRDefault="005357C6" w:rsidP="001D76DC">
            <w:pPr>
              <w:keepNext/>
              <w:keepLines/>
              <w:spacing w:before="40" w:after="40" w:line="240" w:lineRule="auto"/>
              <w:jc w:val="right"/>
              <w:rPr>
                <w:rFonts w:eastAsia="Times New Roman" w:cs="Arial"/>
                <w:b/>
                <w:bCs/>
                <w:spacing w:val="-2"/>
                <w:sz w:val="14"/>
                <w:szCs w:val="14"/>
                <w:lang w:eastAsia="pt-BR"/>
              </w:rPr>
            </w:pPr>
            <w:r>
              <w:rPr>
                <w:rFonts w:cs="Arial"/>
                <w:sz w:val="14"/>
                <w:szCs w:val="14"/>
              </w:rPr>
              <w:t>397,864</w:t>
            </w:r>
          </w:p>
        </w:tc>
        <w:tc>
          <w:tcPr>
            <w:tcW w:w="1417" w:type="dxa"/>
            <w:shd w:val="clear" w:color="auto" w:fill="auto"/>
            <w:vAlign w:val="center"/>
          </w:tcPr>
          <w:p w14:paraId="023BBC17" w14:textId="77777777" w:rsidR="005357C6" w:rsidRPr="00D44604" w:rsidRDefault="005357C6" w:rsidP="001D76DC">
            <w:pPr>
              <w:keepNext/>
              <w:keepLines/>
              <w:spacing w:before="40" w:after="40" w:line="240" w:lineRule="auto"/>
              <w:jc w:val="right"/>
              <w:rPr>
                <w:rFonts w:eastAsia="Times New Roman" w:cs="Arial"/>
                <w:b/>
                <w:bCs/>
                <w:spacing w:val="-2"/>
                <w:sz w:val="14"/>
                <w:szCs w:val="14"/>
                <w:lang w:eastAsia="pt-BR"/>
              </w:rPr>
            </w:pPr>
            <w:r>
              <w:rPr>
                <w:rFonts w:cs="Arial"/>
                <w:sz w:val="14"/>
                <w:szCs w:val="14"/>
              </w:rPr>
              <w:t>205,599</w:t>
            </w:r>
          </w:p>
        </w:tc>
        <w:tc>
          <w:tcPr>
            <w:tcW w:w="1418" w:type="dxa"/>
            <w:shd w:val="clear" w:color="auto" w:fill="auto"/>
            <w:vAlign w:val="center"/>
          </w:tcPr>
          <w:p w14:paraId="48AB6372" w14:textId="77777777" w:rsidR="005357C6" w:rsidRPr="00D44604" w:rsidRDefault="005357C6" w:rsidP="001D76DC">
            <w:pPr>
              <w:keepNext/>
              <w:keepLines/>
              <w:spacing w:before="40" w:after="40" w:line="240" w:lineRule="auto"/>
              <w:jc w:val="right"/>
              <w:rPr>
                <w:rFonts w:eastAsia="Times New Roman" w:cs="Arial"/>
                <w:b/>
                <w:bCs/>
                <w:spacing w:val="-2"/>
                <w:sz w:val="14"/>
                <w:szCs w:val="14"/>
                <w:lang w:eastAsia="pt-BR"/>
              </w:rPr>
            </w:pPr>
            <w:r>
              <w:rPr>
                <w:rFonts w:cs="Arial"/>
                <w:sz w:val="14"/>
                <w:szCs w:val="14"/>
              </w:rPr>
              <w:t>--</w:t>
            </w:r>
          </w:p>
        </w:tc>
        <w:tc>
          <w:tcPr>
            <w:tcW w:w="1417" w:type="dxa"/>
            <w:shd w:val="clear" w:color="auto" w:fill="auto"/>
            <w:vAlign w:val="center"/>
          </w:tcPr>
          <w:p w14:paraId="7212E2E2" w14:textId="77777777" w:rsidR="005357C6" w:rsidRPr="001B58AD" w:rsidRDefault="005357C6" w:rsidP="001D76DC">
            <w:pPr>
              <w:keepNext/>
              <w:keepLines/>
              <w:spacing w:before="40" w:after="40" w:line="240" w:lineRule="auto"/>
              <w:jc w:val="right"/>
              <w:rPr>
                <w:rFonts w:eastAsia="Times New Roman" w:cs="Arial"/>
                <w:b/>
                <w:bCs/>
                <w:spacing w:val="-2"/>
                <w:sz w:val="14"/>
                <w:szCs w:val="14"/>
                <w:lang w:eastAsia="pt-BR"/>
              </w:rPr>
            </w:pPr>
            <w:r>
              <w:rPr>
                <w:rFonts w:cs="Arial"/>
                <w:sz w:val="14"/>
                <w:szCs w:val="14"/>
              </w:rPr>
              <w:t xml:space="preserve">  -- </w:t>
            </w:r>
          </w:p>
        </w:tc>
        <w:tc>
          <w:tcPr>
            <w:tcW w:w="1418" w:type="dxa"/>
            <w:shd w:val="clear" w:color="auto" w:fill="auto"/>
            <w:vAlign w:val="center"/>
          </w:tcPr>
          <w:p w14:paraId="5996DA1B" w14:textId="77777777" w:rsidR="005357C6" w:rsidRPr="00D44604" w:rsidRDefault="005357C6" w:rsidP="001D76DC">
            <w:pPr>
              <w:keepNext/>
              <w:keepLines/>
              <w:spacing w:before="40" w:after="40" w:line="240" w:lineRule="auto"/>
              <w:jc w:val="right"/>
              <w:rPr>
                <w:rFonts w:eastAsia="Times New Roman" w:cs="Arial"/>
                <w:b/>
                <w:bCs/>
                <w:spacing w:val="-2"/>
                <w:sz w:val="14"/>
                <w:szCs w:val="14"/>
                <w:lang w:eastAsia="pt-BR"/>
              </w:rPr>
            </w:pPr>
            <w:r w:rsidRPr="00F74843">
              <w:rPr>
                <w:rFonts w:cs="Arial"/>
                <w:sz w:val="14"/>
                <w:szCs w:val="14"/>
              </w:rPr>
              <w:t>1</w:t>
            </w:r>
            <w:r>
              <w:rPr>
                <w:rFonts w:cs="Arial"/>
                <w:sz w:val="14"/>
                <w:szCs w:val="14"/>
              </w:rPr>
              <w:t>,</w:t>
            </w:r>
            <w:r w:rsidRPr="00F74843">
              <w:rPr>
                <w:rFonts w:cs="Arial"/>
                <w:sz w:val="14"/>
                <w:szCs w:val="14"/>
              </w:rPr>
              <w:t>110</w:t>
            </w:r>
          </w:p>
        </w:tc>
      </w:tr>
      <w:tr w:rsidR="005357C6" w:rsidRPr="00D44604" w14:paraId="125EFD08" w14:textId="77777777" w:rsidTr="00222492">
        <w:trPr>
          <w:trHeight w:val="238"/>
          <w:jc w:val="center"/>
        </w:trPr>
        <w:tc>
          <w:tcPr>
            <w:tcW w:w="2553" w:type="dxa"/>
            <w:shd w:val="clear" w:color="auto" w:fill="auto"/>
          </w:tcPr>
          <w:p w14:paraId="5208662E" w14:textId="77777777" w:rsidR="005357C6" w:rsidRPr="00D44604" w:rsidRDefault="005357C6" w:rsidP="001D76DC">
            <w:pPr>
              <w:keepNext/>
              <w:keepLines/>
              <w:spacing w:before="40" w:after="40" w:line="240" w:lineRule="auto"/>
              <w:ind w:left="113"/>
              <w:rPr>
                <w:rFonts w:eastAsia="Times New Roman" w:cs="Arial"/>
                <w:bCs/>
                <w:color w:val="000000"/>
                <w:spacing w:val="-2"/>
                <w:sz w:val="14"/>
                <w:szCs w:val="14"/>
                <w:lang w:eastAsia="pt-BR"/>
              </w:rPr>
            </w:pPr>
            <w:r w:rsidRPr="00D44604">
              <w:rPr>
                <w:rFonts w:eastAsia="Times New Roman" w:cs="Arial"/>
                <w:spacing w:val="-2"/>
                <w:sz w:val="14"/>
                <w:szCs w:val="18"/>
                <w:lang w:eastAsia="pt-BR"/>
              </w:rPr>
              <w:t>Technical provisions</w:t>
            </w:r>
          </w:p>
        </w:tc>
        <w:tc>
          <w:tcPr>
            <w:tcW w:w="1417" w:type="dxa"/>
            <w:shd w:val="clear" w:color="auto" w:fill="auto"/>
            <w:vAlign w:val="center"/>
          </w:tcPr>
          <w:p w14:paraId="2744C369"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34,700,950</w:t>
            </w:r>
          </w:p>
        </w:tc>
        <w:tc>
          <w:tcPr>
            <w:tcW w:w="1417" w:type="dxa"/>
            <w:shd w:val="clear" w:color="auto" w:fill="auto"/>
            <w:vAlign w:val="center"/>
          </w:tcPr>
          <w:p w14:paraId="14095EAD"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7,872,886</w:t>
            </w:r>
          </w:p>
        </w:tc>
        <w:tc>
          <w:tcPr>
            <w:tcW w:w="1418" w:type="dxa"/>
            <w:shd w:val="clear" w:color="auto" w:fill="auto"/>
            <w:vAlign w:val="center"/>
          </w:tcPr>
          <w:p w14:paraId="4681C9EB"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12,662</w:t>
            </w:r>
          </w:p>
        </w:tc>
        <w:tc>
          <w:tcPr>
            <w:tcW w:w="1417" w:type="dxa"/>
            <w:shd w:val="clear" w:color="auto" w:fill="auto"/>
            <w:vAlign w:val="center"/>
          </w:tcPr>
          <w:p w14:paraId="7C2C299D" w14:textId="77777777" w:rsidR="005357C6" w:rsidRPr="001B58AD"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 xml:space="preserve">  -- </w:t>
            </w:r>
          </w:p>
        </w:tc>
        <w:tc>
          <w:tcPr>
            <w:tcW w:w="1418" w:type="dxa"/>
            <w:shd w:val="clear" w:color="auto" w:fill="auto"/>
            <w:vAlign w:val="center"/>
          </w:tcPr>
          <w:p w14:paraId="454565CB"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2</w:t>
            </w:r>
            <w:r>
              <w:rPr>
                <w:rFonts w:cs="Arial"/>
                <w:sz w:val="14"/>
                <w:szCs w:val="14"/>
              </w:rPr>
              <w:t>,</w:t>
            </w:r>
            <w:r w:rsidRPr="00F74843">
              <w:rPr>
                <w:rFonts w:cs="Arial"/>
                <w:sz w:val="14"/>
                <w:szCs w:val="14"/>
              </w:rPr>
              <w:t>945</w:t>
            </w:r>
          </w:p>
        </w:tc>
      </w:tr>
      <w:tr w:rsidR="005357C6" w:rsidRPr="00D44604" w14:paraId="3216C919" w14:textId="77777777" w:rsidTr="00222492">
        <w:trPr>
          <w:trHeight w:val="238"/>
          <w:jc w:val="center"/>
        </w:trPr>
        <w:tc>
          <w:tcPr>
            <w:tcW w:w="2553" w:type="dxa"/>
            <w:shd w:val="clear" w:color="auto" w:fill="auto"/>
          </w:tcPr>
          <w:p w14:paraId="611DDF0A" w14:textId="77777777" w:rsidR="005357C6" w:rsidRPr="00D44604" w:rsidRDefault="005357C6" w:rsidP="001D76DC">
            <w:pPr>
              <w:keepNext/>
              <w:keepLines/>
              <w:spacing w:before="40" w:after="40" w:line="240" w:lineRule="auto"/>
              <w:ind w:left="113"/>
              <w:rPr>
                <w:rFonts w:eastAsia="Times New Roman" w:cs="Arial"/>
                <w:b/>
                <w:color w:val="000000"/>
                <w:spacing w:val="-2"/>
                <w:sz w:val="14"/>
                <w:szCs w:val="14"/>
                <w:lang w:eastAsia="pt-BR"/>
              </w:rPr>
            </w:pPr>
            <w:r w:rsidRPr="00D44604">
              <w:rPr>
                <w:rFonts w:eastAsia="Times New Roman" w:cs="Arial"/>
                <w:spacing w:val="-2"/>
                <w:sz w:val="14"/>
                <w:szCs w:val="14"/>
                <w:lang w:eastAsia="pt-BR"/>
              </w:rPr>
              <w:t>Dividends payable</w:t>
            </w:r>
          </w:p>
        </w:tc>
        <w:tc>
          <w:tcPr>
            <w:tcW w:w="1417" w:type="dxa"/>
            <w:shd w:val="clear" w:color="auto" w:fill="auto"/>
            <w:vAlign w:val="center"/>
          </w:tcPr>
          <w:p w14:paraId="5202793E" w14:textId="77777777" w:rsidR="005357C6" w:rsidRPr="00D44604" w:rsidRDefault="005357C6" w:rsidP="001D76DC">
            <w:pPr>
              <w:keepNext/>
              <w:keepLines/>
              <w:spacing w:before="40" w:after="40" w:line="240" w:lineRule="auto"/>
              <w:jc w:val="right"/>
              <w:rPr>
                <w:rFonts w:eastAsia="Times New Roman" w:cs="Arial"/>
                <w:b/>
                <w:bCs/>
                <w:spacing w:val="-2"/>
                <w:sz w:val="14"/>
                <w:szCs w:val="14"/>
                <w:lang w:eastAsia="pt-BR"/>
              </w:rPr>
            </w:pPr>
            <w:r>
              <w:rPr>
                <w:rFonts w:cs="Arial"/>
                <w:sz w:val="14"/>
                <w:szCs w:val="14"/>
              </w:rPr>
              <w:t>2,198</w:t>
            </w:r>
          </w:p>
        </w:tc>
        <w:tc>
          <w:tcPr>
            <w:tcW w:w="1417" w:type="dxa"/>
            <w:shd w:val="clear" w:color="auto" w:fill="auto"/>
            <w:vAlign w:val="center"/>
          </w:tcPr>
          <w:p w14:paraId="43F22DF8" w14:textId="77777777" w:rsidR="005357C6" w:rsidRPr="00D44604" w:rsidRDefault="005357C6" w:rsidP="001D76DC">
            <w:pPr>
              <w:keepNext/>
              <w:keepLines/>
              <w:spacing w:before="40" w:after="40" w:line="240" w:lineRule="auto"/>
              <w:jc w:val="right"/>
              <w:rPr>
                <w:rFonts w:eastAsia="Times New Roman" w:cs="Arial"/>
                <w:b/>
                <w:bCs/>
                <w:spacing w:val="-2"/>
                <w:sz w:val="14"/>
                <w:szCs w:val="14"/>
                <w:lang w:eastAsia="pt-BR"/>
              </w:rPr>
            </w:pPr>
            <w:r>
              <w:rPr>
                <w:rFonts w:cs="Arial"/>
                <w:sz w:val="14"/>
                <w:szCs w:val="14"/>
              </w:rPr>
              <w:t>2,681</w:t>
            </w:r>
          </w:p>
        </w:tc>
        <w:tc>
          <w:tcPr>
            <w:tcW w:w="1418" w:type="dxa"/>
            <w:shd w:val="clear" w:color="auto" w:fill="auto"/>
            <w:vAlign w:val="center"/>
          </w:tcPr>
          <w:p w14:paraId="3CDA52E5" w14:textId="77777777" w:rsidR="005357C6" w:rsidRPr="00D44604" w:rsidRDefault="005357C6" w:rsidP="001D76DC">
            <w:pPr>
              <w:keepNext/>
              <w:keepLines/>
              <w:spacing w:before="40" w:after="40" w:line="240" w:lineRule="auto"/>
              <w:jc w:val="right"/>
              <w:rPr>
                <w:rFonts w:eastAsia="Times New Roman" w:cs="Arial"/>
                <w:b/>
                <w:bCs/>
                <w:spacing w:val="-2"/>
                <w:sz w:val="14"/>
                <w:szCs w:val="14"/>
                <w:lang w:eastAsia="pt-BR"/>
              </w:rPr>
            </w:pPr>
            <w:r>
              <w:rPr>
                <w:rFonts w:cs="Arial"/>
                <w:sz w:val="14"/>
                <w:szCs w:val="14"/>
              </w:rPr>
              <w:t>--</w:t>
            </w:r>
          </w:p>
        </w:tc>
        <w:tc>
          <w:tcPr>
            <w:tcW w:w="1417" w:type="dxa"/>
            <w:shd w:val="clear" w:color="auto" w:fill="auto"/>
            <w:vAlign w:val="center"/>
          </w:tcPr>
          <w:p w14:paraId="1EAADFD4" w14:textId="77777777" w:rsidR="005357C6" w:rsidRPr="001B58AD" w:rsidRDefault="005357C6" w:rsidP="001D76DC">
            <w:pPr>
              <w:keepNext/>
              <w:keepLines/>
              <w:spacing w:before="40" w:after="40" w:line="240" w:lineRule="auto"/>
              <w:jc w:val="right"/>
              <w:rPr>
                <w:rFonts w:eastAsia="Times New Roman" w:cs="Arial"/>
                <w:b/>
                <w:bCs/>
                <w:spacing w:val="-2"/>
                <w:sz w:val="14"/>
                <w:szCs w:val="14"/>
                <w:lang w:eastAsia="pt-BR"/>
              </w:rPr>
            </w:pPr>
            <w:r>
              <w:rPr>
                <w:rFonts w:cs="Arial"/>
                <w:sz w:val="14"/>
                <w:szCs w:val="14"/>
              </w:rPr>
              <w:t xml:space="preserve">  1,132,039 </w:t>
            </w:r>
          </w:p>
        </w:tc>
        <w:tc>
          <w:tcPr>
            <w:tcW w:w="1418" w:type="dxa"/>
            <w:shd w:val="clear" w:color="auto" w:fill="auto"/>
            <w:vAlign w:val="center"/>
          </w:tcPr>
          <w:p w14:paraId="1C598A2E" w14:textId="77777777" w:rsidR="005357C6" w:rsidRPr="00D44604" w:rsidRDefault="005357C6" w:rsidP="001D76DC">
            <w:pPr>
              <w:keepNext/>
              <w:keepLines/>
              <w:spacing w:before="40" w:after="40" w:line="240" w:lineRule="auto"/>
              <w:jc w:val="right"/>
              <w:rPr>
                <w:rFonts w:eastAsia="Times New Roman" w:cs="Arial"/>
                <w:b/>
                <w:bCs/>
                <w:spacing w:val="-2"/>
                <w:sz w:val="14"/>
                <w:szCs w:val="14"/>
                <w:lang w:eastAsia="pt-BR"/>
              </w:rPr>
            </w:pPr>
            <w:r w:rsidRPr="00F74843">
              <w:rPr>
                <w:rFonts w:cs="Arial"/>
                <w:sz w:val="14"/>
                <w:szCs w:val="14"/>
              </w:rPr>
              <w:t>--</w:t>
            </w:r>
          </w:p>
        </w:tc>
      </w:tr>
      <w:tr w:rsidR="005357C6" w:rsidRPr="00D44604" w14:paraId="1A71AF0B" w14:textId="77777777" w:rsidTr="00222492">
        <w:trPr>
          <w:trHeight w:val="238"/>
          <w:jc w:val="center"/>
        </w:trPr>
        <w:tc>
          <w:tcPr>
            <w:tcW w:w="2553" w:type="dxa"/>
            <w:shd w:val="clear" w:color="auto" w:fill="auto"/>
          </w:tcPr>
          <w:p w14:paraId="2F2D9B60" w14:textId="77777777" w:rsidR="005357C6" w:rsidRPr="00D44604" w:rsidRDefault="005357C6" w:rsidP="001D76DC">
            <w:pPr>
              <w:keepNext/>
              <w:keepLines/>
              <w:spacing w:before="40" w:after="40" w:line="240" w:lineRule="auto"/>
              <w:ind w:left="113"/>
              <w:rPr>
                <w:rFonts w:eastAsia="Times New Roman" w:cs="Arial"/>
                <w:bCs/>
                <w:color w:val="000000"/>
                <w:spacing w:val="-2"/>
                <w:sz w:val="14"/>
                <w:szCs w:val="14"/>
                <w:lang w:eastAsia="pt-BR"/>
              </w:rPr>
            </w:pPr>
            <w:r w:rsidRPr="00D44604">
              <w:rPr>
                <w:rFonts w:eastAsia="Times New Roman" w:cs="Arial"/>
                <w:spacing w:val="-2"/>
                <w:sz w:val="14"/>
                <w:szCs w:val="14"/>
                <w:lang w:eastAsia="pt-BR"/>
              </w:rPr>
              <w:t>Commissions to be appropriated</w:t>
            </w:r>
          </w:p>
        </w:tc>
        <w:tc>
          <w:tcPr>
            <w:tcW w:w="1417" w:type="dxa"/>
            <w:shd w:val="clear" w:color="auto" w:fill="auto"/>
            <w:vAlign w:val="center"/>
          </w:tcPr>
          <w:p w14:paraId="03AE7CCF"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417" w:type="dxa"/>
            <w:shd w:val="clear" w:color="auto" w:fill="auto"/>
            <w:vAlign w:val="center"/>
          </w:tcPr>
          <w:p w14:paraId="57F6B6E3"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w:t>
            </w:r>
          </w:p>
        </w:tc>
        <w:tc>
          <w:tcPr>
            <w:tcW w:w="1418" w:type="dxa"/>
            <w:shd w:val="clear" w:color="auto" w:fill="auto"/>
            <w:vAlign w:val="center"/>
          </w:tcPr>
          <w:p w14:paraId="2ED30A51"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w:t>
            </w:r>
          </w:p>
        </w:tc>
        <w:tc>
          <w:tcPr>
            <w:tcW w:w="1417" w:type="dxa"/>
            <w:shd w:val="clear" w:color="auto" w:fill="auto"/>
            <w:vAlign w:val="center"/>
          </w:tcPr>
          <w:p w14:paraId="713F95D2" w14:textId="77777777" w:rsidR="005357C6" w:rsidRPr="001B58AD"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 xml:space="preserve">  1,172,483 </w:t>
            </w:r>
          </w:p>
        </w:tc>
        <w:tc>
          <w:tcPr>
            <w:tcW w:w="1418" w:type="dxa"/>
            <w:shd w:val="clear" w:color="auto" w:fill="auto"/>
            <w:vAlign w:val="center"/>
          </w:tcPr>
          <w:p w14:paraId="2F6395AC"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r>
      <w:tr w:rsidR="005357C6" w:rsidRPr="00D44604" w14:paraId="097CD4FB" w14:textId="77777777" w:rsidTr="00222492">
        <w:trPr>
          <w:trHeight w:val="238"/>
          <w:jc w:val="center"/>
        </w:trPr>
        <w:tc>
          <w:tcPr>
            <w:tcW w:w="2553" w:type="dxa"/>
            <w:shd w:val="clear" w:color="auto" w:fill="auto"/>
          </w:tcPr>
          <w:p w14:paraId="1654FE62" w14:textId="77777777" w:rsidR="005357C6" w:rsidRPr="00D44604" w:rsidRDefault="005357C6" w:rsidP="001D76DC">
            <w:pPr>
              <w:keepNext/>
              <w:keepLines/>
              <w:spacing w:before="40" w:after="40" w:line="240" w:lineRule="auto"/>
              <w:ind w:left="113"/>
              <w:rPr>
                <w:rFonts w:eastAsia="Times New Roman" w:cs="Arial"/>
                <w:b/>
                <w:bCs/>
                <w:color w:val="000000"/>
                <w:spacing w:val="-2"/>
                <w:sz w:val="14"/>
                <w:szCs w:val="14"/>
                <w:lang w:eastAsia="pt-BR"/>
              </w:rPr>
            </w:pPr>
            <w:r w:rsidRPr="00D44604">
              <w:rPr>
                <w:rFonts w:eastAsia="Times New Roman" w:cs="Arial"/>
                <w:spacing w:val="-2"/>
                <w:sz w:val="14"/>
                <w:szCs w:val="18"/>
                <w:lang w:eastAsia="pt-BR"/>
              </w:rPr>
              <w:t>Other current liabilities</w:t>
            </w:r>
          </w:p>
        </w:tc>
        <w:tc>
          <w:tcPr>
            <w:tcW w:w="1417" w:type="dxa"/>
            <w:shd w:val="clear" w:color="auto" w:fill="auto"/>
            <w:vAlign w:val="center"/>
          </w:tcPr>
          <w:p w14:paraId="55AFB0B8"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530,082</w:t>
            </w:r>
          </w:p>
        </w:tc>
        <w:tc>
          <w:tcPr>
            <w:tcW w:w="1417" w:type="dxa"/>
            <w:shd w:val="clear" w:color="auto" w:fill="auto"/>
            <w:vAlign w:val="center"/>
          </w:tcPr>
          <w:p w14:paraId="501B68BF"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26,523</w:t>
            </w:r>
          </w:p>
        </w:tc>
        <w:tc>
          <w:tcPr>
            <w:tcW w:w="1418" w:type="dxa"/>
            <w:shd w:val="clear" w:color="auto" w:fill="auto"/>
            <w:vAlign w:val="center"/>
          </w:tcPr>
          <w:p w14:paraId="468E426D"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8,640</w:t>
            </w:r>
          </w:p>
        </w:tc>
        <w:tc>
          <w:tcPr>
            <w:tcW w:w="1417" w:type="dxa"/>
            <w:shd w:val="clear" w:color="auto" w:fill="auto"/>
            <w:vAlign w:val="center"/>
          </w:tcPr>
          <w:p w14:paraId="5A971DAC" w14:textId="77777777" w:rsidR="005357C6" w:rsidRPr="001B58AD"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 xml:space="preserve">  944,037 </w:t>
            </w:r>
          </w:p>
        </w:tc>
        <w:tc>
          <w:tcPr>
            <w:tcW w:w="1418" w:type="dxa"/>
            <w:shd w:val="clear" w:color="auto" w:fill="auto"/>
            <w:vAlign w:val="center"/>
          </w:tcPr>
          <w:p w14:paraId="725A33A9"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10</w:t>
            </w:r>
            <w:r>
              <w:rPr>
                <w:rFonts w:cs="Arial"/>
                <w:sz w:val="14"/>
                <w:szCs w:val="14"/>
              </w:rPr>
              <w:t>,</w:t>
            </w:r>
            <w:r w:rsidRPr="00F74843">
              <w:rPr>
                <w:rFonts w:cs="Arial"/>
                <w:sz w:val="14"/>
                <w:szCs w:val="14"/>
              </w:rPr>
              <w:t>332</w:t>
            </w:r>
          </w:p>
        </w:tc>
      </w:tr>
      <w:tr w:rsidR="005357C6" w:rsidRPr="001B58AD" w14:paraId="788BA9B9" w14:textId="77777777" w:rsidTr="00222492">
        <w:trPr>
          <w:trHeight w:val="238"/>
          <w:jc w:val="center"/>
        </w:trPr>
        <w:tc>
          <w:tcPr>
            <w:tcW w:w="2553" w:type="dxa"/>
            <w:shd w:val="clear" w:color="auto" w:fill="auto"/>
          </w:tcPr>
          <w:p w14:paraId="15035AF5" w14:textId="77777777" w:rsidR="005357C6" w:rsidRPr="001B58AD" w:rsidRDefault="005357C6" w:rsidP="001D76DC">
            <w:pPr>
              <w:keepNext/>
              <w:keepLines/>
              <w:spacing w:before="40" w:after="40" w:line="240" w:lineRule="auto"/>
              <w:rPr>
                <w:rFonts w:eastAsia="Times New Roman" w:cs="Arial"/>
                <w:b/>
                <w:color w:val="000000"/>
                <w:spacing w:val="-2"/>
                <w:sz w:val="14"/>
                <w:szCs w:val="14"/>
                <w:lang w:eastAsia="pt-BR"/>
              </w:rPr>
            </w:pPr>
            <w:r w:rsidRPr="001B58AD">
              <w:rPr>
                <w:rFonts w:eastAsia="Times New Roman" w:cs="Arial"/>
                <w:b/>
                <w:spacing w:val="-2"/>
                <w:sz w:val="14"/>
                <w:szCs w:val="18"/>
                <w:lang w:eastAsia="pt-BR"/>
              </w:rPr>
              <w:t>Non-current liabilities</w:t>
            </w:r>
          </w:p>
        </w:tc>
        <w:tc>
          <w:tcPr>
            <w:tcW w:w="1417" w:type="dxa"/>
            <w:shd w:val="clear" w:color="auto" w:fill="auto"/>
            <w:vAlign w:val="center"/>
          </w:tcPr>
          <w:p w14:paraId="3CC51E34"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279,120,921</w:t>
            </w:r>
          </w:p>
        </w:tc>
        <w:tc>
          <w:tcPr>
            <w:tcW w:w="1417" w:type="dxa"/>
            <w:shd w:val="clear" w:color="auto" w:fill="auto"/>
            <w:vAlign w:val="center"/>
          </w:tcPr>
          <w:p w14:paraId="71248961"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1,088,809</w:t>
            </w:r>
          </w:p>
        </w:tc>
        <w:tc>
          <w:tcPr>
            <w:tcW w:w="1418" w:type="dxa"/>
            <w:shd w:val="clear" w:color="auto" w:fill="auto"/>
            <w:vAlign w:val="center"/>
          </w:tcPr>
          <w:p w14:paraId="21B73BEF"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4,080</w:t>
            </w:r>
          </w:p>
        </w:tc>
        <w:tc>
          <w:tcPr>
            <w:tcW w:w="1417" w:type="dxa"/>
            <w:shd w:val="clear" w:color="auto" w:fill="auto"/>
            <w:vAlign w:val="center"/>
          </w:tcPr>
          <w:p w14:paraId="0D8316AB"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 xml:space="preserve">  1,804,346 </w:t>
            </w:r>
          </w:p>
        </w:tc>
        <w:tc>
          <w:tcPr>
            <w:tcW w:w="1418" w:type="dxa"/>
            <w:shd w:val="clear" w:color="auto" w:fill="auto"/>
            <w:vAlign w:val="center"/>
          </w:tcPr>
          <w:p w14:paraId="79096599"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w:t>
            </w:r>
          </w:p>
        </w:tc>
      </w:tr>
      <w:tr w:rsidR="005357C6" w:rsidRPr="008927DC" w14:paraId="7B4FDCBA" w14:textId="77777777" w:rsidTr="00222492">
        <w:trPr>
          <w:trHeight w:val="238"/>
          <w:jc w:val="center"/>
        </w:trPr>
        <w:tc>
          <w:tcPr>
            <w:tcW w:w="2553" w:type="dxa"/>
            <w:shd w:val="clear" w:color="auto" w:fill="auto"/>
          </w:tcPr>
          <w:p w14:paraId="20FB03E3" w14:textId="77777777" w:rsidR="005357C6" w:rsidRPr="008927DC" w:rsidRDefault="005357C6" w:rsidP="001D76DC">
            <w:pPr>
              <w:keepNext/>
              <w:keepLines/>
              <w:spacing w:before="40" w:after="40" w:line="240" w:lineRule="auto"/>
              <w:ind w:left="113"/>
              <w:rPr>
                <w:rFonts w:eastAsia="Times New Roman" w:cs="Arial"/>
                <w:color w:val="000000"/>
                <w:spacing w:val="-2"/>
                <w:sz w:val="14"/>
                <w:szCs w:val="14"/>
                <w:lang w:eastAsia="pt-BR"/>
              </w:rPr>
            </w:pPr>
            <w:r w:rsidRPr="008927DC">
              <w:rPr>
                <w:rFonts w:eastAsia="Times New Roman" w:cs="Arial"/>
                <w:spacing w:val="-2"/>
                <w:sz w:val="14"/>
                <w:szCs w:val="18"/>
                <w:lang w:eastAsia="pt-BR"/>
              </w:rPr>
              <w:t>Technical provisions</w:t>
            </w:r>
          </w:p>
        </w:tc>
        <w:tc>
          <w:tcPr>
            <w:tcW w:w="1417" w:type="dxa"/>
            <w:shd w:val="clear" w:color="auto" w:fill="auto"/>
            <w:vAlign w:val="center"/>
          </w:tcPr>
          <w:p w14:paraId="58D0E1AC"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581,677</w:t>
            </w:r>
          </w:p>
        </w:tc>
        <w:tc>
          <w:tcPr>
            <w:tcW w:w="1417" w:type="dxa"/>
            <w:shd w:val="clear" w:color="auto" w:fill="auto"/>
            <w:vAlign w:val="center"/>
          </w:tcPr>
          <w:p w14:paraId="606E64E4"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10,780</w:t>
            </w:r>
          </w:p>
        </w:tc>
        <w:tc>
          <w:tcPr>
            <w:tcW w:w="1418" w:type="dxa"/>
            <w:shd w:val="clear" w:color="auto" w:fill="auto"/>
            <w:vAlign w:val="center"/>
          </w:tcPr>
          <w:p w14:paraId="06215DC4"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w:t>
            </w:r>
          </w:p>
        </w:tc>
        <w:tc>
          <w:tcPr>
            <w:tcW w:w="1417" w:type="dxa"/>
            <w:shd w:val="clear" w:color="auto" w:fill="auto"/>
            <w:vAlign w:val="center"/>
          </w:tcPr>
          <w:p w14:paraId="4916E100"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 xml:space="preserve">  -- </w:t>
            </w:r>
          </w:p>
        </w:tc>
        <w:tc>
          <w:tcPr>
            <w:tcW w:w="1418" w:type="dxa"/>
            <w:shd w:val="clear" w:color="auto" w:fill="auto"/>
            <w:vAlign w:val="center"/>
          </w:tcPr>
          <w:p w14:paraId="0DC28AB4" w14:textId="77777777" w:rsidR="005357C6" w:rsidRPr="008927DC" w:rsidRDefault="005357C6" w:rsidP="001D76DC">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r>
      <w:tr w:rsidR="005357C6" w:rsidRPr="00D44604" w14:paraId="22A581C8" w14:textId="77777777" w:rsidTr="00222492">
        <w:trPr>
          <w:trHeight w:val="238"/>
          <w:jc w:val="center"/>
        </w:trPr>
        <w:tc>
          <w:tcPr>
            <w:tcW w:w="2553" w:type="dxa"/>
            <w:shd w:val="clear" w:color="auto" w:fill="auto"/>
          </w:tcPr>
          <w:p w14:paraId="41D3B465" w14:textId="77777777" w:rsidR="005357C6" w:rsidRPr="00D44604" w:rsidRDefault="005357C6" w:rsidP="001D76DC">
            <w:pPr>
              <w:keepNext/>
              <w:keepLines/>
              <w:spacing w:before="40" w:after="40" w:line="240" w:lineRule="auto"/>
              <w:ind w:left="113"/>
              <w:rPr>
                <w:rFonts w:eastAsia="Times New Roman" w:cs="Arial"/>
                <w:spacing w:val="-2"/>
                <w:sz w:val="14"/>
                <w:szCs w:val="18"/>
                <w:lang w:eastAsia="pt-BR"/>
              </w:rPr>
            </w:pPr>
            <w:r>
              <w:rPr>
                <w:rFonts w:eastAsia="Times New Roman" w:cs="Arial"/>
                <w:spacing w:val="-2"/>
                <w:sz w:val="14"/>
                <w:szCs w:val="18"/>
                <w:lang w:eastAsia="pt-BR"/>
              </w:rPr>
              <w:t>F</w:t>
            </w:r>
            <w:r w:rsidRPr="00D44600">
              <w:rPr>
                <w:rFonts w:eastAsia="Times New Roman" w:cs="Arial"/>
                <w:spacing w:val="-2"/>
                <w:sz w:val="14"/>
                <w:szCs w:val="18"/>
                <w:lang w:eastAsia="pt-BR"/>
              </w:rPr>
              <w:t>inancial liability</w:t>
            </w:r>
          </w:p>
        </w:tc>
        <w:tc>
          <w:tcPr>
            <w:tcW w:w="1417" w:type="dxa"/>
            <w:shd w:val="clear" w:color="auto" w:fill="auto"/>
            <w:vAlign w:val="center"/>
          </w:tcPr>
          <w:p w14:paraId="71BC6506"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Pr>
                <w:rFonts w:cs="Arial"/>
                <w:sz w:val="14"/>
                <w:szCs w:val="14"/>
              </w:rPr>
              <w:t>278,516,180</w:t>
            </w:r>
          </w:p>
        </w:tc>
        <w:tc>
          <w:tcPr>
            <w:tcW w:w="1417" w:type="dxa"/>
            <w:shd w:val="clear" w:color="auto" w:fill="auto"/>
            <w:vAlign w:val="center"/>
          </w:tcPr>
          <w:p w14:paraId="637C8B51"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Pr>
                <w:rFonts w:eastAsia="Times New Roman" w:cs="Arial"/>
                <w:bCs/>
                <w:spacing w:val="-2"/>
                <w:sz w:val="14"/>
                <w:szCs w:val="14"/>
                <w:lang w:eastAsia="pt-BR"/>
              </w:rPr>
              <w:t>--</w:t>
            </w:r>
          </w:p>
        </w:tc>
        <w:tc>
          <w:tcPr>
            <w:tcW w:w="1418" w:type="dxa"/>
            <w:shd w:val="clear" w:color="auto" w:fill="auto"/>
            <w:vAlign w:val="center"/>
          </w:tcPr>
          <w:p w14:paraId="3BF9913F"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Pr>
                <w:rFonts w:cs="Arial"/>
                <w:sz w:val="14"/>
                <w:szCs w:val="14"/>
              </w:rPr>
              <w:t>--</w:t>
            </w:r>
          </w:p>
        </w:tc>
        <w:tc>
          <w:tcPr>
            <w:tcW w:w="1417" w:type="dxa"/>
            <w:shd w:val="clear" w:color="auto" w:fill="auto"/>
            <w:vAlign w:val="center"/>
          </w:tcPr>
          <w:p w14:paraId="7045EA29"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sz w:val="14"/>
                <w:szCs w:val="14"/>
              </w:rPr>
              <w:t xml:space="preserve">  -- </w:t>
            </w:r>
          </w:p>
        </w:tc>
        <w:tc>
          <w:tcPr>
            <w:tcW w:w="1418" w:type="dxa"/>
            <w:shd w:val="clear" w:color="auto" w:fill="auto"/>
            <w:vAlign w:val="center"/>
          </w:tcPr>
          <w:p w14:paraId="453523A6"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w:t>
            </w:r>
          </w:p>
        </w:tc>
      </w:tr>
      <w:tr w:rsidR="005357C6" w:rsidRPr="00D44604" w14:paraId="5D1D75C6" w14:textId="77777777" w:rsidTr="00222492">
        <w:trPr>
          <w:trHeight w:val="238"/>
          <w:jc w:val="center"/>
        </w:trPr>
        <w:tc>
          <w:tcPr>
            <w:tcW w:w="2553" w:type="dxa"/>
            <w:shd w:val="clear" w:color="auto" w:fill="auto"/>
          </w:tcPr>
          <w:p w14:paraId="42708D67" w14:textId="77777777" w:rsidR="005357C6" w:rsidRPr="00D44604" w:rsidRDefault="005357C6" w:rsidP="001D76DC">
            <w:pPr>
              <w:keepNext/>
              <w:keepLines/>
              <w:spacing w:before="40" w:after="40" w:line="240" w:lineRule="auto"/>
              <w:ind w:left="113"/>
              <w:rPr>
                <w:rFonts w:eastAsia="Times New Roman" w:cs="Arial"/>
                <w:b/>
                <w:color w:val="000000"/>
                <w:spacing w:val="-2"/>
                <w:sz w:val="14"/>
                <w:szCs w:val="14"/>
                <w:lang w:eastAsia="pt-BR"/>
              </w:rPr>
            </w:pPr>
            <w:r w:rsidRPr="00D44604">
              <w:rPr>
                <w:rFonts w:eastAsia="Times New Roman" w:cs="Arial"/>
                <w:spacing w:val="-2"/>
                <w:sz w:val="14"/>
                <w:szCs w:val="14"/>
                <w:lang w:eastAsia="pt-BR"/>
              </w:rPr>
              <w:t>Commissions to be appropriated</w:t>
            </w:r>
          </w:p>
        </w:tc>
        <w:tc>
          <w:tcPr>
            <w:tcW w:w="1417" w:type="dxa"/>
            <w:shd w:val="clear" w:color="auto" w:fill="auto"/>
            <w:vAlign w:val="center"/>
          </w:tcPr>
          <w:p w14:paraId="72ED87A6"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Pr>
                <w:rFonts w:eastAsia="Times New Roman" w:cs="Arial"/>
                <w:bCs/>
                <w:spacing w:val="-2"/>
                <w:sz w:val="14"/>
                <w:szCs w:val="14"/>
                <w:lang w:eastAsia="pt-BR"/>
              </w:rPr>
              <w:t>--</w:t>
            </w:r>
          </w:p>
        </w:tc>
        <w:tc>
          <w:tcPr>
            <w:tcW w:w="1417" w:type="dxa"/>
            <w:shd w:val="clear" w:color="auto" w:fill="auto"/>
            <w:vAlign w:val="center"/>
          </w:tcPr>
          <w:p w14:paraId="1D79E657"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Pr>
                <w:rFonts w:eastAsia="Times New Roman" w:cs="Arial"/>
                <w:bCs/>
                <w:spacing w:val="-2"/>
                <w:sz w:val="14"/>
                <w:szCs w:val="14"/>
                <w:lang w:eastAsia="pt-BR"/>
              </w:rPr>
              <w:t>--</w:t>
            </w:r>
          </w:p>
        </w:tc>
        <w:tc>
          <w:tcPr>
            <w:tcW w:w="1418" w:type="dxa"/>
            <w:shd w:val="clear" w:color="auto" w:fill="auto"/>
            <w:vAlign w:val="center"/>
          </w:tcPr>
          <w:p w14:paraId="688654F8"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Pr>
                <w:rFonts w:cs="Arial"/>
                <w:sz w:val="14"/>
                <w:szCs w:val="14"/>
              </w:rPr>
              <w:t>--</w:t>
            </w:r>
          </w:p>
        </w:tc>
        <w:tc>
          <w:tcPr>
            <w:tcW w:w="1417" w:type="dxa"/>
            <w:shd w:val="clear" w:color="auto" w:fill="auto"/>
            <w:vAlign w:val="center"/>
          </w:tcPr>
          <w:p w14:paraId="0476A53C"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sz w:val="14"/>
                <w:szCs w:val="14"/>
              </w:rPr>
              <w:t xml:space="preserve">  1,794,544 </w:t>
            </w:r>
          </w:p>
        </w:tc>
        <w:tc>
          <w:tcPr>
            <w:tcW w:w="1418" w:type="dxa"/>
            <w:shd w:val="clear" w:color="auto" w:fill="auto"/>
            <w:vAlign w:val="center"/>
          </w:tcPr>
          <w:p w14:paraId="56AD9AEE"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w:t>
            </w:r>
          </w:p>
        </w:tc>
      </w:tr>
      <w:tr w:rsidR="005357C6" w:rsidRPr="00D44604" w14:paraId="063B3A78" w14:textId="77777777" w:rsidTr="00222492">
        <w:trPr>
          <w:trHeight w:val="238"/>
          <w:jc w:val="center"/>
        </w:trPr>
        <w:tc>
          <w:tcPr>
            <w:tcW w:w="2553" w:type="dxa"/>
            <w:shd w:val="clear" w:color="auto" w:fill="auto"/>
          </w:tcPr>
          <w:p w14:paraId="4E3C1A8D" w14:textId="77777777" w:rsidR="005357C6" w:rsidRPr="00D44604" w:rsidRDefault="005357C6" w:rsidP="001D76DC">
            <w:pPr>
              <w:keepNext/>
              <w:keepLines/>
              <w:spacing w:before="40" w:after="40" w:line="240" w:lineRule="auto"/>
              <w:ind w:left="113"/>
              <w:rPr>
                <w:rFonts w:eastAsia="Times New Roman" w:cs="Arial"/>
                <w:b/>
                <w:color w:val="000000"/>
                <w:spacing w:val="-2"/>
                <w:sz w:val="14"/>
                <w:szCs w:val="14"/>
                <w:lang w:eastAsia="pt-BR"/>
              </w:rPr>
            </w:pPr>
            <w:r w:rsidRPr="00D44604">
              <w:rPr>
                <w:rFonts w:eastAsia="Times New Roman" w:cs="Arial"/>
                <w:spacing w:val="-2"/>
                <w:sz w:val="14"/>
                <w:szCs w:val="18"/>
                <w:lang w:eastAsia="pt-BR"/>
              </w:rPr>
              <w:t>Other non-current liabilities</w:t>
            </w:r>
          </w:p>
        </w:tc>
        <w:tc>
          <w:tcPr>
            <w:tcW w:w="1417" w:type="dxa"/>
            <w:shd w:val="clear" w:color="auto" w:fill="auto"/>
            <w:vAlign w:val="center"/>
          </w:tcPr>
          <w:p w14:paraId="72D36318"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Pr>
                <w:rFonts w:cs="Arial"/>
                <w:sz w:val="14"/>
                <w:szCs w:val="14"/>
              </w:rPr>
              <w:t>23,064</w:t>
            </w:r>
          </w:p>
        </w:tc>
        <w:tc>
          <w:tcPr>
            <w:tcW w:w="1417" w:type="dxa"/>
            <w:shd w:val="clear" w:color="auto" w:fill="auto"/>
            <w:vAlign w:val="center"/>
          </w:tcPr>
          <w:p w14:paraId="328D81B0"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Pr>
                <w:rFonts w:cs="Arial"/>
                <w:sz w:val="14"/>
                <w:szCs w:val="14"/>
              </w:rPr>
              <w:t>1,078,029</w:t>
            </w:r>
          </w:p>
        </w:tc>
        <w:tc>
          <w:tcPr>
            <w:tcW w:w="1418" w:type="dxa"/>
            <w:shd w:val="clear" w:color="auto" w:fill="auto"/>
            <w:vAlign w:val="center"/>
          </w:tcPr>
          <w:p w14:paraId="79B4FB0D"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Pr>
                <w:rFonts w:cs="Arial"/>
                <w:sz w:val="14"/>
                <w:szCs w:val="14"/>
              </w:rPr>
              <w:t>4,080</w:t>
            </w:r>
          </w:p>
        </w:tc>
        <w:tc>
          <w:tcPr>
            <w:tcW w:w="1417" w:type="dxa"/>
            <w:shd w:val="clear" w:color="auto" w:fill="auto"/>
            <w:vAlign w:val="center"/>
          </w:tcPr>
          <w:p w14:paraId="2F1011D1"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sz w:val="14"/>
                <w:szCs w:val="14"/>
              </w:rPr>
              <w:t xml:space="preserve">  9,802 </w:t>
            </w:r>
          </w:p>
        </w:tc>
        <w:tc>
          <w:tcPr>
            <w:tcW w:w="1418" w:type="dxa"/>
            <w:shd w:val="clear" w:color="auto" w:fill="auto"/>
            <w:vAlign w:val="center"/>
          </w:tcPr>
          <w:p w14:paraId="16884E94" w14:textId="77777777" w:rsidR="005357C6" w:rsidRPr="00D44604" w:rsidRDefault="005357C6" w:rsidP="001D76DC">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w:t>
            </w:r>
          </w:p>
        </w:tc>
      </w:tr>
      <w:tr w:rsidR="005357C6" w:rsidRPr="001B58AD" w14:paraId="4B7CC30E" w14:textId="77777777" w:rsidTr="00222492">
        <w:trPr>
          <w:trHeight w:val="238"/>
          <w:jc w:val="center"/>
        </w:trPr>
        <w:tc>
          <w:tcPr>
            <w:tcW w:w="2553" w:type="dxa"/>
            <w:shd w:val="clear" w:color="auto" w:fill="auto"/>
          </w:tcPr>
          <w:p w14:paraId="293EB1A3" w14:textId="77777777" w:rsidR="005357C6" w:rsidRPr="001B58AD" w:rsidRDefault="005357C6" w:rsidP="001D76DC">
            <w:pPr>
              <w:keepNext/>
              <w:keepLines/>
              <w:spacing w:before="40" w:after="40" w:line="240" w:lineRule="auto"/>
              <w:rPr>
                <w:rFonts w:eastAsia="Times New Roman" w:cs="Arial"/>
                <w:b/>
                <w:color w:val="000000"/>
                <w:spacing w:val="-2"/>
                <w:sz w:val="14"/>
                <w:szCs w:val="14"/>
                <w:lang w:eastAsia="pt-BR"/>
              </w:rPr>
            </w:pPr>
            <w:r w:rsidRPr="001B58AD">
              <w:rPr>
                <w:rFonts w:eastAsia="Times New Roman" w:cs="Times New Roman"/>
                <w:b/>
                <w:spacing w:val="-2"/>
                <w:sz w:val="14"/>
                <w:szCs w:val="18"/>
                <w:lang w:eastAsia="pt-BR"/>
              </w:rPr>
              <w:t>Net worth</w:t>
            </w:r>
          </w:p>
        </w:tc>
        <w:tc>
          <w:tcPr>
            <w:tcW w:w="1417" w:type="dxa"/>
            <w:shd w:val="clear" w:color="auto" w:fill="auto"/>
            <w:vAlign w:val="center"/>
          </w:tcPr>
          <w:p w14:paraId="65317BDA"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5,833,438</w:t>
            </w:r>
          </w:p>
        </w:tc>
        <w:tc>
          <w:tcPr>
            <w:tcW w:w="1417" w:type="dxa"/>
            <w:shd w:val="clear" w:color="auto" w:fill="auto"/>
            <w:vAlign w:val="center"/>
          </w:tcPr>
          <w:p w14:paraId="36693888"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474,965</w:t>
            </w:r>
          </w:p>
        </w:tc>
        <w:tc>
          <w:tcPr>
            <w:tcW w:w="1418" w:type="dxa"/>
            <w:shd w:val="clear" w:color="auto" w:fill="auto"/>
            <w:vAlign w:val="center"/>
          </w:tcPr>
          <w:p w14:paraId="7DAA872E"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21,452</w:t>
            </w:r>
          </w:p>
        </w:tc>
        <w:tc>
          <w:tcPr>
            <w:tcW w:w="1417" w:type="dxa"/>
            <w:shd w:val="clear" w:color="auto" w:fill="auto"/>
            <w:vAlign w:val="center"/>
          </w:tcPr>
          <w:p w14:paraId="1210DE62"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 xml:space="preserve">  6,009 </w:t>
            </w:r>
          </w:p>
        </w:tc>
        <w:tc>
          <w:tcPr>
            <w:tcW w:w="1418" w:type="dxa"/>
            <w:shd w:val="clear" w:color="auto" w:fill="auto"/>
            <w:vAlign w:val="center"/>
          </w:tcPr>
          <w:p w14:paraId="2C301405"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2</w:t>
            </w:r>
            <w:r>
              <w:rPr>
                <w:rFonts w:cs="Arial"/>
                <w:b/>
                <w:sz w:val="14"/>
                <w:szCs w:val="14"/>
              </w:rPr>
              <w:t>,</w:t>
            </w:r>
            <w:r w:rsidRPr="002E1412">
              <w:rPr>
                <w:rFonts w:cs="Arial"/>
                <w:b/>
                <w:sz w:val="14"/>
                <w:szCs w:val="14"/>
              </w:rPr>
              <w:t>466</w:t>
            </w:r>
          </w:p>
        </w:tc>
      </w:tr>
      <w:tr w:rsidR="005357C6" w:rsidRPr="00D44604" w14:paraId="38D8687C" w14:textId="77777777" w:rsidTr="00222492">
        <w:trPr>
          <w:trHeight w:val="238"/>
          <w:jc w:val="center"/>
        </w:trPr>
        <w:tc>
          <w:tcPr>
            <w:tcW w:w="2553" w:type="dxa"/>
            <w:shd w:val="clear" w:color="auto" w:fill="auto"/>
          </w:tcPr>
          <w:p w14:paraId="0C53D59E" w14:textId="77777777" w:rsidR="005357C6" w:rsidRPr="00D44604" w:rsidRDefault="005357C6" w:rsidP="001D76DC">
            <w:pPr>
              <w:keepNext/>
              <w:keepLines/>
              <w:spacing w:before="40" w:after="40" w:line="240" w:lineRule="auto"/>
              <w:ind w:left="113"/>
              <w:rPr>
                <w:rFonts w:eastAsia="Times New Roman" w:cs="Arial"/>
                <w:b/>
                <w:color w:val="000000"/>
                <w:spacing w:val="-2"/>
                <w:sz w:val="14"/>
                <w:szCs w:val="14"/>
                <w:lang w:eastAsia="pt-BR"/>
              </w:rPr>
            </w:pPr>
            <w:r w:rsidRPr="00D44604">
              <w:rPr>
                <w:rFonts w:eastAsia="Times New Roman" w:cs="Times New Roman"/>
                <w:spacing w:val="-2"/>
                <w:sz w:val="14"/>
                <w:szCs w:val="18"/>
                <w:lang w:eastAsia="pt-BR"/>
              </w:rPr>
              <w:t>Attributable to BB Seguridade</w:t>
            </w:r>
          </w:p>
        </w:tc>
        <w:tc>
          <w:tcPr>
            <w:tcW w:w="1417" w:type="dxa"/>
            <w:shd w:val="clear" w:color="auto" w:fill="auto"/>
            <w:vAlign w:val="center"/>
          </w:tcPr>
          <w:p w14:paraId="0736C699"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4,374,787</w:t>
            </w:r>
          </w:p>
        </w:tc>
        <w:tc>
          <w:tcPr>
            <w:tcW w:w="1417" w:type="dxa"/>
            <w:shd w:val="clear" w:color="auto" w:fill="auto"/>
            <w:vAlign w:val="center"/>
          </w:tcPr>
          <w:p w14:paraId="5B6D97E6"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316,610</w:t>
            </w:r>
          </w:p>
        </w:tc>
        <w:tc>
          <w:tcPr>
            <w:tcW w:w="1418" w:type="dxa"/>
            <w:shd w:val="clear" w:color="auto" w:fill="auto"/>
            <w:vAlign w:val="center"/>
          </w:tcPr>
          <w:p w14:paraId="166934DD"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16,088</w:t>
            </w:r>
          </w:p>
        </w:tc>
        <w:tc>
          <w:tcPr>
            <w:tcW w:w="1417" w:type="dxa"/>
            <w:shd w:val="clear" w:color="auto" w:fill="auto"/>
            <w:vAlign w:val="center"/>
          </w:tcPr>
          <w:p w14:paraId="5D1DC1BF" w14:textId="77777777" w:rsidR="005357C6" w:rsidRPr="001B58AD"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6,009</w:t>
            </w:r>
          </w:p>
        </w:tc>
        <w:tc>
          <w:tcPr>
            <w:tcW w:w="1418" w:type="dxa"/>
            <w:shd w:val="clear" w:color="auto" w:fill="auto"/>
            <w:vAlign w:val="center"/>
          </w:tcPr>
          <w:p w14:paraId="599EB6D1"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sidRPr="00AE078E">
              <w:rPr>
                <w:rFonts w:eastAsia="Times New Roman" w:cs="Arial"/>
                <w:b/>
                <w:bCs/>
                <w:spacing w:val="-2"/>
                <w:sz w:val="14"/>
                <w:szCs w:val="14"/>
                <w:lang w:eastAsia="pt-BR"/>
              </w:rPr>
              <w:t>1</w:t>
            </w:r>
            <w:r>
              <w:rPr>
                <w:rFonts w:eastAsia="Times New Roman" w:cs="Arial"/>
                <w:b/>
                <w:bCs/>
                <w:spacing w:val="-2"/>
                <w:sz w:val="14"/>
                <w:szCs w:val="14"/>
                <w:lang w:eastAsia="pt-BR"/>
              </w:rPr>
              <w:t>,</w:t>
            </w:r>
            <w:r w:rsidRPr="00AE078E">
              <w:rPr>
                <w:rFonts w:eastAsia="Times New Roman" w:cs="Arial"/>
                <w:b/>
                <w:bCs/>
                <w:spacing w:val="-2"/>
                <w:sz w:val="14"/>
                <w:szCs w:val="14"/>
                <w:lang w:eastAsia="pt-BR"/>
              </w:rPr>
              <w:t>850</w:t>
            </w:r>
          </w:p>
        </w:tc>
      </w:tr>
      <w:tr w:rsidR="005357C6" w:rsidRPr="00D44604" w14:paraId="3F8CA8F5" w14:textId="77777777" w:rsidTr="00222492">
        <w:trPr>
          <w:trHeight w:val="238"/>
          <w:jc w:val="center"/>
        </w:trPr>
        <w:tc>
          <w:tcPr>
            <w:tcW w:w="2553" w:type="dxa"/>
            <w:shd w:val="clear" w:color="auto" w:fill="auto"/>
          </w:tcPr>
          <w:p w14:paraId="612D40DA" w14:textId="77777777" w:rsidR="005357C6" w:rsidRPr="00D44604" w:rsidRDefault="005357C6" w:rsidP="001D76DC">
            <w:pPr>
              <w:keepNext/>
              <w:keepLines/>
              <w:spacing w:before="40" w:after="40" w:line="240" w:lineRule="auto"/>
              <w:ind w:left="113"/>
              <w:rPr>
                <w:rFonts w:eastAsia="Times New Roman" w:cs="Times New Roman"/>
                <w:spacing w:val="-2"/>
                <w:sz w:val="14"/>
                <w:szCs w:val="18"/>
                <w:lang w:eastAsia="pt-BR"/>
              </w:rPr>
            </w:pPr>
            <w:r w:rsidRPr="002D7060">
              <w:rPr>
                <w:rFonts w:eastAsia="Times New Roman" w:cs="Times New Roman"/>
                <w:spacing w:val="-2"/>
                <w:sz w:val="14"/>
                <w:szCs w:val="18"/>
                <w:lang w:eastAsia="pt-BR"/>
              </w:rPr>
              <w:t>Difference in accounting practice</w:t>
            </w:r>
            <w:r>
              <w:rPr>
                <w:rFonts w:eastAsia="Times New Roman" w:cs="Times New Roman"/>
                <w:spacing w:val="-2"/>
                <w:sz w:val="14"/>
                <w:szCs w:val="18"/>
                <w:lang w:eastAsia="pt-BR"/>
              </w:rPr>
              <w:t xml:space="preserve"> </w:t>
            </w:r>
            <w:r w:rsidRPr="008E0E14">
              <w:rPr>
                <w:rFonts w:eastAsia="Times New Roman" w:cs="Times New Roman"/>
                <w:spacing w:val="-2"/>
                <w:sz w:val="14"/>
                <w:szCs w:val="18"/>
                <w:vertAlign w:val="superscript"/>
                <w:lang w:eastAsia="pt-BR"/>
              </w:rPr>
              <w:t>(1)</w:t>
            </w:r>
          </w:p>
        </w:tc>
        <w:tc>
          <w:tcPr>
            <w:tcW w:w="1417" w:type="dxa"/>
            <w:shd w:val="clear" w:color="auto" w:fill="auto"/>
            <w:vAlign w:val="center"/>
          </w:tcPr>
          <w:p w14:paraId="201DC2F0"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2,421</w:t>
            </w:r>
          </w:p>
        </w:tc>
        <w:tc>
          <w:tcPr>
            <w:tcW w:w="1417" w:type="dxa"/>
            <w:shd w:val="clear" w:color="auto" w:fill="auto"/>
            <w:vAlign w:val="center"/>
          </w:tcPr>
          <w:p w14:paraId="30CC3F90"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(75)</w:t>
            </w:r>
          </w:p>
        </w:tc>
        <w:tc>
          <w:tcPr>
            <w:tcW w:w="1418" w:type="dxa"/>
            <w:shd w:val="clear" w:color="auto" w:fill="auto"/>
            <w:vAlign w:val="center"/>
          </w:tcPr>
          <w:p w14:paraId="26AF5101"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w:t>
            </w:r>
          </w:p>
        </w:tc>
        <w:tc>
          <w:tcPr>
            <w:tcW w:w="1417" w:type="dxa"/>
            <w:shd w:val="clear" w:color="auto" w:fill="auto"/>
            <w:vAlign w:val="center"/>
          </w:tcPr>
          <w:p w14:paraId="2EC3571A" w14:textId="77777777" w:rsidR="005357C6" w:rsidRPr="001B58AD" w:rsidRDefault="005357C6" w:rsidP="001D76DC">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418" w:type="dxa"/>
            <w:shd w:val="clear" w:color="auto" w:fill="auto"/>
            <w:vAlign w:val="center"/>
          </w:tcPr>
          <w:p w14:paraId="16F13BB7"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sidRPr="00F74843">
              <w:rPr>
                <w:rFonts w:eastAsia="Times New Roman" w:cs="Arial"/>
                <w:spacing w:val="-2"/>
                <w:sz w:val="14"/>
                <w:szCs w:val="14"/>
                <w:lang w:eastAsia="pt-BR"/>
              </w:rPr>
              <w:t>--</w:t>
            </w:r>
          </w:p>
        </w:tc>
      </w:tr>
      <w:tr w:rsidR="005357C6" w:rsidRPr="00D44604" w14:paraId="69A13719" w14:textId="77777777" w:rsidTr="00222492">
        <w:trPr>
          <w:trHeight w:val="238"/>
          <w:jc w:val="center"/>
        </w:trPr>
        <w:tc>
          <w:tcPr>
            <w:tcW w:w="2553" w:type="dxa"/>
            <w:shd w:val="clear" w:color="auto" w:fill="auto"/>
          </w:tcPr>
          <w:p w14:paraId="123A91CE" w14:textId="77777777" w:rsidR="005357C6" w:rsidRPr="00D44604" w:rsidRDefault="005357C6" w:rsidP="001D76DC">
            <w:pPr>
              <w:keepNext/>
              <w:keepLines/>
              <w:spacing w:before="40" w:after="40" w:line="240" w:lineRule="auto"/>
              <w:ind w:left="113"/>
              <w:rPr>
                <w:rFonts w:eastAsia="Times New Roman" w:cs="Arial"/>
                <w:b/>
                <w:color w:val="000000"/>
                <w:spacing w:val="-2"/>
                <w:sz w:val="14"/>
                <w:szCs w:val="14"/>
                <w:lang w:eastAsia="pt-BR"/>
              </w:rPr>
            </w:pPr>
            <w:r w:rsidRPr="00D44604">
              <w:rPr>
                <w:rFonts w:eastAsia="Times New Roman" w:cs="Times New Roman"/>
                <w:spacing w:val="-2"/>
                <w:sz w:val="14"/>
                <w:szCs w:val="18"/>
                <w:lang w:eastAsia="pt-BR"/>
              </w:rPr>
              <w:t xml:space="preserve">Adjustments </w:t>
            </w:r>
            <w:r w:rsidRPr="00D44604">
              <w:rPr>
                <w:rFonts w:eastAsia="Times New Roman" w:cs="Times New Roman"/>
                <w:spacing w:val="-2"/>
                <w:sz w:val="14"/>
                <w:szCs w:val="18"/>
                <w:vertAlign w:val="superscript"/>
                <w:lang w:eastAsia="pt-BR"/>
              </w:rPr>
              <w:t>(</w:t>
            </w:r>
            <w:r>
              <w:rPr>
                <w:rFonts w:eastAsia="Times New Roman" w:cs="Times New Roman"/>
                <w:spacing w:val="-2"/>
                <w:sz w:val="14"/>
                <w:szCs w:val="18"/>
                <w:vertAlign w:val="superscript"/>
                <w:lang w:eastAsia="pt-BR"/>
              </w:rPr>
              <w:t>2</w:t>
            </w:r>
            <w:r w:rsidRPr="00D44604">
              <w:rPr>
                <w:rFonts w:eastAsia="Times New Roman" w:cs="Times New Roman"/>
                <w:spacing w:val="-2"/>
                <w:sz w:val="14"/>
                <w:szCs w:val="18"/>
                <w:vertAlign w:val="superscript"/>
                <w:lang w:eastAsia="pt-BR"/>
              </w:rPr>
              <w:t>)</w:t>
            </w:r>
          </w:p>
        </w:tc>
        <w:tc>
          <w:tcPr>
            <w:tcW w:w="1417" w:type="dxa"/>
            <w:shd w:val="clear" w:color="auto" w:fill="auto"/>
            <w:vAlign w:val="center"/>
          </w:tcPr>
          <w:p w14:paraId="6BF8344B"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(22,831)</w:t>
            </w:r>
          </w:p>
        </w:tc>
        <w:tc>
          <w:tcPr>
            <w:tcW w:w="1417" w:type="dxa"/>
            <w:shd w:val="clear" w:color="auto" w:fill="auto"/>
            <w:vAlign w:val="center"/>
          </w:tcPr>
          <w:p w14:paraId="2BFB24BF"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cs="Arial"/>
                <w:sz w:val="14"/>
                <w:szCs w:val="14"/>
              </w:rPr>
              <w:t>111,305</w:t>
            </w:r>
          </w:p>
        </w:tc>
        <w:tc>
          <w:tcPr>
            <w:tcW w:w="1418" w:type="dxa"/>
            <w:shd w:val="clear" w:color="auto" w:fill="auto"/>
            <w:vAlign w:val="center"/>
          </w:tcPr>
          <w:p w14:paraId="5CBD84D5"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417" w:type="dxa"/>
            <w:shd w:val="clear" w:color="auto" w:fill="auto"/>
            <w:vAlign w:val="center"/>
          </w:tcPr>
          <w:p w14:paraId="6D9DCA39" w14:textId="77777777" w:rsidR="005357C6" w:rsidRPr="001B58AD" w:rsidRDefault="005357C6" w:rsidP="001D76DC">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418" w:type="dxa"/>
            <w:shd w:val="clear" w:color="auto" w:fill="auto"/>
            <w:vAlign w:val="center"/>
          </w:tcPr>
          <w:p w14:paraId="5963EDA8" w14:textId="77777777" w:rsidR="005357C6" w:rsidRPr="00D44604" w:rsidRDefault="005357C6" w:rsidP="001D76DC">
            <w:pPr>
              <w:keepNext/>
              <w:keepLines/>
              <w:spacing w:before="40" w:after="40" w:line="240" w:lineRule="auto"/>
              <w:jc w:val="right"/>
              <w:rPr>
                <w:rFonts w:eastAsia="Times New Roman" w:cs="Arial"/>
                <w:spacing w:val="-2"/>
                <w:sz w:val="14"/>
                <w:szCs w:val="14"/>
                <w:lang w:eastAsia="pt-BR"/>
              </w:rPr>
            </w:pPr>
            <w:r w:rsidRPr="00F74843">
              <w:rPr>
                <w:rFonts w:eastAsia="Times New Roman" w:cs="Arial"/>
                <w:spacing w:val="-2"/>
                <w:sz w:val="14"/>
                <w:szCs w:val="14"/>
                <w:lang w:eastAsia="pt-BR"/>
              </w:rPr>
              <w:t>--</w:t>
            </w:r>
          </w:p>
        </w:tc>
      </w:tr>
      <w:tr w:rsidR="005357C6" w:rsidRPr="001B58AD" w14:paraId="36BF6BC1" w14:textId="77777777" w:rsidTr="00222492">
        <w:trPr>
          <w:trHeight w:val="238"/>
          <w:jc w:val="center"/>
        </w:trPr>
        <w:tc>
          <w:tcPr>
            <w:tcW w:w="2553" w:type="dxa"/>
            <w:tcBorders>
              <w:bottom w:val="single" w:sz="2" w:space="0" w:color="1F4E79" w:themeColor="accent1" w:themeShade="80"/>
            </w:tcBorders>
            <w:shd w:val="clear" w:color="auto" w:fill="auto"/>
          </w:tcPr>
          <w:p w14:paraId="68CB9797" w14:textId="77777777" w:rsidR="005357C6" w:rsidRPr="001B58AD" w:rsidRDefault="005357C6" w:rsidP="001D76DC">
            <w:pPr>
              <w:keepNext/>
              <w:keepLines/>
              <w:spacing w:before="40" w:after="40" w:line="240" w:lineRule="auto"/>
              <w:rPr>
                <w:rFonts w:eastAsia="Times New Roman" w:cs="Arial"/>
                <w:b/>
                <w:spacing w:val="-2"/>
                <w:sz w:val="14"/>
                <w:szCs w:val="14"/>
                <w:lang w:eastAsia="pt-BR"/>
              </w:rPr>
            </w:pPr>
            <w:r w:rsidRPr="001B58AD">
              <w:rPr>
                <w:rFonts w:eastAsia="Times New Roman" w:cs="Times New Roman"/>
                <w:b/>
                <w:spacing w:val="-2"/>
                <w:sz w:val="14"/>
                <w:szCs w:val="18"/>
                <w:lang w:eastAsia="pt-BR"/>
              </w:rPr>
              <w:t>Investment balance</w:t>
            </w:r>
          </w:p>
        </w:tc>
        <w:tc>
          <w:tcPr>
            <w:tcW w:w="1417" w:type="dxa"/>
            <w:tcBorders>
              <w:bottom w:val="single" w:sz="2" w:space="0" w:color="1F4E79" w:themeColor="accent1" w:themeShade="80"/>
            </w:tcBorders>
            <w:shd w:val="clear" w:color="auto" w:fill="auto"/>
            <w:vAlign w:val="center"/>
          </w:tcPr>
          <w:p w14:paraId="65837011"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4,354,377</w:t>
            </w:r>
          </w:p>
        </w:tc>
        <w:tc>
          <w:tcPr>
            <w:tcW w:w="1417" w:type="dxa"/>
            <w:tcBorders>
              <w:bottom w:val="single" w:sz="2" w:space="0" w:color="1F4E79" w:themeColor="accent1" w:themeShade="80"/>
            </w:tcBorders>
            <w:shd w:val="clear" w:color="auto" w:fill="auto"/>
            <w:vAlign w:val="center"/>
          </w:tcPr>
          <w:p w14:paraId="7E6F31CF"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427,840</w:t>
            </w:r>
          </w:p>
        </w:tc>
        <w:tc>
          <w:tcPr>
            <w:tcW w:w="1418" w:type="dxa"/>
            <w:tcBorders>
              <w:bottom w:val="single" w:sz="2" w:space="0" w:color="1F4E79" w:themeColor="accent1" w:themeShade="80"/>
            </w:tcBorders>
            <w:shd w:val="clear" w:color="auto" w:fill="auto"/>
            <w:vAlign w:val="center"/>
          </w:tcPr>
          <w:p w14:paraId="0AD6D926"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16,088</w:t>
            </w:r>
          </w:p>
        </w:tc>
        <w:tc>
          <w:tcPr>
            <w:tcW w:w="1417" w:type="dxa"/>
            <w:tcBorders>
              <w:bottom w:val="single" w:sz="2" w:space="0" w:color="1F4E79" w:themeColor="accent1" w:themeShade="80"/>
            </w:tcBorders>
            <w:shd w:val="clear" w:color="auto" w:fill="auto"/>
            <w:vAlign w:val="center"/>
          </w:tcPr>
          <w:p w14:paraId="6F553F86"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Pr>
                <w:rFonts w:cs="Arial"/>
                <w:b/>
                <w:sz w:val="14"/>
                <w:szCs w:val="14"/>
              </w:rPr>
              <w:t>6,009</w:t>
            </w:r>
          </w:p>
        </w:tc>
        <w:tc>
          <w:tcPr>
            <w:tcW w:w="1418" w:type="dxa"/>
            <w:tcBorders>
              <w:bottom w:val="single" w:sz="2" w:space="0" w:color="1F4E79" w:themeColor="accent1" w:themeShade="80"/>
            </w:tcBorders>
            <w:shd w:val="clear" w:color="auto" w:fill="auto"/>
            <w:vAlign w:val="center"/>
          </w:tcPr>
          <w:p w14:paraId="3472E4C7" w14:textId="77777777" w:rsidR="005357C6" w:rsidRPr="001B58AD" w:rsidRDefault="005357C6" w:rsidP="001D76DC">
            <w:pPr>
              <w:keepNext/>
              <w:keepLines/>
              <w:spacing w:before="40" w:after="40" w:line="240" w:lineRule="auto"/>
              <w:jc w:val="right"/>
              <w:rPr>
                <w:rFonts w:eastAsia="Times New Roman" w:cs="Arial"/>
                <w:b/>
                <w:spacing w:val="-2"/>
                <w:sz w:val="14"/>
                <w:szCs w:val="14"/>
                <w:lang w:eastAsia="pt-BR"/>
              </w:rPr>
            </w:pPr>
            <w:r w:rsidRPr="002E1412">
              <w:rPr>
                <w:rFonts w:eastAsia="Times New Roman" w:cs="Arial"/>
                <w:b/>
                <w:spacing w:val="-2"/>
                <w:sz w:val="14"/>
                <w:szCs w:val="14"/>
                <w:lang w:eastAsia="pt-BR"/>
              </w:rPr>
              <w:t>1</w:t>
            </w:r>
            <w:r>
              <w:rPr>
                <w:rFonts w:eastAsia="Times New Roman" w:cs="Arial"/>
                <w:b/>
                <w:spacing w:val="-2"/>
                <w:sz w:val="14"/>
                <w:szCs w:val="14"/>
                <w:lang w:eastAsia="pt-BR"/>
              </w:rPr>
              <w:t>,</w:t>
            </w:r>
            <w:r w:rsidRPr="002E1412">
              <w:rPr>
                <w:rFonts w:eastAsia="Times New Roman" w:cs="Arial"/>
                <w:b/>
                <w:spacing w:val="-2"/>
                <w:sz w:val="14"/>
                <w:szCs w:val="14"/>
                <w:lang w:eastAsia="pt-BR"/>
              </w:rPr>
              <w:t>850</w:t>
            </w:r>
          </w:p>
        </w:tc>
      </w:tr>
    </w:tbl>
    <w:p w14:paraId="68958D33" w14:textId="77777777" w:rsidR="005357C6" w:rsidRPr="008E0E14" w:rsidRDefault="005357C6" w:rsidP="005357C6">
      <w:pPr>
        <w:numPr>
          <w:ilvl w:val="0"/>
          <w:numId w:val="24"/>
        </w:numPr>
        <w:spacing w:line="257" w:lineRule="auto"/>
        <w:ind w:left="284" w:hanging="284"/>
        <w:contextualSpacing/>
        <w:jc w:val="both"/>
        <w:rPr>
          <w:rFonts w:eastAsia="Times New Roman" w:cs="Times New Roman"/>
          <w:spacing w:val="-2"/>
          <w:sz w:val="14"/>
          <w:szCs w:val="18"/>
          <w:lang w:val="en-US" w:eastAsia="pt-BR"/>
        </w:rPr>
      </w:pPr>
      <w:r w:rsidRPr="008E0E14">
        <w:rPr>
          <w:rFonts w:eastAsia="Times New Roman" w:cs="Times New Roman"/>
          <w:spacing w:val="-2"/>
          <w:sz w:val="14"/>
          <w:szCs w:val="18"/>
          <w:lang w:val="en-US" w:eastAsia="pt-BR"/>
        </w:rPr>
        <w:t xml:space="preserve">Adjustments for the purpose of standardizing accounting practices under CPC 06 (R2) </w:t>
      </w:r>
      <w:r>
        <w:rPr>
          <w:rFonts w:eastAsia="Times New Roman" w:cs="Times New Roman"/>
          <w:spacing w:val="-2"/>
          <w:sz w:val="14"/>
          <w:szCs w:val="18"/>
          <w:lang w:val="en-US" w:eastAsia="pt-BR"/>
        </w:rPr>
        <w:t xml:space="preserve">[IFRS 16] </w:t>
      </w:r>
      <w:r w:rsidRPr="008E0E14">
        <w:rPr>
          <w:rFonts w:eastAsia="Times New Roman" w:cs="Times New Roman"/>
          <w:spacing w:val="-2"/>
          <w:sz w:val="14"/>
          <w:szCs w:val="18"/>
          <w:lang w:val="en-US" w:eastAsia="pt-BR"/>
        </w:rPr>
        <w:t>- Leases from previous periods</w:t>
      </w:r>
      <w:r>
        <w:rPr>
          <w:rFonts w:eastAsia="Times New Roman" w:cs="Times New Roman"/>
          <w:spacing w:val="-2"/>
          <w:sz w:val="14"/>
          <w:szCs w:val="18"/>
          <w:lang w:val="en-US" w:eastAsia="pt-BR"/>
        </w:rPr>
        <w:t>,</w:t>
      </w:r>
      <w:r w:rsidRPr="008E0E14">
        <w:rPr>
          <w:rFonts w:eastAsia="Times New Roman" w:cs="Times New Roman"/>
          <w:spacing w:val="-2"/>
          <w:sz w:val="14"/>
          <w:szCs w:val="18"/>
          <w:lang w:val="en-US" w:eastAsia="pt-BR"/>
        </w:rPr>
        <w:t xml:space="preserve"> Brasilprev and Brasilcap adopted CPC 06 (R2)</w:t>
      </w:r>
      <w:r>
        <w:rPr>
          <w:rFonts w:eastAsia="Times New Roman" w:cs="Times New Roman"/>
          <w:spacing w:val="-2"/>
          <w:sz w:val="14"/>
          <w:szCs w:val="18"/>
          <w:lang w:val="en-US" w:eastAsia="pt-BR"/>
        </w:rPr>
        <w:t xml:space="preserve"> [IFRS 16]</w:t>
      </w:r>
      <w:r w:rsidRPr="008E0E14">
        <w:rPr>
          <w:rFonts w:eastAsia="Times New Roman" w:cs="Times New Roman"/>
          <w:spacing w:val="-2"/>
          <w:sz w:val="14"/>
          <w:szCs w:val="18"/>
          <w:lang w:val="en-US" w:eastAsia="pt-BR"/>
        </w:rPr>
        <w:t xml:space="preserve"> as of January 1, 2021</w:t>
      </w:r>
      <w:r>
        <w:rPr>
          <w:rFonts w:eastAsia="Times New Roman" w:cs="Times New Roman"/>
          <w:spacing w:val="-2"/>
          <w:sz w:val="14"/>
          <w:szCs w:val="18"/>
          <w:lang w:val="en-US" w:eastAsia="pt-BR"/>
        </w:rPr>
        <w:t>.</w:t>
      </w:r>
    </w:p>
    <w:p w14:paraId="4C56BF4F" w14:textId="77777777" w:rsidR="005357C6" w:rsidRPr="008E0E14" w:rsidRDefault="005357C6" w:rsidP="005357C6">
      <w:pPr>
        <w:numPr>
          <w:ilvl w:val="0"/>
          <w:numId w:val="24"/>
        </w:numPr>
        <w:spacing w:line="257" w:lineRule="auto"/>
        <w:ind w:left="284" w:hanging="284"/>
        <w:contextualSpacing/>
        <w:jc w:val="both"/>
        <w:rPr>
          <w:rFonts w:eastAsia="Times New Roman" w:cs="Times New Roman"/>
          <w:spacing w:val="-2"/>
          <w:sz w:val="14"/>
          <w:szCs w:val="18"/>
          <w:lang w:val="en-US" w:eastAsia="pt-BR"/>
        </w:rPr>
      </w:pPr>
      <w:r w:rsidRPr="008E0E14">
        <w:rPr>
          <w:rFonts w:eastAsia="Times New Roman" w:cs="Times New Roman"/>
          <w:spacing w:val="-2"/>
          <w:sz w:val="14"/>
          <w:szCs w:val="18"/>
          <w:lang w:val="en-US" w:eastAsia="pt-BR"/>
        </w:rPr>
        <w:t xml:space="preserve">Includes in Brasilprev an unrealized result from the sale of the equity interest in </w:t>
      </w:r>
      <w:r>
        <w:rPr>
          <w:rFonts w:eastAsia="Times New Roman" w:cs="Times New Roman"/>
          <w:spacing w:val="-2"/>
          <w:sz w:val="14"/>
          <w:szCs w:val="18"/>
          <w:lang w:val="en-US" w:eastAsia="pt-BR"/>
        </w:rPr>
        <w:t>MAPFRE</w:t>
      </w:r>
      <w:r w:rsidRPr="008E0E14">
        <w:rPr>
          <w:rFonts w:eastAsia="Times New Roman" w:cs="Times New Roman"/>
          <w:spacing w:val="-2"/>
          <w:sz w:val="14"/>
          <w:szCs w:val="18"/>
          <w:lang w:val="en-US" w:eastAsia="pt-BR"/>
        </w:rPr>
        <w:t xml:space="preserve"> Nossa Caixa Vida e Previdência (MNCVP) in July 2012</w:t>
      </w:r>
      <w:r>
        <w:rPr>
          <w:rFonts w:eastAsia="Times New Roman" w:cs="Times New Roman"/>
          <w:spacing w:val="-2"/>
          <w:sz w:val="14"/>
          <w:szCs w:val="18"/>
          <w:lang w:val="en-US" w:eastAsia="pt-BR"/>
        </w:rPr>
        <w:t>,</w:t>
      </w:r>
      <w:r w:rsidRPr="008E0E14">
        <w:rPr>
          <w:rFonts w:eastAsia="Times New Roman" w:cs="Times New Roman"/>
          <w:spacing w:val="-2"/>
          <w:sz w:val="14"/>
          <w:szCs w:val="18"/>
          <w:lang w:val="en-US" w:eastAsia="pt-BR"/>
        </w:rPr>
        <w:t xml:space="preserve"> In Brasilcap, includes goodwill on the acquisition of equity interest in the company Sulacap by BB Seguros, which took place in 07/22/2011</w:t>
      </w:r>
      <w:r>
        <w:rPr>
          <w:rFonts w:eastAsia="Times New Roman" w:cs="Times New Roman"/>
          <w:spacing w:val="-2"/>
          <w:sz w:val="14"/>
          <w:szCs w:val="18"/>
          <w:lang w:val="en-US" w:eastAsia="pt-BR"/>
        </w:rPr>
        <w:t xml:space="preserve"> </w:t>
      </w:r>
      <w:r w:rsidRPr="004D52EB">
        <w:rPr>
          <w:rFonts w:eastAsia="Times New Roman" w:cs="Times New Roman"/>
          <w:spacing w:val="-2"/>
          <w:sz w:val="14"/>
          <w:szCs w:val="18"/>
          <w:lang w:val="en-US" w:eastAsia="pt-BR"/>
        </w:rPr>
        <w:t xml:space="preserve">and </w:t>
      </w:r>
      <w:r w:rsidRPr="0021230B">
        <w:rPr>
          <w:rFonts w:eastAsia="Times New Roman" w:cs="Times New Roman"/>
          <w:spacing w:val="-2"/>
          <w:sz w:val="14"/>
          <w:szCs w:val="18"/>
          <w:lang w:val="en-US" w:eastAsia="pt-BR"/>
        </w:rPr>
        <w:t>R$ 556 thousand of dividends receivable not recognized by BB Seguros, due to the approval within the scope of Brasilcap having taken place by the Executive Board on 01.25.2022.</w:t>
      </w:r>
    </w:p>
    <w:p w14:paraId="36F6151D" w14:textId="77777777" w:rsidR="005357C6" w:rsidRPr="00A44662" w:rsidRDefault="005357C6" w:rsidP="00C71FFF">
      <w:pPr>
        <w:spacing w:after="0"/>
        <w:jc w:val="right"/>
        <w:rPr>
          <w:rFonts w:cs="Arial"/>
          <w:b/>
          <w:sz w:val="14"/>
          <w:szCs w:val="18"/>
          <w:lang w:val="en-US"/>
        </w:rPr>
      </w:pPr>
    </w:p>
    <w:p w14:paraId="1994C417" w14:textId="77777777" w:rsidR="005357C6" w:rsidRPr="008E0E14" w:rsidRDefault="005357C6" w:rsidP="00C71FFF">
      <w:pPr>
        <w:spacing w:after="0"/>
        <w:contextualSpacing/>
        <w:jc w:val="both"/>
        <w:rPr>
          <w:rFonts w:cs="Arial"/>
          <w:sz w:val="14"/>
          <w:szCs w:val="18"/>
          <w:lang w:val="en-US"/>
        </w:rPr>
      </w:pPr>
    </w:p>
    <w:p w14:paraId="1899D0CE" w14:textId="36AF0E26" w:rsidR="00931938" w:rsidRPr="00D3472F" w:rsidRDefault="00931938" w:rsidP="00FC4475">
      <w:pPr>
        <w:pStyle w:val="Ttulo1"/>
      </w:pPr>
      <w:bookmarkStart w:id="33" w:name="_Toc126781099"/>
      <w:bookmarkStart w:id="34" w:name="OLE_LINK25"/>
      <w:r w:rsidRPr="00D3472F">
        <w:t>8 – COMMISSIONS INCOME</w:t>
      </w:r>
      <w:bookmarkEnd w:id="33"/>
    </w:p>
    <w:p w14:paraId="5FEC2DA0" w14:textId="77777777" w:rsidR="00931938" w:rsidRPr="004C777F" w:rsidRDefault="00931938" w:rsidP="0043555A">
      <w:pPr>
        <w:pStyle w:val="01-TtulodeNota"/>
        <w:spacing w:before="0" w:after="0"/>
        <w:jc w:val="right"/>
        <w:rPr>
          <w:sz w:val="14"/>
          <w:szCs w:val="14"/>
        </w:rPr>
      </w:pPr>
      <w:r>
        <w:rPr>
          <w:sz w:val="14"/>
          <w:szCs w:val="14"/>
        </w:rPr>
        <w:t xml:space="preserve">  </w:t>
      </w:r>
      <w:r>
        <w:rPr>
          <w:sz w:val="14"/>
          <w:szCs w:val="14"/>
        </w:rPr>
        <w:tab/>
        <w:t xml:space="preserve"> </w:t>
      </w:r>
      <w:r w:rsidRPr="004C777F">
        <w:rPr>
          <w:sz w:val="14"/>
          <w:szCs w:val="14"/>
        </w:rPr>
        <w:t xml:space="preserve">R$ </w:t>
      </w:r>
      <w:r>
        <w:rPr>
          <w:sz w:val="14"/>
          <w:szCs w:val="14"/>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467"/>
        <w:gridCol w:w="583"/>
        <w:gridCol w:w="595"/>
        <w:gridCol w:w="56"/>
        <w:gridCol w:w="1341"/>
        <w:gridCol w:w="1400"/>
        <w:gridCol w:w="43"/>
        <w:gridCol w:w="239"/>
        <w:gridCol w:w="1404"/>
        <w:gridCol w:w="1511"/>
      </w:tblGrid>
      <w:tr w:rsidR="00931938" w:rsidRPr="00A47279" w14:paraId="5101B5D0" w14:textId="77777777" w:rsidTr="00D3472F">
        <w:trPr>
          <w:trHeight w:val="238"/>
          <w:jc w:val="center"/>
        </w:trPr>
        <w:tc>
          <w:tcPr>
            <w:tcW w:w="2467" w:type="dxa"/>
            <w:tcBorders>
              <w:top w:val="single" w:sz="2" w:space="0" w:color="1F4E79" w:themeColor="accent1" w:themeShade="80"/>
              <w:bottom w:val="nil"/>
            </w:tcBorders>
            <w:shd w:val="clear" w:color="auto" w:fill="auto"/>
          </w:tcPr>
          <w:p w14:paraId="029F3536" w14:textId="77777777" w:rsidR="00931938" w:rsidRPr="00890AEB" w:rsidRDefault="00931938" w:rsidP="001623E3">
            <w:pPr>
              <w:keepNext/>
              <w:keepLines/>
              <w:tabs>
                <w:tab w:val="left" w:pos="2244"/>
                <w:tab w:val="center" w:pos="3294"/>
                <w:tab w:val="left" w:pos="4208"/>
                <w:tab w:val="left" w:pos="5816"/>
                <w:tab w:val="left" w:pos="5872"/>
              </w:tabs>
              <w:spacing w:before="40" w:after="40"/>
              <w:jc w:val="right"/>
              <w:rPr>
                <w:rFonts w:cs="Arial"/>
                <w:bCs/>
                <w:spacing w:val="-2"/>
                <w:sz w:val="14"/>
                <w:szCs w:val="14"/>
              </w:rPr>
            </w:pPr>
          </w:p>
        </w:tc>
        <w:tc>
          <w:tcPr>
            <w:tcW w:w="1234" w:type="dxa"/>
            <w:gridSpan w:val="3"/>
            <w:tcBorders>
              <w:top w:val="single" w:sz="2" w:space="0" w:color="1F4E79" w:themeColor="accent1" w:themeShade="80"/>
              <w:bottom w:val="nil"/>
            </w:tcBorders>
            <w:shd w:val="clear" w:color="auto" w:fill="auto"/>
          </w:tcPr>
          <w:p w14:paraId="30C9032D" w14:textId="77777777" w:rsidR="00931938" w:rsidRPr="00890AEB" w:rsidRDefault="00931938" w:rsidP="001623E3">
            <w:pPr>
              <w:keepNext/>
              <w:keepLines/>
              <w:spacing w:before="40" w:after="40"/>
              <w:jc w:val="center"/>
              <w:rPr>
                <w:rFonts w:cs="Arial"/>
                <w:b/>
                <w:spacing w:val="-2"/>
                <w:sz w:val="14"/>
                <w:szCs w:val="14"/>
              </w:rPr>
            </w:pPr>
          </w:p>
        </w:tc>
        <w:tc>
          <w:tcPr>
            <w:tcW w:w="2784" w:type="dxa"/>
            <w:gridSpan w:val="3"/>
            <w:tcBorders>
              <w:top w:val="single" w:sz="2" w:space="0" w:color="1F4E79" w:themeColor="accent1" w:themeShade="80"/>
              <w:bottom w:val="nil"/>
            </w:tcBorders>
            <w:shd w:val="clear" w:color="auto" w:fill="auto"/>
            <w:vAlign w:val="center"/>
          </w:tcPr>
          <w:p w14:paraId="2A8BB5C9" w14:textId="77777777" w:rsidR="00931938" w:rsidRPr="00890AEB" w:rsidRDefault="00931938" w:rsidP="001623E3">
            <w:pPr>
              <w:keepNext/>
              <w:keepLines/>
              <w:spacing w:before="40" w:after="40"/>
              <w:jc w:val="center"/>
              <w:rPr>
                <w:rFonts w:cs="Arial"/>
                <w:b/>
                <w:spacing w:val="-2"/>
                <w:sz w:val="14"/>
                <w:szCs w:val="14"/>
              </w:rPr>
            </w:pPr>
          </w:p>
        </w:tc>
        <w:tc>
          <w:tcPr>
            <w:tcW w:w="239" w:type="dxa"/>
            <w:tcBorders>
              <w:top w:val="single" w:sz="2" w:space="0" w:color="1F4E79" w:themeColor="accent1" w:themeShade="80"/>
              <w:bottom w:val="nil"/>
            </w:tcBorders>
            <w:shd w:val="clear" w:color="auto" w:fill="auto"/>
            <w:vAlign w:val="center"/>
          </w:tcPr>
          <w:p w14:paraId="4CC9A1BB" w14:textId="77777777" w:rsidR="00931938" w:rsidRPr="00A47279" w:rsidRDefault="00931938" w:rsidP="001623E3">
            <w:pPr>
              <w:keepNext/>
              <w:keepLines/>
              <w:spacing w:before="40" w:after="40"/>
              <w:jc w:val="right"/>
              <w:rPr>
                <w:rFonts w:cs="Arial"/>
                <w:b/>
                <w:spacing w:val="-2"/>
                <w:sz w:val="14"/>
                <w:szCs w:val="14"/>
              </w:rPr>
            </w:pPr>
          </w:p>
        </w:tc>
        <w:tc>
          <w:tcPr>
            <w:tcW w:w="2915" w:type="dxa"/>
            <w:gridSpan w:val="2"/>
            <w:tcBorders>
              <w:top w:val="single" w:sz="2" w:space="0" w:color="1F4E79" w:themeColor="accent1" w:themeShade="80"/>
              <w:bottom w:val="single" w:sz="2" w:space="0" w:color="1F4E79" w:themeColor="accent1" w:themeShade="80"/>
            </w:tcBorders>
            <w:shd w:val="clear" w:color="auto" w:fill="auto"/>
            <w:vAlign w:val="center"/>
          </w:tcPr>
          <w:p w14:paraId="6E4E683C" w14:textId="77777777" w:rsidR="00931938" w:rsidRPr="00A47279" w:rsidRDefault="00931938" w:rsidP="001623E3">
            <w:pPr>
              <w:keepNext/>
              <w:keepLines/>
              <w:spacing w:before="40" w:after="40"/>
              <w:jc w:val="center"/>
              <w:rPr>
                <w:rFonts w:cs="Arial"/>
                <w:b/>
                <w:spacing w:val="-2"/>
                <w:sz w:val="14"/>
                <w:szCs w:val="14"/>
              </w:rPr>
            </w:pPr>
            <w:r w:rsidRPr="00A47279">
              <w:rPr>
                <w:rFonts w:cs="Arial"/>
                <w:b/>
                <w:spacing w:val="-2"/>
                <w:sz w:val="14"/>
                <w:szCs w:val="14"/>
              </w:rPr>
              <w:t>Consolida</w:t>
            </w:r>
            <w:r>
              <w:rPr>
                <w:rFonts w:cs="Arial"/>
                <w:b/>
                <w:spacing w:val="-2"/>
                <w:sz w:val="14"/>
                <w:szCs w:val="14"/>
              </w:rPr>
              <w:t>ted</w:t>
            </w:r>
          </w:p>
        </w:tc>
      </w:tr>
      <w:tr w:rsidR="00931938" w:rsidRPr="00A47279" w14:paraId="7886EA62" w14:textId="77777777" w:rsidTr="00D3472F">
        <w:trPr>
          <w:trHeight w:val="238"/>
          <w:jc w:val="center"/>
        </w:trPr>
        <w:tc>
          <w:tcPr>
            <w:tcW w:w="3050" w:type="dxa"/>
            <w:gridSpan w:val="2"/>
            <w:tcBorders>
              <w:top w:val="nil"/>
              <w:bottom w:val="single" w:sz="2" w:space="0" w:color="1F4E79" w:themeColor="accent1" w:themeShade="80"/>
            </w:tcBorders>
            <w:shd w:val="clear" w:color="auto" w:fill="auto"/>
          </w:tcPr>
          <w:p w14:paraId="49A8DBAE" w14:textId="77777777" w:rsidR="00931938" w:rsidRPr="00A47279" w:rsidRDefault="00931938" w:rsidP="001623E3">
            <w:pPr>
              <w:keepNext/>
              <w:keepLines/>
              <w:spacing w:before="40" w:after="40"/>
              <w:rPr>
                <w:rFonts w:cs="Arial"/>
                <w:b/>
                <w:spacing w:val="-2"/>
                <w:sz w:val="14"/>
                <w:szCs w:val="14"/>
              </w:rPr>
            </w:pPr>
          </w:p>
        </w:tc>
        <w:tc>
          <w:tcPr>
            <w:tcW w:w="595" w:type="dxa"/>
            <w:tcBorders>
              <w:top w:val="nil"/>
              <w:bottom w:val="single" w:sz="2" w:space="0" w:color="1F4E79" w:themeColor="accent1" w:themeShade="80"/>
            </w:tcBorders>
            <w:shd w:val="clear" w:color="auto" w:fill="auto"/>
          </w:tcPr>
          <w:p w14:paraId="6E008A5C" w14:textId="77777777" w:rsidR="00931938" w:rsidRPr="00890AEB" w:rsidRDefault="00931938" w:rsidP="001623E3">
            <w:pPr>
              <w:keepNext/>
              <w:keepLines/>
              <w:spacing w:before="40" w:after="40"/>
              <w:jc w:val="right"/>
              <w:rPr>
                <w:rFonts w:cs="Arial"/>
                <w:bCs/>
                <w:spacing w:val="-2"/>
                <w:sz w:val="14"/>
                <w:szCs w:val="14"/>
              </w:rPr>
            </w:pPr>
          </w:p>
        </w:tc>
        <w:tc>
          <w:tcPr>
            <w:tcW w:w="1397" w:type="dxa"/>
            <w:gridSpan w:val="2"/>
            <w:tcBorders>
              <w:top w:val="nil"/>
              <w:bottom w:val="single" w:sz="2" w:space="0" w:color="1F4E79" w:themeColor="accent1" w:themeShade="80"/>
            </w:tcBorders>
            <w:shd w:val="clear" w:color="auto" w:fill="auto"/>
            <w:vAlign w:val="center"/>
          </w:tcPr>
          <w:p w14:paraId="25C8D7B2" w14:textId="77777777" w:rsidR="00931938" w:rsidRPr="00890AEB" w:rsidRDefault="00931938" w:rsidP="001623E3">
            <w:pPr>
              <w:keepNext/>
              <w:keepLines/>
              <w:spacing w:before="40" w:after="40"/>
              <w:jc w:val="right"/>
              <w:rPr>
                <w:rFonts w:cs="Arial"/>
                <w:b/>
                <w:spacing w:val="-2"/>
                <w:sz w:val="14"/>
                <w:szCs w:val="14"/>
              </w:rPr>
            </w:pPr>
          </w:p>
        </w:tc>
        <w:tc>
          <w:tcPr>
            <w:tcW w:w="1400" w:type="dxa"/>
            <w:tcBorders>
              <w:top w:val="nil"/>
              <w:bottom w:val="single" w:sz="2" w:space="0" w:color="1F4E79" w:themeColor="accent1" w:themeShade="80"/>
            </w:tcBorders>
            <w:shd w:val="clear" w:color="auto" w:fill="auto"/>
            <w:vAlign w:val="center"/>
          </w:tcPr>
          <w:p w14:paraId="25078D46" w14:textId="77777777" w:rsidR="00931938" w:rsidRPr="00890AEB" w:rsidRDefault="00931938" w:rsidP="001623E3">
            <w:pPr>
              <w:keepNext/>
              <w:keepLines/>
              <w:spacing w:before="40" w:after="40"/>
              <w:jc w:val="right"/>
              <w:rPr>
                <w:rFonts w:cs="Arial"/>
                <w:b/>
                <w:spacing w:val="-2"/>
                <w:sz w:val="14"/>
                <w:szCs w:val="14"/>
              </w:rPr>
            </w:pPr>
          </w:p>
        </w:tc>
        <w:tc>
          <w:tcPr>
            <w:tcW w:w="282" w:type="dxa"/>
            <w:gridSpan w:val="2"/>
            <w:tcBorders>
              <w:top w:val="nil"/>
              <w:bottom w:val="single" w:sz="2" w:space="0" w:color="1F4E79" w:themeColor="accent1" w:themeShade="80"/>
            </w:tcBorders>
            <w:shd w:val="clear" w:color="auto" w:fill="auto"/>
            <w:vAlign w:val="center"/>
          </w:tcPr>
          <w:p w14:paraId="2DC38674" w14:textId="77777777" w:rsidR="00931938" w:rsidRPr="00A47279" w:rsidRDefault="00931938" w:rsidP="001623E3">
            <w:pPr>
              <w:keepNext/>
              <w:keepLines/>
              <w:spacing w:before="40" w:after="40"/>
              <w:jc w:val="right"/>
              <w:rPr>
                <w:rFonts w:cs="Arial"/>
                <w:b/>
                <w:spacing w:val="-2"/>
                <w:sz w:val="14"/>
                <w:szCs w:val="18"/>
              </w:rPr>
            </w:pPr>
          </w:p>
        </w:tc>
        <w:tc>
          <w:tcPr>
            <w:tcW w:w="1404" w:type="dxa"/>
            <w:tcBorders>
              <w:top w:val="single" w:sz="2" w:space="0" w:color="1F4E79" w:themeColor="accent1" w:themeShade="80"/>
              <w:bottom w:val="single" w:sz="2" w:space="0" w:color="1F4E79" w:themeColor="accent1" w:themeShade="80"/>
            </w:tcBorders>
            <w:shd w:val="clear" w:color="auto" w:fill="auto"/>
            <w:vAlign w:val="center"/>
          </w:tcPr>
          <w:p w14:paraId="4109E9AE" w14:textId="77777777" w:rsidR="00931938" w:rsidRPr="00A47279" w:rsidRDefault="00931938" w:rsidP="008E70E2">
            <w:pPr>
              <w:keepNext/>
              <w:keepLines/>
              <w:spacing w:before="40" w:after="40"/>
              <w:jc w:val="right"/>
              <w:rPr>
                <w:rFonts w:cs="Arial"/>
                <w:b/>
                <w:spacing w:val="-2"/>
                <w:sz w:val="14"/>
                <w:szCs w:val="18"/>
              </w:rPr>
            </w:pPr>
            <w:r>
              <w:rPr>
                <w:rFonts w:cs="Arial"/>
                <w:b/>
                <w:spacing w:val="-2"/>
                <w:sz w:val="14"/>
                <w:szCs w:val="18"/>
              </w:rPr>
              <w:t>2022</w:t>
            </w:r>
          </w:p>
        </w:tc>
        <w:tc>
          <w:tcPr>
            <w:tcW w:w="1511" w:type="dxa"/>
            <w:tcBorders>
              <w:top w:val="single" w:sz="2" w:space="0" w:color="1F4E79" w:themeColor="accent1" w:themeShade="80"/>
              <w:bottom w:val="single" w:sz="2" w:space="0" w:color="1F4E79" w:themeColor="accent1" w:themeShade="80"/>
            </w:tcBorders>
            <w:shd w:val="clear" w:color="auto" w:fill="auto"/>
            <w:vAlign w:val="center"/>
          </w:tcPr>
          <w:p w14:paraId="34569460" w14:textId="77777777" w:rsidR="00931938" w:rsidRPr="00A47279" w:rsidRDefault="00931938" w:rsidP="00435E4B">
            <w:pPr>
              <w:keepNext/>
              <w:keepLines/>
              <w:spacing w:before="40" w:after="40"/>
              <w:jc w:val="right"/>
              <w:rPr>
                <w:rFonts w:cs="Arial"/>
                <w:b/>
                <w:spacing w:val="-2"/>
                <w:sz w:val="14"/>
                <w:szCs w:val="18"/>
              </w:rPr>
            </w:pPr>
            <w:r>
              <w:rPr>
                <w:rFonts w:cs="Arial"/>
                <w:b/>
                <w:spacing w:val="-2"/>
                <w:sz w:val="14"/>
                <w:szCs w:val="18"/>
              </w:rPr>
              <w:t xml:space="preserve"> 2021</w:t>
            </w:r>
          </w:p>
        </w:tc>
      </w:tr>
      <w:tr w:rsidR="00931938" w:rsidRPr="00A47279" w14:paraId="7F070312" w14:textId="77777777" w:rsidTr="00D3472F">
        <w:trPr>
          <w:trHeight w:val="238"/>
          <w:jc w:val="center"/>
        </w:trPr>
        <w:tc>
          <w:tcPr>
            <w:tcW w:w="3050" w:type="dxa"/>
            <w:gridSpan w:val="2"/>
            <w:tcBorders>
              <w:top w:val="single" w:sz="2" w:space="0" w:color="1F4E79" w:themeColor="accent1" w:themeShade="80"/>
              <w:bottom w:val="nil"/>
            </w:tcBorders>
            <w:shd w:val="clear" w:color="auto" w:fill="auto"/>
            <w:vAlign w:val="center"/>
          </w:tcPr>
          <w:p w14:paraId="6ADAA4B0" w14:textId="77777777" w:rsidR="00931938" w:rsidRPr="00945E16" w:rsidRDefault="00931938" w:rsidP="00872E58">
            <w:pPr>
              <w:pStyle w:val="08-Tabelageral"/>
              <w:jc w:val="left"/>
              <w:rPr>
                <w:rFonts w:cs="Arial"/>
                <w:b/>
                <w:bCs/>
                <w:szCs w:val="14"/>
                <w:vertAlign w:val="superscript"/>
              </w:rPr>
            </w:pPr>
            <w:r w:rsidRPr="00945E16">
              <w:rPr>
                <w:b/>
                <w:bCs/>
              </w:rPr>
              <w:t>Gross commission income</w:t>
            </w:r>
          </w:p>
        </w:tc>
        <w:tc>
          <w:tcPr>
            <w:tcW w:w="595" w:type="dxa"/>
            <w:tcBorders>
              <w:top w:val="single" w:sz="2" w:space="0" w:color="1F4E79" w:themeColor="accent1" w:themeShade="80"/>
              <w:bottom w:val="nil"/>
            </w:tcBorders>
            <w:shd w:val="clear" w:color="auto" w:fill="auto"/>
          </w:tcPr>
          <w:p w14:paraId="60ECF423" w14:textId="77777777" w:rsidR="00931938" w:rsidRPr="00890AEB" w:rsidRDefault="00931938" w:rsidP="00872E58">
            <w:pPr>
              <w:pStyle w:val="08-Tabelageral"/>
              <w:rPr>
                <w:rFonts w:cs="Arial"/>
                <w:bCs/>
                <w:szCs w:val="14"/>
              </w:rPr>
            </w:pPr>
          </w:p>
        </w:tc>
        <w:tc>
          <w:tcPr>
            <w:tcW w:w="1397" w:type="dxa"/>
            <w:gridSpan w:val="2"/>
            <w:tcBorders>
              <w:top w:val="single" w:sz="2" w:space="0" w:color="1F4E79" w:themeColor="accent1" w:themeShade="80"/>
              <w:bottom w:val="nil"/>
            </w:tcBorders>
            <w:shd w:val="clear" w:color="auto" w:fill="auto"/>
            <w:vAlign w:val="center"/>
          </w:tcPr>
          <w:p w14:paraId="7D5EDAD2" w14:textId="77777777" w:rsidR="00931938" w:rsidRPr="00496EA7" w:rsidRDefault="00931938" w:rsidP="00872E58">
            <w:pPr>
              <w:pStyle w:val="08-Tabelageral"/>
              <w:rPr>
                <w:rFonts w:cs="Arial"/>
              </w:rPr>
            </w:pPr>
          </w:p>
        </w:tc>
        <w:tc>
          <w:tcPr>
            <w:tcW w:w="1400" w:type="dxa"/>
            <w:tcBorders>
              <w:top w:val="single" w:sz="2" w:space="0" w:color="1F4E79" w:themeColor="accent1" w:themeShade="80"/>
              <w:bottom w:val="nil"/>
            </w:tcBorders>
            <w:shd w:val="clear" w:color="auto" w:fill="auto"/>
            <w:vAlign w:val="center"/>
          </w:tcPr>
          <w:p w14:paraId="3AFDB103" w14:textId="77777777" w:rsidR="00931938" w:rsidRPr="00496EA7" w:rsidRDefault="00931938" w:rsidP="00872E58">
            <w:pPr>
              <w:pStyle w:val="08-Tabelageral"/>
              <w:rPr>
                <w:rFonts w:cs="Arial"/>
              </w:rPr>
            </w:pPr>
          </w:p>
        </w:tc>
        <w:tc>
          <w:tcPr>
            <w:tcW w:w="282" w:type="dxa"/>
            <w:gridSpan w:val="2"/>
            <w:tcBorders>
              <w:top w:val="single" w:sz="2" w:space="0" w:color="1F4E79" w:themeColor="accent1" w:themeShade="80"/>
              <w:bottom w:val="nil"/>
            </w:tcBorders>
            <w:shd w:val="clear" w:color="auto" w:fill="auto"/>
            <w:vAlign w:val="center"/>
          </w:tcPr>
          <w:p w14:paraId="317C8A58" w14:textId="77777777" w:rsidR="00931938" w:rsidRPr="00496EA7" w:rsidRDefault="00931938" w:rsidP="00872E58">
            <w:pPr>
              <w:pStyle w:val="08-Tabelageral"/>
              <w:rPr>
                <w:rFonts w:cs="Arial"/>
              </w:rPr>
            </w:pPr>
          </w:p>
        </w:tc>
        <w:tc>
          <w:tcPr>
            <w:tcW w:w="1404" w:type="dxa"/>
            <w:tcBorders>
              <w:top w:val="single" w:sz="2" w:space="0" w:color="1F4E79" w:themeColor="accent1" w:themeShade="80"/>
              <w:bottom w:val="nil"/>
            </w:tcBorders>
            <w:shd w:val="clear" w:color="auto" w:fill="auto"/>
          </w:tcPr>
          <w:p w14:paraId="11D42C09" w14:textId="77777777" w:rsidR="00931938" w:rsidRPr="002857F3" w:rsidRDefault="00931938" w:rsidP="00872E58">
            <w:pPr>
              <w:pStyle w:val="08-Tabelageral"/>
              <w:rPr>
                <w:rFonts w:cs="Arial"/>
                <w:b/>
                <w:bCs/>
              </w:rPr>
            </w:pPr>
            <w:r>
              <w:rPr>
                <w:rFonts w:cs="Arial"/>
                <w:b/>
                <w:bCs/>
              </w:rPr>
              <w:t>4,671,222</w:t>
            </w:r>
          </w:p>
        </w:tc>
        <w:tc>
          <w:tcPr>
            <w:tcW w:w="1511" w:type="dxa"/>
            <w:tcBorders>
              <w:top w:val="single" w:sz="2" w:space="0" w:color="1F4E79" w:themeColor="accent1" w:themeShade="80"/>
              <w:bottom w:val="nil"/>
            </w:tcBorders>
            <w:shd w:val="clear" w:color="auto" w:fill="auto"/>
          </w:tcPr>
          <w:p w14:paraId="13AA157C" w14:textId="77777777" w:rsidR="00931938" w:rsidRPr="00496EA7" w:rsidRDefault="00931938" w:rsidP="00872E58">
            <w:pPr>
              <w:pStyle w:val="08-Tabelageral"/>
              <w:rPr>
                <w:rFonts w:cs="Arial"/>
              </w:rPr>
            </w:pPr>
            <w:r w:rsidRPr="002857F3">
              <w:rPr>
                <w:rFonts w:cs="Arial"/>
                <w:b/>
                <w:bCs/>
              </w:rPr>
              <w:t>3</w:t>
            </w:r>
            <w:r>
              <w:rPr>
                <w:rFonts w:cs="Arial"/>
                <w:b/>
                <w:bCs/>
              </w:rPr>
              <w:t>,</w:t>
            </w:r>
            <w:r w:rsidRPr="002857F3">
              <w:rPr>
                <w:rFonts w:cs="Arial"/>
                <w:b/>
                <w:bCs/>
              </w:rPr>
              <w:t>953</w:t>
            </w:r>
            <w:r>
              <w:rPr>
                <w:rFonts w:cs="Arial"/>
                <w:b/>
                <w:bCs/>
              </w:rPr>
              <w:t>,</w:t>
            </w:r>
            <w:r w:rsidRPr="002857F3">
              <w:rPr>
                <w:rFonts w:cs="Arial"/>
                <w:b/>
                <w:bCs/>
              </w:rPr>
              <w:t>457</w:t>
            </w:r>
          </w:p>
        </w:tc>
      </w:tr>
      <w:tr w:rsidR="00931938" w:rsidRPr="00A47279" w14:paraId="7ED58AE9" w14:textId="77777777" w:rsidTr="00D3472F">
        <w:trPr>
          <w:trHeight w:val="238"/>
          <w:jc w:val="center"/>
        </w:trPr>
        <w:tc>
          <w:tcPr>
            <w:tcW w:w="3050" w:type="dxa"/>
            <w:gridSpan w:val="2"/>
            <w:tcBorders>
              <w:top w:val="nil"/>
              <w:bottom w:val="nil"/>
            </w:tcBorders>
            <w:shd w:val="clear" w:color="auto" w:fill="auto"/>
            <w:vAlign w:val="center"/>
          </w:tcPr>
          <w:p w14:paraId="4B0DBF40" w14:textId="77777777" w:rsidR="00931938" w:rsidRPr="00A47279" w:rsidRDefault="00931938" w:rsidP="00872E58">
            <w:pPr>
              <w:pStyle w:val="08-Tabelageral"/>
              <w:ind w:left="113"/>
              <w:jc w:val="left"/>
              <w:rPr>
                <w:rFonts w:cs="Arial"/>
                <w:szCs w:val="14"/>
              </w:rPr>
            </w:pPr>
            <w:r w:rsidRPr="00BC5A4F">
              <w:t>BB M</w:t>
            </w:r>
            <w:r>
              <w:t>APFRE</w:t>
            </w:r>
          </w:p>
        </w:tc>
        <w:tc>
          <w:tcPr>
            <w:tcW w:w="595" w:type="dxa"/>
            <w:tcBorders>
              <w:top w:val="nil"/>
            </w:tcBorders>
            <w:shd w:val="clear" w:color="auto" w:fill="auto"/>
          </w:tcPr>
          <w:p w14:paraId="696EE1E0" w14:textId="77777777" w:rsidR="00931938" w:rsidRPr="00890AEB" w:rsidRDefault="00931938" w:rsidP="00872E58">
            <w:pPr>
              <w:pStyle w:val="08-Tabelageral"/>
              <w:rPr>
                <w:rFonts w:cs="Arial"/>
                <w:bCs/>
                <w:szCs w:val="14"/>
              </w:rPr>
            </w:pPr>
          </w:p>
        </w:tc>
        <w:tc>
          <w:tcPr>
            <w:tcW w:w="1397" w:type="dxa"/>
            <w:gridSpan w:val="2"/>
            <w:tcBorders>
              <w:top w:val="nil"/>
              <w:bottom w:val="nil"/>
            </w:tcBorders>
            <w:shd w:val="clear" w:color="auto" w:fill="auto"/>
            <w:vAlign w:val="center"/>
          </w:tcPr>
          <w:p w14:paraId="5DDC303B" w14:textId="77777777" w:rsidR="00931938" w:rsidRPr="00496EA7" w:rsidRDefault="00931938" w:rsidP="00872E58">
            <w:pPr>
              <w:pStyle w:val="08-Tabelageral"/>
              <w:rPr>
                <w:rFonts w:cs="Arial"/>
              </w:rPr>
            </w:pPr>
          </w:p>
        </w:tc>
        <w:tc>
          <w:tcPr>
            <w:tcW w:w="1400" w:type="dxa"/>
            <w:tcBorders>
              <w:top w:val="nil"/>
              <w:bottom w:val="nil"/>
            </w:tcBorders>
            <w:shd w:val="clear" w:color="auto" w:fill="auto"/>
            <w:vAlign w:val="center"/>
          </w:tcPr>
          <w:p w14:paraId="633329D0" w14:textId="77777777" w:rsidR="00931938" w:rsidRPr="00496EA7" w:rsidRDefault="00931938" w:rsidP="00872E58">
            <w:pPr>
              <w:pStyle w:val="08-Tabelageral"/>
              <w:rPr>
                <w:rFonts w:cs="Arial"/>
              </w:rPr>
            </w:pPr>
          </w:p>
        </w:tc>
        <w:tc>
          <w:tcPr>
            <w:tcW w:w="282" w:type="dxa"/>
            <w:gridSpan w:val="2"/>
            <w:tcBorders>
              <w:top w:val="nil"/>
              <w:bottom w:val="nil"/>
            </w:tcBorders>
            <w:shd w:val="clear" w:color="auto" w:fill="auto"/>
            <w:vAlign w:val="center"/>
          </w:tcPr>
          <w:p w14:paraId="3CD7FD5C" w14:textId="77777777" w:rsidR="00931938" w:rsidRPr="00496EA7" w:rsidRDefault="00931938" w:rsidP="00872E58">
            <w:pPr>
              <w:pStyle w:val="08-Tabelageral"/>
              <w:rPr>
                <w:rFonts w:cs="Arial"/>
              </w:rPr>
            </w:pPr>
          </w:p>
        </w:tc>
        <w:tc>
          <w:tcPr>
            <w:tcW w:w="1404" w:type="dxa"/>
            <w:tcBorders>
              <w:top w:val="nil"/>
              <w:bottom w:val="nil"/>
            </w:tcBorders>
            <w:shd w:val="clear" w:color="auto" w:fill="auto"/>
          </w:tcPr>
          <w:p w14:paraId="451F825F" w14:textId="77777777" w:rsidR="00931938" w:rsidRPr="00496EA7" w:rsidRDefault="00931938" w:rsidP="00872E58">
            <w:pPr>
              <w:pStyle w:val="08-Tabelageral"/>
              <w:rPr>
                <w:rFonts w:cs="Arial"/>
              </w:rPr>
            </w:pPr>
            <w:r>
              <w:rPr>
                <w:rFonts w:cs="Arial"/>
              </w:rPr>
              <w:t>3,448,248</w:t>
            </w:r>
          </w:p>
        </w:tc>
        <w:tc>
          <w:tcPr>
            <w:tcW w:w="1511" w:type="dxa"/>
            <w:tcBorders>
              <w:top w:val="nil"/>
              <w:bottom w:val="nil"/>
            </w:tcBorders>
            <w:shd w:val="clear" w:color="auto" w:fill="auto"/>
          </w:tcPr>
          <w:p w14:paraId="64D94915" w14:textId="77777777" w:rsidR="00931938" w:rsidRPr="00496EA7" w:rsidRDefault="00931938" w:rsidP="00872E58">
            <w:pPr>
              <w:pStyle w:val="08-Tabelageral"/>
              <w:rPr>
                <w:rFonts w:cs="Arial"/>
              </w:rPr>
            </w:pPr>
            <w:r>
              <w:rPr>
                <w:rFonts w:cs="Arial"/>
              </w:rPr>
              <w:t>2,909,260</w:t>
            </w:r>
          </w:p>
        </w:tc>
      </w:tr>
      <w:tr w:rsidR="00931938" w:rsidRPr="00A47279" w14:paraId="1F058682" w14:textId="77777777" w:rsidTr="00D3472F">
        <w:trPr>
          <w:trHeight w:val="238"/>
          <w:jc w:val="center"/>
        </w:trPr>
        <w:tc>
          <w:tcPr>
            <w:tcW w:w="3050" w:type="dxa"/>
            <w:gridSpan w:val="2"/>
            <w:tcBorders>
              <w:top w:val="nil"/>
              <w:bottom w:val="nil"/>
            </w:tcBorders>
            <w:shd w:val="clear" w:color="auto" w:fill="auto"/>
            <w:vAlign w:val="center"/>
          </w:tcPr>
          <w:p w14:paraId="613EF624" w14:textId="77777777" w:rsidR="00931938" w:rsidRPr="00A47279" w:rsidRDefault="00931938" w:rsidP="00872E58">
            <w:pPr>
              <w:pStyle w:val="08-Tabelageral"/>
              <w:ind w:left="113"/>
              <w:jc w:val="left"/>
              <w:rPr>
                <w:rFonts w:cs="Arial"/>
                <w:szCs w:val="14"/>
              </w:rPr>
            </w:pPr>
            <w:r w:rsidRPr="00BC5A4F">
              <w:t>Brasilprev</w:t>
            </w:r>
          </w:p>
        </w:tc>
        <w:tc>
          <w:tcPr>
            <w:tcW w:w="595" w:type="dxa"/>
            <w:tcBorders>
              <w:top w:val="nil"/>
            </w:tcBorders>
            <w:shd w:val="clear" w:color="auto" w:fill="auto"/>
          </w:tcPr>
          <w:p w14:paraId="4775B9B1" w14:textId="77777777" w:rsidR="00931938" w:rsidRPr="00890AEB" w:rsidRDefault="00931938" w:rsidP="00872E58">
            <w:pPr>
              <w:pStyle w:val="08-Tabelageral"/>
              <w:rPr>
                <w:rFonts w:cs="Arial"/>
                <w:bCs/>
                <w:szCs w:val="14"/>
              </w:rPr>
            </w:pPr>
          </w:p>
        </w:tc>
        <w:tc>
          <w:tcPr>
            <w:tcW w:w="1397" w:type="dxa"/>
            <w:gridSpan w:val="2"/>
            <w:tcBorders>
              <w:top w:val="nil"/>
              <w:bottom w:val="nil"/>
            </w:tcBorders>
            <w:shd w:val="clear" w:color="auto" w:fill="auto"/>
            <w:vAlign w:val="center"/>
          </w:tcPr>
          <w:p w14:paraId="0A618363" w14:textId="77777777" w:rsidR="00931938" w:rsidRPr="00496EA7" w:rsidRDefault="00931938" w:rsidP="00872E58">
            <w:pPr>
              <w:pStyle w:val="08-Tabelageral"/>
              <w:rPr>
                <w:rFonts w:cs="Arial"/>
              </w:rPr>
            </w:pPr>
          </w:p>
        </w:tc>
        <w:tc>
          <w:tcPr>
            <w:tcW w:w="1400" w:type="dxa"/>
            <w:tcBorders>
              <w:top w:val="nil"/>
              <w:bottom w:val="nil"/>
            </w:tcBorders>
            <w:shd w:val="clear" w:color="auto" w:fill="auto"/>
            <w:vAlign w:val="center"/>
          </w:tcPr>
          <w:p w14:paraId="59FA1666" w14:textId="77777777" w:rsidR="00931938" w:rsidRPr="00496EA7" w:rsidRDefault="00931938" w:rsidP="00872E58">
            <w:pPr>
              <w:pStyle w:val="08-Tabelageral"/>
              <w:rPr>
                <w:rFonts w:cs="Arial"/>
              </w:rPr>
            </w:pPr>
          </w:p>
        </w:tc>
        <w:tc>
          <w:tcPr>
            <w:tcW w:w="282" w:type="dxa"/>
            <w:gridSpan w:val="2"/>
            <w:tcBorders>
              <w:top w:val="nil"/>
              <w:bottom w:val="nil"/>
            </w:tcBorders>
            <w:shd w:val="clear" w:color="auto" w:fill="auto"/>
            <w:vAlign w:val="center"/>
          </w:tcPr>
          <w:p w14:paraId="6A3A320D" w14:textId="77777777" w:rsidR="00931938" w:rsidRPr="00496EA7" w:rsidRDefault="00931938" w:rsidP="00872E58">
            <w:pPr>
              <w:pStyle w:val="08-Tabelageral"/>
              <w:rPr>
                <w:rFonts w:cs="Arial"/>
              </w:rPr>
            </w:pPr>
          </w:p>
        </w:tc>
        <w:tc>
          <w:tcPr>
            <w:tcW w:w="1404" w:type="dxa"/>
            <w:tcBorders>
              <w:top w:val="nil"/>
              <w:bottom w:val="nil"/>
            </w:tcBorders>
            <w:shd w:val="clear" w:color="auto" w:fill="auto"/>
          </w:tcPr>
          <w:p w14:paraId="559F053F" w14:textId="77777777" w:rsidR="00931938" w:rsidRPr="00496EA7" w:rsidRDefault="00931938" w:rsidP="00872E58">
            <w:pPr>
              <w:pStyle w:val="08-Tabelageral"/>
              <w:rPr>
                <w:rFonts w:cs="Arial"/>
              </w:rPr>
            </w:pPr>
            <w:r>
              <w:rPr>
                <w:rFonts w:cs="Arial"/>
              </w:rPr>
              <w:t>603,607</w:t>
            </w:r>
          </w:p>
        </w:tc>
        <w:tc>
          <w:tcPr>
            <w:tcW w:w="1511" w:type="dxa"/>
            <w:tcBorders>
              <w:top w:val="nil"/>
              <w:bottom w:val="nil"/>
            </w:tcBorders>
            <w:shd w:val="clear" w:color="auto" w:fill="auto"/>
          </w:tcPr>
          <w:p w14:paraId="50992AA3" w14:textId="77777777" w:rsidR="00931938" w:rsidRPr="00496EA7" w:rsidRDefault="00931938" w:rsidP="00872E58">
            <w:pPr>
              <w:pStyle w:val="08-Tabelageral"/>
              <w:rPr>
                <w:rFonts w:cs="Arial"/>
              </w:rPr>
            </w:pPr>
            <w:r>
              <w:rPr>
                <w:rFonts w:cs="Arial"/>
              </w:rPr>
              <w:t>558,296</w:t>
            </w:r>
          </w:p>
        </w:tc>
      </w:tr>
      <w:tr w:rsidR="00931938" w:rsidRPr="00A47279" w14:paraId="3AFD914E" w14:textId="77777777" w:rsidTr="00D3472F">
        <w:trPr>
          <w:trHeight w:val="238"/>
          <w:jc w:val="center"/>
        </w:trPr>
        <w:tc>
          <w:tcPr>
            <w:tcW w:w="3050" w:type="dxa"/>
            <w:gridSpan w:val="2"/>
            <w:tcBorders>
              <w:top w:val="nil"/>
              <w:bottom w:val="nil"/>
            </w:tcBorders>
            <w:shd w:val="clear" w:color="auto" w:fill="auto"/>
            <w:vAlign w:val="center"/>
          </w:tcPr>
          <w:p w14:paraId="3205F428" w14:textId="77777777" w:rsidR="00931938" w:rsidRPr="00A47279" w:rsidRDefault="00931938" w:rsidP="00872E58">
            <w:pPr>
              <w:pStyle w:val="08-Tabelageral"/>
              <w:ind w:left="113"/>
              <w:jc w:val="left"/>
              <w:rPr>
                <w:rFonts w:cs="Arial"/>
                <w:szCs w:val="14"/>
              </w:rPr>
            </w:pPr>
            <w:r>
              <w:rPr>
                <w:rFonts w:cs="Arial"/>
                <w:szCs w:val="14"/>
              </w:rPr>
              <w:t>Brasilcap</w:t>
            </w:r>
          </w:p>
        </w:tc>
        <w:tc>
          <w:tcPr>
            <w:tcW w:w="595" w:type="dxa"/>
            <w:tcBorders>
              <w:top w:val="nil"/>
            </w:tcBorders>
            <w:shd w:val="clear" w:color="auto" w:fill="auto"/>
          </w:tcPr>
          <w:p w14:paraId="29746E96" w14:textId="77777777" w:rsidR="00931938" w:rsidRPr="00890AEB" w:rsidRDefault="00931938" w:rsidP="00872E58">
            <w:pPr>
              <w:pStyle w:val="08-Tabelageral"/>
              <w:rPr>
                <w:rFonts w:cs="Arial"/>
                <w:bCs/>
                <w:szCs w:val="14"/>
              </w:rPr>
            </w:pPr>
          </w:p>
        </w:tc>
        <w:tc>
          <w:tcPr>
            <w:tcW w:w="1397" w:type="dxa"/>
            <w:gridSpan w:val="2"/>
            <w:tcBorders>
              <w:top w:val="nil"/>
              <w:bottom w:val="nil"/>
            </w:tcBorders>
            <w:shd w:val="clear" w:color="auto" w:fill="auto"/>
          </w:tcPr>
          <w:p w14:paraId="72C331FA" w14:textId="77777777" w:rsidR="00931938" w:rsidRPr="00496EA7" w:rsidRDefault="00931938" w:rsidP="00872E58">
            <w:pPr>
              <w:pStyle w:val="08-Tabelageral"/>
              <w:rPr>
                <w:rFonts w:cs="Arial"/>
              </w:rPr>
            </w:pPr>
          </w:p>
        </w:tc>
        <w:tc>
          <w:tcPr>
            <w:tcW w:w="1400" w:type="dxa"/>
            <w:tcBorders>
              <w:top w:val="nil"/>
              <w:bottom w:val="nil"/>
            </w:tcBorders>
            <w:shd w:val="clear" w:color="auto" w:fill="auto"/>
          </w:tcPr>
          <w:p w14:paraId="45613A95" w14:textId="77777777" w:rsidR="00931938" w:rsidRPr="00496EA7" w:rsidRDefault="00931938" w:rsidP="00872E58">
            <w:pPr>
              <w:pStyle w:val="08-Tabelageral"/>
              <w:rPr>
                <w:rFonts w:cs="Arial"/>
              </w:rPr>
            </w:pPr>
          </w:p>
        </w:tc>
        <w:tc>
          <w:tcPr>
            <w:tcW w:w="282" w:type="dxa"/>
            <w:gridSpan w:val="2"/>
            <w:tcBorders>
              <w:top w:val="nil"/>
              <w:bottom w:val="nil"/>
            </w:tcBorders>
            <w:shd w:val="clear" w:color="auto" w:fill="auto"/>
            <w:vAlign w:val="center"/>
          </w:tcPr>
          <w:p w14:paraId="3E113C39" w14:textId="77777777" w:rsidR="00931938" w:rsidRPr="00496EA7" w:rsidRDefault="00931938" w:rsidP="00872E58">
            <w:pPr>
              <w:pStyle w:val="08-Tabelageral"/>
              <w:rPr>
                <w:rFonts w:cs="Arial"/>
              </w:rPr>
            </w:pPr>
          </w:p>
        </w:tc>
        <w:tc>
          <w:tcPr>
            <w:tcW w:w="1404" w:type="dxa"/>
            <w:tcBorders>
              <w:top w:val="nil"/>
              <w:bottom w:val="nil"/>
            </w:tcBorders>
            <w:shd w:val="clear" w:color="auto" w:fill="auto"/>
          </w:tcPr>
          <w:p w14:paraId="3640253C" w14:textId="77777777" w:rsidR="00931938" w:rsidRPr="00496EA7" w:rsidRDefault="00931938" w:rsidP="00872E58">
            <w:pPr>
              <w:pStyle w:val="08-Tabelageral"/>
              <w:rPr>
                <w:rFonts w:cs="Arial"/>
              </w:rPr>
            </w:pPr>
            <w:r>
              <w:rPr>
                <w:rFonts w:cs="Arial"/>
              </w:rPr>
              <w:t>458,363</w:t>
            </w:r>
          </w:p>
        </w:tc>
        <w:tc>
          <w:tcPr>
            <w:tcW w:w="1511" w:type="dxa"/>
            <w:tcBorders>
              <w:top w:val="nil"/>
              <w:bottom w:val="nil"/>
            </w:tcBorders>
            <w:shd w:val="clear" w:color="auto" w:fill="auto"/>
          </w:tcPr>
          <w:p w14:paraId="55E1300F" w14:textId="77777777" w:rsidR="00931938" w:rsidRPr="00496EA7" w:rsidRDefault="00931938" w:rsidP="00872E58">
            <w:pPr>
              <w:pStyle w:val="08-Tabelageral"/>
              <w:rPr>
                <w:rFonts w:cs="Arial"/>
              </w:rPr>
            </w:pPr>
            <w:r>
              <w:rPr>
                <w:rFonts w:cs="Arial"/>
              </w:rPr>
              <w:t>340,749</w:t>
            </w:r>
          </w:p>
        </w:tc>
      </w:tr>
      <w:tr w:rsidR="00931938" w:rsidRPr="00A47279" w14:paraId="52E29855" w14:textId="77777777" w:rsidTr="00D3472F">
        <w:trPr>
          <w:trHeight w:val="238"/>
          <w:jc w:val="center"/>
        </w:trPr>
        <w:tc>
          <w:tcPr>
            <w:tcW w:w="3050" w:type="dxa"/>
            <w:gridSpan w:val="2"/>
            <w:tcBorders>
              <w:top w:val="nil"/>
              <w:bottom w:val="nil"/>
            </w:tcBorders>
            <w:shd w:val="clear" w:color="auto" w:fill="auto"/>
            <w:vAlign w:val="center"/>
          </w:tcPr>
          <w:p w14:paraId="2CBC3FB8" w14:textId="77777777" w:rsidR="00931938" w:rsidRPr="00A47279" w:rsidRDefault="00931938" w:rsidP="00872E58">
            <w:pPr>
              <w:pStyle w:val="08-Tabelageral"/>
              <w:ind w:left="113"/>
              <w:jc w:val="left"/>
              <w:rPr>
                <w:rFonts w:cs="Arial"/>
                <w:szCs w:val="14"/>
              </w:rPr>
            </w:pPr>
            <w:r w:rsidRPr="00BC5A4F">
              <w:t>M</w:t>
            </w:r>
            <w:r>
              <w:t xml:space="preserve">APFRE Seguros Gerais </w:t>
            </w:r>
            <w:r w:rsidRPr="00BC5A4F">
              <w:rPr>
                <w:vertAlign w:val="superscript"/>
              </w:rPr>
              <w:t>(1)</w:t>
            </w:r>
          </w:p>
        </w:tc>
        <w:tc>
          <w:tcPr>
            <w:tcW w:w="595" w:type="dxa"/>
            <w:tcBorders>
              <w:top w:val="nil"/>
            </w:tcBorders>
            <w:shd w:val="clear" w:color="auto" w:fill="auto"/>
          </w:tcPr>
          <w:p w14:paraId="4CE53C47" w14:textId="77777777" w:rsidR="00931938" w:rsidRPr="00890AEB" w:rsidRDefault="00931938" w:rsidP="00872E58">
            <w:pPr>
              <w:pStyle w:val="08-Tabelageral"/>
              <w:rPr>
                <w:rFonts w:cs="Arial"/>
                <w:bCs/>
                <w:szCs w:val="14"/>
              </w:rPr>
            </w:pPr>
          </w:p>
        </w:tc>
        <w:tc>
          <w:tcPr>
            <w:tcW w:w="1397" w:type="dxa"/>
            <w:gridSpan w:val="2"/>
            <w:tcBorders>
              <w:top w:val="nil"/>
              <w:bottom w:val="nil"/>
            </w:tcBorders>
            <w:shd w:val="clear" w:color="auto" w:fill="auto"/>
            <w:vAlign w:val="center"/>
          </w:tcPr>
          <w:p w14:paraId="11463FBF" w14:textId="77777777" w:rsidR="00931938" w:rsidRPr="00496EA7" w:rsidRDefault="00931938" w:rsidP="00872E58">
            <w:pPr>
              <w:pStyle w:val="08-Tabelageral"/>
              <w:rPr>
                <w:rFonts w:cs="Arial"/>
              </w:rPr>
            </w:pPr>
          </w:p>
        </w:tc>
        <w:tc>
          <w:tcPr>
            <w:tcW w:w="1400" w:type="dxa"/>
            <w:tcBorders>
              <w:top w:val="nil"/>
              <w:bottom w:val="nil"/>
            </w:tcBorders>
            <w:shd w:val="clear" w:color="auto" w:fill="auto"/>
            <w:vAlign w:val="center"/>
          </w:tcPr>
          <w:p w14:paraId="4F082E98" w14:textId="77777777" w:rsidR="00931938" w:rsidRPr="00496EA7" w:rsidRDefault="00931938" w:rsidP="00872E58">
            <w:pPr>
              <w:pStyle w:val="08-Tabelageral"/>
              <w:rPr>
                <w:rFonts w:cs="Arial"/>
              </w:rPr>
            </w:pPr>
          </w:p>
        </w:tc>
        <w:tc>
          <w:tcPr>
            <w:tcW w:w="282" w:type="dxa"/>
            <w:gridSpan w:val="2"/>
            <w:tcBorders>
              <w:top w:val="nil"/>
              <w:bottom w:val="nil"/>
            </w:tcBorders>
            <w:shd w:val="clear" w:color="auto" w:fill="auto"/>
            <w:vAlign w:val="center"/>
          </w:tcPr>
          <w:p w14:paraId="07F05D81" w14:textId="77777777" w:rsidR="00931938" w:rsidRPr="00496EA7" w:rsidRDefault="00931938" w:rsidP="00872E58">
            <w:pPr>
              <w:pStyle w:val="08-Tabelageral"/>
              <w:rPr>
                <w:rFonts w:cs="Arial"/>
              </w:rPr>
            </w:pPr>
          </w:p>
        </w:tc>
        <w:tc>
          <w:tcPr>
            <w:tcW w:w="1404" w:type="dxa"/>
            <w:tcBorders>
              <w:top w:val="nil"/>
              <w:bottom w:val="nil"/>
            </w:tcBorders>
            <w:shd w:val="clear" w:color="auto" w:fill="auto"/>
          </w:tcPr>
          <w:p w14:paraId="2B3FE100" w14:textId="77777777" w:rsidR="00931938" w:rsidRPr="00496EA7" w:rsidRDefault="00931938" w:rsidP="00872E58">
            <w:pPr>
              <w:pStyle w:val="08-Tabelageral"/>
              <w:rPr>
                <w:rFonts w:cs="Arial"/>
              </w:rPr>
            </w:pPr>
            <w:r>
              <w:rPr>
                <w:rFonts w:cs="Arial"/>
              </w:rPr>
              <w:t>153,174</w:t>
            </w:r>
          </w:p>
        </w:tc>
        <w:tc>
          <w:tcPr>
            <w:tcW w:w="1511" w:type="dxa"/>
            <w:tcBorders>
              <w:top w:val="nil"/>
              <w:bottom w:val="nil"/>
            </w:tcBorders>
            <w:shd w:val="clear" w:color="auto" w:fill="auto"/>
          </w:tcPr>
          <w:p w14:paraId="4CA78D3F" w14:textId="77777777" w:rsidR="00931938" w:rsidRPr="00496EA7" w:rsidRDefault="00931938" w:rsidP="00872E58">
            <w:pPr>
              <w:pStyle w:val="08-Tabelageral"/>
              <w:rPr>
                <w:rFonts w:cs="Arial"/>
              </w:rPr>
            </w:pPr>
            <w:r>
              <w:rPr>
                <w:rFonts w:cs="Arial"/>
              </w:rPr>
              <w:t>136,430</w:t>
            </w:r>
          </w:p>
        </w:tc>
      </w:tr>
      <w:tr w:rsidR="00931938" w:rsidRPr="00A47279" w14:paraId="2B1966CE" w14:textId="77777777" w:rsidTr="00D3472F">
        <w:trPr>
          <w:trHeight w:val="238"/>
          <w:jc w:val="center"/>
        </w:trPr>
        <w:tc>
          <w:tcPr>
            <w:tcW w:w="3050" w:type="dxa"/>
            <w:gridSpan w:val="2"/>
            <w:tcBorders>
              <w:top w:val="nil"/>
              <w:bottom w:val="nil"/>
            </w:tcBorders>
            <w:shd w:val="clear" w:color="auto" w:fill="auto"/>
            <w:vAlign w:val="center"/>
          </w:tcPr>
          <w:p w14:paraId="59FAC4AD" w14:textId="77777777" w:rsidR="00931938" w:rsidRPr="00A47279" w:rsidRDefault="00931938" w:rsidP="00872E58">
            <w:pPr>
              <w:pStyle w:val="08-Tabelageral"/>
              <w:ind w:left="113"/>
              <w:jc w:val="left"/>
              <w:rPr>
                <w:rFonts w:cs="Arial"/>
                <w:szCs w:val="14"/>
              </w:rPr>
            </w:pPr>
            <w:r>
              <w:t>Others</w:t>
            </w:r>
          </w:p>
        </w:tc>
        <w:tc>
          <w:tcPr>
            <w:tcW w:w="595" w:type="dxa"/>
            <w:tcBorders>
              <w:top w:val="nil"/>
            </w:tcBorders>
            <w:shd w:val="clear" w:color="auto" w:fill="auto"/>
          </w:tcPr>
          <w:p w14:paraId="04580BD9" w14:textId="77777777" w:rsidR="00931938" w:rsidRPr="00890AEB" w:rsidRDefault="00931938" w:rsidP="00872E58">
            <w:pPr>
              <w:pStyle w:val="08-Tabelageral"/>
              <w:rPr>
                <w:rFonts w:cs="Arial"/>
                <w:bCs/>
                <w:szCs w:val="14"/>
              </w:rPr>
            </w:pPr>
          </w:p>
        </w:tc>
        <w:tc>
          <w:tcPr>
            <w:tcW w:w="1397" w:type="dxa"/>
            <w:gridSpan w:val="2"/>
            <w:tcBorders>
              <w:top w:val="nil"/>
              <w:bottom w:val="nil"/>
            </w:tcBorders>
            <w:shd w:val="clear" w:color="auto" w:fill="auto"/>
            <w:vAlign w:val="center"/>
          </w:tcPr>
          <w:p w14:paraId="40CB45FE" w14:textId="77777777" w:rsidR="00931938" w:rsidRPr="00496EA7" w:rsidRDefault="00931938" w:rsidP="00872E58">
            <w:pPr>
              <w:pStyle w:val="08-Tabelageral"/>
              <w:rPr>
                <w:rFonts w:cs="Arial"/>
              </w:rPr>
            </w:pPr>
          </w:p>
        </w:tc>
        <w:tc>
          <w:tcPr>
            <w:tcW w:w="1400" w:type="dxa"/>
            <w:tcBorders>
              <w:top w:val="nil"/>
              <w:bottom w:val="nil"/>
            </w:tcBorders>
            <w:shd w:val="clear" w:color="auto" w:fill="auto"/>
            <w:vAlign w:val="center"/>
          </w:tcPr>
          <w:p w14:paraId="51490A06" w14:textId="77777777" w:rsidR="00931938" w:rsidRPr="00496EA7" w:rsidRDefault="00931938" w:rsidP="00872E58">
            <w:pPr>
              <w:pStyle w:val="08-Tabelageral"/>
              <w:rPr>
                <w:rFonts w:cs="Arial"/>
              </w:rPr>
            </w:pPr>
          </w:p>
        </w:tc>
        <w:tc>
          <w:tcPr>
            <w:tcW w:w="282" w:type="dxa"/>
            <w:gridSpan w:val="2"/>
            <w:tcBorders>
              <w:top w:val="nil"/>
              <w:bottom w:val="nil"/>
            </w:tcBorders>
            <w:shd w:val="clear" w:color="auto" w:fill="auto"/>
            <w:vAlign w:val="center"/>
          </w:tcPr>
          <w:p w14:paraId="7A125F78" w14:textId="77777777" w:rsidR="00931938" w:rsidRPr="00496EA7" w:rsidRDefault="00931938" w:rsidP="00872E58">
            <w:pPr>
              <w:pStyle w:val="08-Tabelageral"/>
              <w:rPr>
                <w:rFonts w:cs="Arial"/>
              </w:rPr>
            </w:pPr>
          </w:p>
        </w:tc>
        <w:tc>
          <w:tcPr>
            <w:tcW w:w="1404" w:type="dxa"/>
            <w:tcBorders>
              <w:top w:val="nil"/>
              <w:bottom w:val="nil"/>
            </w:tcBorders>
            <w:shd w:val="clear" w:color="auto" w:fill="auto"/>
          </w:tcPr>
          <w:p w14:paraId="2DE56FE3" w14:textId="77777777" w:rsidR="00931938" w:rsidRPr="00496EA7" w:rsidRDefault="00931938" w:rsidP="00872E58">
            <w:pPr>
              <w:pStyle w:val="08-Tabelageral"/>
              <w:rPr>
                <w:rFonts w:cs="Arial"/>
              </w:rPr>
            </w:pPr>
            <w:r>
              <w:rPr>
                <w:rFonts w:cs="Arial"/>
              </w:rPr>
              <w:t>7,830</w:t>
            </w:r>
          </w:p>
        </w:tc>
        <w:tc>
          <w:tcPr>
            <w:tcW w:w="1511" w:type="dxa"/>
            <w:tcBorders>
              <w:top w:val="nil"/>
              <w:bottom w:val="nil"/>
            </w:tcBorders>
            <w:shd w:val="clear" w:color="auto" w:fill="auto"/>
          </w:tcPr>
          <w:p w14:paraId="56022384" w14:textId="77777777" w:rsidR="00931938" w:rsidRPr="00496EA7" w:rsidRDefault="00931938" w:rsidP="00872E58">
            <w:pPr>
              <w:pStyle w:val="08-Tabelageral"/>
              <w:rPr>
                <w:rFonts w:cs="Arial"/>
              </w:rPr>
            </w:pPr>
            <w:r>
              <w:rPr>
                <w:rFonts w:cs="Arial"/>
              </w:rPr>
              <w:t>8,722</w:t>
            </w:r>
          </w:p>
        </w:tc>
      </w:tr>
      <w:tr w:rsidR="00931938" w:rsidRPr="00A47279" w14:paraId="2B55C04A" w14:textId="77777777" w:rsidTr="00D3472F">
        <w:trPr>
          <w:trHeight w:val="238"/>
          <w:jc w:val="center"/>
        </w:trPr>
        <w:tc>
          <w:tcPr>
            <w:tcW w:w="3050" w:type="dxa"/>
            <w:gridSpan w:val="2"/>
            <w:tcBorders>
              <w:top w:val="nil"/>
              <w:bottom w:val="nil"/>
            </w:tcBorders>
            <w:shd w:val="clear" w:color="auto" w:fill="auto"/>
            <w:vAlign w:val="center"/>
          </w:tcPr>
          <w:p w14:paraId="0889BD3D" w14:textId="77777777" w:rsidR="00931938" w:rsidRPr="00945E16" w:rsidRDefault="00931938" w:rsidP="00872E58">
            <w:pPr>
              <w:pStyle w:val="08-Tabelageral"/>
              <w:jc w:val="left"/>
              <w:rPr>
                <w:rFonts w:cs="Arial"/>
                <w:b/>
                <w:bCs/>
                <w:szCs w:val="14"/>
              </w:rPr>
            </w:pPr>
            <w:r w:rsidRPr="00945E16">
              <w:rPr>
                <w:b/>
                <w:bCs/>
              </w:rPr>
              <w:t>Deductions from commission income</w:t>
            </w:r>
          </w:p>
        </w:tc>
        <w:tc>
          <w:tcPr>
            <w:tcW w:w="595" w:type="dxa"/>
            <w:tcBorders>
              <w:top w:val="nil"/>
            </w:tcBorders>
            <w:shd w:val="clear" w:color="auto" w:fill="auto"/>
          </w:tcPr>
          <w:p w14:paraId="272D7CD1" w14:textId="77777777" w:rsidR="00931938" w:rsidRPr="00890AEB" w:rsidRDefault="00931938" w:rsidP="00872E58">
            <w:pPr>
              <w:pStyle w:val="08-Tabelageral"/>
              <w:rPr>
                <w:rFonts w:cs="Arial"/>
                <w:bCs/>
                <w:szCs w:val="14"/>
              </w:rPr>
            </w:pPr>
          </w:p>
        </w:tc>
        <w:tc>
          <w:tcPr>
            <w:tcW w:w="1397" w:type="dxa"/>
            <w:gridSpan w:val="2"/>
            <w:tcBorders>
              <w:top w:val="nil"/>
              <w:bottom w:val="nil"/>
            </w:tcBorders>
            <w:shd w:val="clear" w:color="auto" w:fill="auto"/>
            <w:vAlign w:val="center"/>
          </w:tcPr>
          <w:p w14:paraId="171A257C" w14:textId="77777777" w:rsidR="00931938" w:rsidRPr="00496EA7" w:rsidRDefault="00931938" w:rsidP="00872E58">
            <w:pPr>
              <w:pStyle w:val="08-Tabelageral"/>
              <w:rPr>
                <w:rFonts w:cs="Arial"/>
              </w:rPr>
            </w:pPr>
          </w:p>
        </w:tc>
        <w:tc>
          <w:tcPr>
            <w:tcW w:w="1400" w:type="dxa"/>
            <w:tcBorders>
              <w:top w:val="nil"/>
              <w:bottom w:val="nil"/>
            </w:tcBorders>
            <w:shd w:val="clear" w:color="auto" w:fill="auto"/>
            <w:vAlign w:val="center"/>
          </w:tcPr>
          <w:p w14:paraId="611CCB6E" w14:textId="77777777" w:rsidR="00931938" w:rsidRPr="00496EA7" w:rsidRDefault="00931938" w:rsidP="00872E58">
            <w:pPr>
              <w:pStyle w:val="08-Tabelageral"/>
              <w:rPr>
                <w:rFonts w:cs="Arial"/>
              </w:rPr>
            </w:pPr>
          </w:p>
        </w:tc>
        <w:tc>
          <w:tcPr>
            <w:tcW w:w="282" w:type="dxa"/>
            <w:gridSpan w:val="2"/>
            <w:tcBorders>
              <w:top w:val="nil"/>
              <w:bottom w:val="nil"/>
            </w:tcBorders>
            <w:shd w:val="clear" w:color="auto" w:fill="auto"/>
            <w:vAlign w:val="center"/>
          </w:tcPr>
          <w:p w14:paraId="28B51C72" w14:textId="77777777" w:rsidR="00931938" w:rsidRPr="00496EA7" w:rsidRDefault="00931938" w:rsidP="00872E58">
            <w:pPr>
              <w:pStyle w:val="08-Tabelageral"/>
              <w:rPr>
                <w:rFonts w:cs="Arial"/>
              </w:rPr>
            </w:pPr>
          </w:p>
        </w:tc>
        <w:tc>
          <w:tcPr>
            <w:tcW w:w="1404" w:type="dxa"/>
            <w:tcBorders>
              <w:top w:val="nil"/>
              <w:bottom w:val="nil"/>
            </w:tcBorders>
            <w:shd w:val="clear" w:color="auto" w:fill="auto"/>
          </w:tcPr>
          <w:p w14:paraId="471100F4" w14:textId="77777777" w:rsidR="00931938" w:rsidRPr="002857F3" w:rsidRDefault="00931938" w:rsidP="00872E58">
            <w:pPr>
              <w:pStyle w:val="08-Tabelageral"/>
              <w:rPr>
                <w:rFonts w:cs="Arial"/>
                <w:b/>
                <w:bCs/>
              </w:rPr>
            </w:pPr>
            <w:r>
              <w:rPr>
                <w:rFonts w:cs="Arial"/>
                <w:b/>
                <w:bCs/>
              </w:rPr>
              <w:t>(529,228)</w:t>
            </w:r>
          </w:p>
        </w:tc>
        <w:tc>
          <w:tcPr>
            <w:tcW w:w="1511" w:type="dxa"/>
            <w:tcBorders>
              <w:top w:val="nil"/>
              <w:bottom w:val="nil"/>
            </w:tcBorders>
            <w:shd w:val="clear" w:color="auto" w:fill="auto"/>
          </w:tcPr>
          <w:p w14:paraId="725E6BAD" w14:textId="77777777" w:rsidR="00931938" w:rsidRPr="00496EA7" w:rsidRDefault="00931938" w:rsidP="00872E58">
            <w:pPr>
              <w:pStyle w:val="08-Tabelageral"/>
              <w:rPr>
                <w:rFonts w:cs="Arial"/>
              </w:rPr>
            </w:pPr>
            <w:r>
              <w:rPr>
                <w:rFonts w:cs="Arial"/>
                <w:b/>
                <w:bCs/>
              </w:rPr>
              <w:t>(457,871)</w:t>
            </w:r>
          </w:p>
        </w:tc>
      </w:tr>
      <w:tr w:rsidR="00931938" w:rsidRPr="00A47279" w14:paraId="3BD67C30" w14:textId="77777777" w:rsidTr="00D3472F">
        <w:trPr>
          <w:trHeight w:val="238"/>
          <w:jc w:val="center"/>
        </w:trPr>
        <w:tc>
          <w:tcPr>
            <w:tcW w:w="3050" w:type="dxa"/>
            <w:gridSpan w:val="2"/>
            <w:tcBorders>
              <w:top w:val="nil"/>
              <w:bottom w:val="nil"/>
            </w:tcBorders>
            <w:shd w:val="clear" w:color="auto" w:fill="auto"/>
            <w:vAlign w:val="center"/>
          </w:tcPr>
          <w:p w14:paraId="13BE94DA" w14:textId="77777777" w:rsidR="00931938" w:rsidRPr="00A47279" w:rsidRDefault="00931938" w:rsidP="00872E58">
            <w:pPr>
              <w:pStyle w:val="08-Tabelageral"/>
              <w:ind w:left="113"/>
              <w:jc w:val="left"/>
              <w:rPr>
                <w:rFonts w:cs="Arial"/>
                <w:szCs w:val="14"/>
              </w:rPr>
            </w:pPr>
            <w:r>
              <w:t>Cofins</w:t>
            </w:r>
          </w:p>
        </w:tc>
        <w:tc>
          <w:tcPr>
            <w:tcW w:w="595" w:type="dxa"/>
            <w:tcBorders>
              <w:top w:val="nil"/>
            </w:tcBorders>
            <w:shd w:val="clear" w:color="auto" w:fill="auto"/>
          </w:tcPr>
          <w:p w14:paraId="11612AFE" w14:textId="77777777" w:rsidR="00931938" w:rsidRPr="00890AEB" w:rsidRDefault="00931938" w:rsidP="00872E58">
            <w:pPr>
              <w:pStyle w:val="08-Tabelageral"/>
              <w:rPr>
                <w:rFonts w:cs="Arial"/>
                <w:bCs/>
                <w:szCs w:val="14"/>
              </w:rPr>
            </w:pPr>
          </w:p>
        </w:tc>
        <w:tc>
          <w:tcPr>
            <w:tcW w:w="1397" w:type="dxa"/>
            <w:gridSpan w:val="2"/>
            <w:tcBorders>
              <w:top w:val="nil"/>
              <w:bottom w:val="nil"/>
            </w:tcBorders>
            <w:shd w:val="clear" w:color="auto" w:fill="auto"/>
          </w:tcPr>
          <w:p w14:paraId="57BB03CD" w14:textId="77777777" w:rsidR="00931938" w:rsidRPr="00496EA7" w:rsidRDefault="00931938" w:rsidP="00872E58">
            <w:pPr>
              <w:pStyle w:val="08-Tabelageral"/>
              <w:rPr>
                <w:rFonts w:cs="Arial"/>
              </w:rPr>
            </w:pPr>
          </w:p>
        </w:tc>
        <w:tc>
          <w:tcPr>
            <w:tcW w:w="1400" w:type="dxa"/>
            <w:tcBorders>
              <w:top w:val="nil"/>
              <w:bottom w:val="nil"/>
            </w:tcBorders>
            <w:shd w:val="clear" w:color="auto" w:fill="auto"/>
          </w:tcPr>
          <w:p w14:paraId="3C8DABC9" w14:textId="77777777" w:rsidR="00931938" w:rsidRPr="00496EA7" w:rsidRDefault="00931938" w:rsidP="00872E58">
            <w:pPr>
              <w:pStyle w:val="08-Tabelageral"/>
              <w:rPr>
                <w:rFonts w:cs="Arial"/>
              </w:rPr>
            </w:pPr>
          </w:p>
        </w:tc>
        <w:tc>
          <w:tcPr>
            <w:tcW w:w="282" w:type="dxa"/>
            <w:gridSpan w:val="2"/>
            <w:tcBorders>
              <w:top w:val="nil"/>
              <w:bottom w:val="nil"/>
            </w:tcBorders>
            <w:shd w:val="clear" w:color="auto" w:fill="auto"/>
            <w:vAlign w:val="center"/>
          </w:tcPr>
          <w:p w14:paraId="22040F78" w14:textId="77777777" w:rsidR="00931938" w:rsidRPr="00496EA7" w:rsidRDefault="00931938" w:rsidP="00872E58">
            <w:pPr>
              <w:pStyle w:val="08-Tabelageral"/>
              <w:rPr>
                <w:rFonts w:cs="Arial"/>
              </w:rPr>
            </w:pPr>
          </w:p>
        </w:tc>
        <w:tc>
          <w:tcPr>
            <w:tcW w:w="1404" w:type="dxa"/>
            <w:tcBorders>
              <w:top w:val="nil"/>
              <w:bottom w:val="nil"/>
            </w:tcBorders>
            <w:shd w:val="clear" w:color="auto" w:fill="auto"/>
          </w:tcPr>
          <w:p w14:paraId="10D23315" w14:textId="77777777" w:rsidR="00931938" w:rsidRPr="00496EA7" w:rsidRDefault="00931938" w:rsidP="00872E58">
            <w:pPr>
              <w:pStyle w:val="08-Tabelageral"/>
              <w:rPr>
                <w:rFonts w:cs="Arial"/>
              </w:rPr>
            </w:pPr>
            <w:r>
              <w:rPr>
                <w:rFonts w:cs="Arial"/>
              </w:rPr>
              <w:t>(344,347)</w:t>
            </w:r>
          </w:p>
        </w:tc>
        <w:tc>
          <w:tcPr>
            <w:tcW w:w="1511" w:type="dxa"/>
            <w:tcBorders>
              <w:top w:val="nil"/>
              <w:bottom w:val="nil"/>
            </w:tcBorders>
            <w:shd w:val="clear" w:color="auto" w:fill="auto"/>
          </w:tcPr>
          <w:p w14:paraId="6AFE60DA" w14:textId="77777777" w:rsidR="00931938" w:rsidRPr="00496EA7" w:rsidRDefault="00931938" w:rsidP="00872E58">
            <w:pPr>
              <w:pStyle w:val="08-Tabelageral"/>
              <w:rPr>
                <w:rFonts w:cs="Arial"/>
              </w:rPr>
            </w:pPr>
            <w:r>
              <w:rPr>
                <w:rFonts w:cs="Arial"/>
              </w:rPr>
              <w:t>(300,281)</w:t>
            </w:r>
          </w:p>
        </w:tc>
      </w:tr>
      <w:tr w:rsidR="00931938" w:rsidRPr="00A47279" w14:paraId="146246B1" w14:textId="77777777" w:rsidTr="00D3472F">
        <w:trPr>
          <w:trHeight w:val="238"/>
          <w:jc w:val="center"/>
        </w:trPr>
        <w:tc>
          <w:tcPr>
            <w:tcW w:w="3050" w:type="dxa"/>
            <w:gridSpan w:val="2"/>
            <w:tcBorders>
              <w:top w:val="nil"/>
              <w:bottom w:val="nil"/>
            </w:tcBorders>
            <w:shd w:val="clear" w:color="auto" w:fill="auto"/>
            <w:vAlign w:val="center"/>
          </w:tcPr>
          <w:p w14:paraId="2E6713FB" w14:textId="77777777" w:rsidR="00931938" w:rsidRPr="00A47279" w:rsidRDefault="00931938" w:rsidP="00872E58">
            <w:pPr>
              <w:pStyle w:val="08-Tabelageral"/>
              <w:ind w:left="113"/>
              <w:jc w:val="left"/>
              <w:rPr>
                <w:rFonts w:cs="Arial"/>
                <w:szCs w:val="14"/>
              </w:rPr>
            </w:pPr>
            <w:r>
              <w:t>ISS</w:t>
            </w:r>
          </w:p>
        </w:tc>
        <w:tc>
          <w:tcPr>
            <w:tcW w:w="595" w:type="dxa"/>
            <w:tcBorders>
              <w:top w:val="nil"/>
            </w:tcBorders>
            <w:shd w:val="clear" w:color="auto" w:fill="auto"/>
          </w:tcPr>
          <w:p w14:paraId="43765628" w14:textId="77777777" w:rsidR="00931938" w:rsidRPr="00890AEB" w:rsidRDefault="00931938" w:rsidP="00872E58">
            <w:pPr>
              <w:pStyle w:val="08-Tabelageral"/>
              <w:rPr>
                <w:rFonts w:cs="Arial"/>
                <w:bCs/>
                <w:szCs w:val="14"/>
              </w:rPr>
            </w:pPr>
          </w:p>
        </w:tc>
        <w:tc>
          <w:tcPr>
            <w:tcW w:w="1397" w:type="dxa"/>
            <w:gridSpan w:val="2"/>
            <w:tcBorders>
              <w:top w:val="nil"/>
              <w:bottom w:val="nil"/>
            </w:tcBorders>
            <w:shd w:val="clear" w:color="auto" w:fill="auto"/>
            <w:vAlign w:val="center"/>
          </w:tcPr>
          <w:p w14:paraId="2DD40B6F" w14:textId="77777777" w:rsidR="00931938" w:rsidRPr="00496EA7" w:rsidRDefault="00931938" w:rsidP="00872E58">
            <w:pPr>
              <w:pStyle w:val="08-Tabelageral"/>
              <w:rPr>
                <w:rFonts w:cs="Arial"/>
              </w:rPr>
            </w:pPr>
          </w:p>
        </w:tc>
        <w:tc>
          <w:tcPr>
            <w:tcW w:w="1400" w:type="dxa"/>
            <w:tcBorders>
              <w:top w:val="nil"/>
              <w:bottom w:val="nil"/>
            </w:tcBorders>
            <w:shd w:val="clear" w:color="auto" w:fill="auto"/>
            <w:vAlign w:val="center"/>
          </w:tcPr>
          <w:p w14:paraId="3AC75F11" w14:textId="77777777" w:rsidR="00931938" w:rsidRPr="00496EA7" w:rsidRDefault="00931938" w:rsidP="00872E58">
            <w:pPr>
              <w:pStyle w:val="08-Tabelageral"/>
              <w:rPr>
                <w:rFonts w:cs="Arial"/>
              </w:rPr>
            </w:pPr>
          </w:p>
        </w:tc>
        <w:tc>
          <w:tcPr>
            <w:tcW w:w="282" w:type="dxa"/>
            <w:gridSpan w:val="2"/>
            <w:tcBorders>
              <w:top w:val="nil"/>
              <w:bottom w:val="nil"/>
            </w:tcBorders>
            <w:shd w:val="clear" w:color="auto" w:fill="auto"/>
            <w:vAlign w:val="center"/>
          </w:tcPr>
          <w:p w14:paraId="0D96DC6E" w14:textId="77777777" w:rsidR="00931938" w:rsidRPr="00496EA7" w:rsidRDefault="00931938" w:rsidP="00872E58">
            <w:pPr>
              <w:pStyle w:val="08-Tabelageral"/>
              <w:rPr>
                <w:rFonts w:cs="Arial"/>
              </w:rPr>
            </w:pPr>
          </w:p>
        </w:tc>
        <w:tc>
          <w:tcPr>
            <w:tcW w:w="1404" w:type="dxa"/>
            <w:tcBorders>
              <w:top w:val="nil"/>
              <w:bottom w:val="nil"/>
            </w:tcBorders>
            <w:shd w:val="clear" w:color="auto" w:fill="auto"/>
          </w:tcPr>
          <w:p w14:paraId="6F9325D9" w14:textId="77777777" w:rsidR="00931938" w:rsidRPr="00496EA7" w:rsidRDefault="00931938" w:rsidP="00872E58">
            <w:pPr>
              <w:pStyle w:val="08-Tabelageral"/>
              <w:rPr>
                <w:rFonts w:cs="Arial"/>
              </w:rPr>
            </w:pPr>
            <w:r>
              <w:rPr>
                <w:rFonts w:cs="Arial"/>
              </w:rPr>
              <w:t>(110,121)</w:t>
            </w:r>
          </w:p>
        </w:tc>
        <w:tc>
          <w:tcPr>
            <w:tcW w:w="1511" w:type="dxa"/>
            <w:tcBorders>
              <w:top w:val="nil"/>
              <w:bottom w:val="nil"/>
            </w:tcBorders>
            <w:shd w:val="clear" w:color="auto" w:fill="auto"/>
          </w:tcPr>
          <w:p w14:paraId="7B1FF761" w14:textId="77777777" w:rsidR="00931938" w:rsidRPr="00496EA7" w:rsidRDefault="00931938" w:rsidP="00872E58">
            <w:pPr>
              <w:pStyle w:val="08-Tabelageral"/>
              <w:rPr>
                <w:rFonts w:cs="Arial"/>
              </w:rPr>
            </w:pPr>
            <w:r>
              <w:rPr>
                <w:rFonts w:cs="Arial"/>
              </w:rPr>
              <w:t>(92,397)</w:t>
            </w:r>
          </w:p>
        </w:tc>
      </w:tr>
      <w:tr w:rsidR="00931938" w:rsidRPr="00A47279" w14:paraId="38192C3D" w14:textId="77777777" w:rsidTr="00D3472F">
        <w:trPr>
          <w:trHeight w:val="238"/>
          <w:jc w:val="center"/>
        </w:trPr>
        <w:tc>
          <w:tcPr>
            <w:tcW w:w="3050" w:type="dxa"/>
            <w:gridSpan w:val="2"/>
            <w:tcBorders>
              <w:top w:val="nil"/>
              <w:bottom w:val="nil"/>
            </w:tcBorders>
            <w:shd w:val="clear" w:color="auto" w:fill="auto"/>
            <w:vAlign w:val="center"/>
          </w:tcPr>
          <w:p w14:paraId="193EB0EC" w14:textId="77777777" w:rsidR="00931938" w:rsidRPr="00A47279" w:rsidRDefault="00931938" w:rsidP="00872E58">
            <w:pPr>
              <w:pStyle w:val="08-Tabelageral"/>
              <w:ind w:left="113"/>
              <w:jc w:val="left"/>
              <w:rPr>
                <w:rFonts w:cs="Arial"/>
                <w:szCs w:val="14"/>
              </w:rPr>
            </w:pPr>
            <w:r>
              <w:t>PIS</w:t>
            </w:r>
          </w:p>
        </w:tc>
        <w:tc>
          <w:tcPr>
            <w:tcW w:w="595" w:type="dxa"/>
            <w:tcBorders>
              <w:bottom w:val="nil"/>
            </w:tcBorders>
            <w:shd w:val="clear" w:color="auto" w:fill="auto"/>
          </w:tcPr>
          <w:p w14:paraId="1515FF31" w14:textId="77777777" w:rsidR="00931938" w:rsidRPr="00890AEB" w:rsidRDefault="00931938" w:rsidP="00872E58">
            <w:pPr>
              <w:pStyle w:val="08-Tabelageral"/>
              <w:rPr>
                <w:rFonts w:cs="Arial"/>
                <w:bCs/>
                <w:szCs w:val="14"/>
              </w:rPr>
            </w:pPr>
          </w:p>
        </w:tc>
        <w:tc>
          <w:tcPr>
            <w:tcW w:w="1397" w:type="dxa"/>
            <w:gridSpan w:val="2"/>
            <w:tcBorders>
              <w:top w:val="nil"/>
              <w:bottom w:val="nil"/>
            </w:tcBorders>
            <w:shd w:val="clear" w:color="auto" w:fill="auto"/>
          </w:tcPr>
          <w:p w14:paraId="07EBA9C9" w14:textId="77777777" w:rsidR="00931938" w:rsidRPr="00496EA7" w:rsidRDefault="00931938" w:rsidP="00872E58">
            <w:pPr>
              <w:pStyle w:val="08-Tabelageral"/>
              <w:rPr>
                <w:rFonts w:cs="Arial"/>
              </w:rPr>
            </w:pPr>
          </w:p>
        </w:tc>
        <w:tc>
          <w:tcPr>
            <w:tcW w:w="1400" w:type="dxa"/>
            <w:tcBorders>
              <w:top w:val="nil"/>
              <w:bottom w:val="nil"/>
            </w:tcBorders>
            <w:shd w:val="clear" w:color="auto" w:fill="auto"/>
          </w:tcPr>
          <w:p w14:paraId="76DD3339" w14:textId="77777777" w:rsidR="00931938" w:rsidRPr="00496EA7" w:rsidRDefault="00931938" w:rsidP="00872E58">
            <w:pPr>
              <w:pStyle w:val="08-Tabelageral"/>
              <w:rPr>
                <w:rFonts w:cs="Arial"/>
              </w:rPr>
            </w:pPr>
          </w:p>
        </w:tc>
        <w:tc>
          <w:tcPr>
            <w:tcW w:w="282" w:type="dxa"/>
            <w:gridSpan w:val="2"/>
            <w:tcBorders>
              <w:top w:val="nil"/>
              <w:bottom w:val="nil"/>
            </w:tcBorders>
            <w:shd w:val="clear" w:color="auto" w:fill="auto"/>
            <w:vAlign w:val="center"/>
          </w:tcPr>
          <w:p w14:paraId="1F02FC2F" w14:textId="77777777" w:rsidR="00931938" w:rsidRPr="00496EA7" w:rsidRDefault="00931938" w:rsidP="00872E58">
            <w:pPr>
              <w:pStyle w:val="08-Tabelageral"/>
              <w:rPr>
                <w:rFonts w:cs="Arial"/>
              </w:rPr>
            </w:pPr>
          </w:p>
        </w:tc>
        <w:tc>
          <w:tcPr>
            <w:tcW w:w="1404" w:type="dxa"/>
            <w:tcBorders>
              <w:top w:val="nil"/>
              <w:bottom w:val="nil"/>
            </w:tcBorders>
            <w:shd w:val="clear" w:color="auto" w:fill="auto"/>
          </w:tcPr>
          <w:p w14:paraId="50914EE5" w14:textId="77777777" w:rsidR="00931938" w:rsidRPr="00496EA7" w:rsidRDefault="00931938" w:rsidP="00872E58">
            <w:pPr>
              <w:pStyle w:val="08-Tabelageral"/>
              <w:rPr>
                <w:rFonts w:cs="Arial"/>
              </w:rPr>
            </w:pPr>
            <w:r>
              <w:rPr>
                <w:rFonts w:cs="Arial"/>
              </w:rPr>
              <w:t>(74,760)</w:t>
            </w:r>
          </w:p>
        </w:tc>
        <w:tc>
          <w:tcPr>
            <w:tcW w:w="1511" w:type="dxa"/>
            <w:tcBorders>
              <w:top w:val="nil"/>
              <w:bottom w:val="nil"/>
            </w:tcBorders>
            <w:shd w:val="clear" w:color="auto" w:fill="auto"/>
          </w:tcPr>
          <w:p w14:paraId="718C8D64" w14:textId="77777777" w:rsidR="00931938" w:rsidRPr="00496EA7" w:rsidRDefault="00931938" w:rsidP="00872E58">
            <w:pPr>
              <w:pStyle w:val="08-Tabelageral"/>
              <w:rPr>
                <w:rFonts w:cs="Arial"/>
              </w:rPr>
            </w:pPr>
            <w:r>
              <w:rPr>
                <w:rFonts w:cs="Arial"/>
              </w:rPr>
              <w:t>(65,193)</w:t>
            </w:r>
          </w:p>
        </w:tc>
      </w:tr>
      <w:tr w:rsidR="00931938" w:rsidRPr="00A47279" w14:paraId="0D688D07" w14:textId="77777777" w:rsidTr="00D3472F">
        <w:trPr>
          <w:trHeight w:val="238"/>
          <w:jc w:val="center"/>
        </w:trPr>
        <w:tc>
          <w:tcPr>
            <w:tcW w:w="3050" w:type="dxa"/>
            <w:gridSpan w:val="2"/>
            <w:tcBorders>
              <w:top w:val="nil"/>
              <w:bottom w:val="single" w:sz="2" w:space="0" w:color="1F4E79" w:themeColor="accent1" w:themeShade="80"/>
            </w:tcBorders>
            <w:shd w:val="clear" w:color="auto" w:fill="auto"/>
            <w:vAlign w:val="center"/>
          </w:tcPr>
          <w:p w14:paraId="38C30431" w14:textId="77777777" w:rsidR="00931938" w:rsidRPr="00496EA7" w:rsidRDefault="00931938" w:rsidP="00872E58">
            <w:pPr>
              <w:keepNext/>
              <w:keepLines/>
              <w:spacing w:before="40" w:after="40" w:line="240" w:lineRule="auto"/>
              <w:rPr>
                <w:rFonts w:cs="Arial"/>
                <w:b/>
                <w:spacing w:val="-2"/>
                <w:sz w:val="14"/>
                <w:szCs w:val="14"/>
              </w:rPr>
            </w:pPr>
            <w:r w:rsidRPr="00945E16">
              <w:rPr>
                <w:rFonts w:cs="Arial"/>
                <w:b/>
                <w:spacing w:val="-2"/>
                <w:sz w:val="14"/>
                <w:szCs w:val="14"/>
              </w:rPr>
              <w:t>Net commission income</w:t>
            </w:r>
          </w:p>
        </w:tc>
        <w:tc>
          <w:tcPr>
            <w:tcW w:w="595" w:type="dxa"/>
            <w:tcBorders>
              <w:top w:val="nil"/>
              <w:bottom w:val="single" w:sz="2" w:space="0" w:color="1F4E79" w:themeColor="accent1" w:themeShade="80"/>
            </w:tcBorders>
            <w:shd w:val="clear" w:color="auto" w:fill="auto"/>
          </w:tcPr>
          <w:p w14:paraId="2C849216" w14:textId="77777777" w:rsidR="00931938" w:rsidRPr="00890AEB" w:rsidRDefault="00931938" w:rsidP="00872E58">
            <w:pPr>
              <w:keepNext/>
              <w:keepLines/>
              <w:spacing w:before="40" w:after="40"/>
              <w:jc w:val="right"/>
              <w:rPr>
                <w:rFonts w:cs="Arial"/>
                <w:bCs/>
                <w:spacing w:val="-2"/>
                <w:sz w:val="14"/>
                <w:szCs w:val="14"/>
              </w:rPr>
            </w:pPr>
          </w:p>
        </w:tc>
        <w:tc>
          <w:tcPr>
            <w:tcW w:w="1397" w:type="dxa"/>
            <w:gridSpan w:val="2"/>
            <w:tcBorders>
              <w:top w:val="nil"/>
              <w:bottom w:val="single" w:sz="2" w:space="0" w:color="1F4E79" w:themeColor="accent1" w:themeShade="80"/>
            </w:tcBorders>
            <w:shd w:val="clear" w:color="auto" w:fill="auto"/>
            <w:vAlign w:val="center"/>
          </w:tcPr>
          <w:p w14:paraId="74E51800" w14:textId="77777777" w:rsidR="00931938" w:rsidRPr="00496EA7" w:rsidRDefault="00931938" w:rsidP="00872E58">
            <w:pPr>
              <w:pStyle w:val="08-Tabelageral"/>
              <w:rPr>
                <w:rFonts w:cs="Arial"/>
                <w:b/>
              </w:rPr>
            </w:pPr>
          </w:p>
        </w:tc>
        <w:tc>
          <w:tcPr>
            <w:tcW w:w="1400" w:type="dxa"/>
            <w:tcBorders>
              <w:top w:val="nil"/>
              <w:bottom w:val="single" w:sz="2" w:space="0" w:color="1F4E79" w:themeColor="accent1" w:themeShade="80"/>
            </w:tcBorders>
            <w:shd w:val="clear" w:color="auto" w:fill="auto"/>
            <w:vAlign w:val="center"/>
          </w:tcPr>
          <w:p w14:paraId="13D6B92E" w14:textId="77777777" w:rsidR="00931938" w:rsidRPr="00496EA7" w:rsidRDefault="00931938" w:rsidP="00872E58">
            <w:pPr>
              <w:pStyle w:val="08-Tabelageral"/>
              <w:rPr>
                <w:rFonts w:cs="Arial"/>
                <w:b/>
              </w:rPr>
            </w:pPr>
          </w:p>
        </w:tc>
        <w:tc>
          <w:tcPr>
            <w:tcW w:w="282" w:type="dxa"/>
            <w:gridSpan w:val="2"/>
            <w:tcBorders>
              <w:top w:val="nil"/>
              <w:bottom w:val="single" w:sz="2" w:space="0" w:color="1F4E79" w:themeColor="accent1" w:themeShade="80"/>
            </w:tcBorders>
            <w:shd w:val="clear" w:color="auto" w:fill="auto"/>
            <w:vAlign w:val="center"/>
          </w:tcPr>
          <w:p w14:paraId="2F8AD2E2" w14:textId="77777777" w:rsidR="00931938" w:rsidRPr="00496EA7" w:rsidRDefault="00931938" w:rsidP="00872E58">
            <w:pPr>
              <w:pStyle w:val="08-Tabelageral"/>
              <w:rPr>
                <w:rFonts w:cs="Arial"/>
                <w:b/>
              </w:rPr>
            </w:pPr>
          </w:p>
        </w:tc>
        <w:tc>
          <w:tcPr>
            <w:tcW w:w="1404" w:type="dxa"/>
            <w:tcBorders>
              <w:top w:val="nil"/>
              <w:bottom w:val="single" w:sz="2" w:space="0" w:color="1F4E79" w:themeColor="accent1" w:themeShade="80"/>
            </w:tcBorders>
            <w:shd w:val="clear" w:color="auto" w:fill="auto"/>
          </w:tcPr>
          <w:p w14:paraId="7BC8F247" w14:textId="77777777" w:rsidR="00931938" w:rsidRPr="00496EA7" w:rsidRDefault="00931938" w:rsidP="00872E58">
            <w:pPr>
              <w:pStyle w:val="08-Tabelageral"/>
              <w:rPr>
                <w:rFonts w:cs="Arial"/>
                <w:b/>
              </w:rPr>
            </w:pPr>
            <w:r>
              <w:rPr>
                <w:rFonts w:cs="Arial"/>
                <w:b/>
              </w:rPr>
              <w:t>4,141,994</w:t>
            </w:r>
          </w:p>
        </w:tc>
        <w:tc>
          <w:tcPr>
            <w:tcW w:w="1511" w:type="dxa"/>
            <w:tcBorders>
              <w:top w:val="nil"/>
              <w:bottom w:val="single" w:sz="2" w:space="0" w:color="1F4E79" w:themeColor="accent1" w:themeShade="80"/>
            </w:tcBorders>
            <w:shd w:val="clear" w:color="auto" w:fill="auto"/>
          </w:tcPr>
          <w:p w14:paraId="67038740" w14:textId="77777777" w:rsidR="00931938" w:rsidRPr="00496EA7" w:rsidRDefault="00931938" w:rsidP="00872E58">
            <w:pPr>
              <w:pStyle w:val="08-Tabelageral"/>
              <w:rPr>
                <w:rFonts w:cs="Arial"/>
                <w:b/>
              </w:rPr>
            </w:pPr>
            <w:r>
              <w:rPr>
                <w:rFonts w:cs="Arial"/>
                <w:b/>
              </w:rPr>
              <w:t>3,495,586</w:t>
            </w:r>
          </w:p>
        </w:tc>
      </w:tr>
    </w:tbl>
    <w:p w14:paraId="7EF6F2CC" w14:textId="77777777" w:rsidR="00931938" w:rsidRPr="00872E58" w:rsidRDefault="00931938" w:rsidP="00931938">
      <w:pPr>
        <w:pStyle w:val="07-Legenda"/>
        <w:numPr>
          <w:ilvl w:val="0"/>
          <w:numId w:val="20"/>
        </w:numPr>
        <w:tabs>
          <w:tab w:val="clear" w:pos="284"/>
          <w:tab w:val="left" w:pos="0"/>
        </w:tabs>
        <w:ind w:left="284" w:hanging="284"/>
        <w:rPr>
          <w:lang w:val="en-US"/>
        </w:rPr>
      </w:pPr>
      <w:r>
        <w:rPr>
          <w:lang w:val="en-US"/>
        </w:rPr>
        <w:t>I</w:t>
      </w:r>
      <w:r w:rsidRPr="000E3F50">
        <w:rPr>
          <w:rFonts w:cs="Arial"/>
          <w:szCs w:val="14"/>
          <w:lang w:val="en-US"/>
        </w:rPr>
        <w:t>nclude auto insurance and major risks</w:t>
      </w:r>
      <w:r>
        <w:rPr>
          <w:rFonts w:cs="Arial"/>
          <w:szCs w:val="14"/>
          <w:lang w:val="en-US"/>
        </w:rPr>
        <w:t>.</w:t>
      </w:r>
    </w:p>
    <w:bookmarkEnd w:id="34"/>
    <w:p w14:paraId="62CD7138" w14:textId="77777777" w:rsidR="00931938" w:rsidRPr="00872E58" w:rsidRDefault="00931938" w:rsidP="00945E16">
      <w:pPr>
        <w:pStyle w:val="07-Legenda"/>
        <w:spacing w:before="120" w:after="120"/>
        <w:rPr>
          <w:sz w:val="18"/>
          <w:lang w:val="en-US"/>
        </w:rPr>
      </w:pPr>
      <w:r w:rsidRPr="00872E58">
        <w:rPr>
          <w:sz w:val="18"/>
          <w:lang w:val="en-US"/>
        </w:rPr>
        <w:t>There are no amount of commissions income in parent.</w:t>
      </w:r>
    </w:p>
    <w:p w14:paraId="7E7D6DF2" w14:textId="77777777" w:rsidR="00931938" w:rsidRDefault="00931938" w:rsidP="00945E16">
      <w:pPr>
        <w:pStyle w:val="07-Legenda"/>
        <w:spacing w:before="120" w:after="120" w:line="276" w:lineRule="auto"/>
        <w:ind w:left="0" w:firstLine="0"/>
        <w:rPr>
          <w:sz w:val="18"/>
          <w:lang w:val="en-US"/>
        </w:rPr>
      </w:pPr>
      <w:bookmarkStart w:id="35" w:name="_Hlk126246966"/>
      <w:r w:rsidRPr="00872E58">
        <w:rPr>
          <w:sz w:val="18"/>
          <w:lang w:val="en-US"/>
        </w:rPr>
        <w:t>In the partnership model signed between BB Seguros and the M</w:t>
      </w:r>
      <w:r>
        <w:rPr>
          <w:sz w:val="18"/>
          <w:lang w:val="en-US"/>
        </w:rPr>
        <w:t>APFRE</w:t>
      </w:r>
      <w:r w:rsidRPr="00872E58">
        <w:rPr>
          <w:sz w:val="18"/>
          <w:lang w:val="en-US"/>
        </w:rPr>
        <w:t xml:space="preserve"> Group</w:t>
      </w:r>
      <w:r>
        <w:rPr>
          <w:sz w:val="18"/>
          <w:lang w:val="en-US"/>
        </w:rPr>
        <w:t xml:space="preserve"> in effect until the end of 2022</w:t>
      </w:r>
      <w:r w:rsidRPr="00872E58">
        <w:rPr>
          <w:sz w:val="18"/>
          <w:lang w:val="en-US"/>
        </w:rPr>
        <w:t xml:space="preserve">, the payment of additional remuneration by Brasilseg Companhia de Seguros SA to BB Corretora </w:t>
      </w:r>
      <w:r>
        <w:rPr>
          <w:sz w:val="18"/>
          <w:lang w:val="en-US"/>
        </w:rPr>
        <w:t>was</w:t>
      </w:r>
      <w:r w:rsidRPr="00872E58">
        <w:rPr>
          <w:sz w:val="18"/>
          <w:lang w:val="en-US"/>
        </w:rPr>
        <w:t xml:space="preserve"> foreseen to exceed the sales growth target in some specific products, following the rules of the 2nd Amendment to the Operating Agreement for Operation in the Insurance Segment and its annexes ("Operating Agreement" or "Agreement") which Brasilseg and BB Corretora have been signatory since November 30th, 2018.</w:t>
      </w:r>
    </w:p>
    <w:p w14:paraId="2CEFDFBE" w14:textId="77777777" w:rsidR="00931938" w:rsidRPr="00F35574" w:rsidRDefault="00931938" w:rsidP="00E226B2">
      <w:pPr>
        <w:spacing w:before="120" w:after="120"/>
        <w:jc w:val="both"/>
        <w:rPr>
          <w:rFonts w:eastAsia="Times New Roman" w:cs="Arial"/>
          <w:spacing w:val="-2"/>
          <w:szCs w:val="18"/>
          <w:highlight w:val="yellow"/>
          <w:lang w:val="en-US" w:eastAsia="pt-BR"/>
        </w:rPr>
      </w:pPr>
      <w:r w:rsidRPr="00F35574">
        <w:rPr>
          <w:rFonts w:eastAsia="Times New Roman" w:cs="Arial"/>
          <w:spacing w:val="-2"/>
          <w:szCs w:val="18"/>
          <w:lang w:val="en-US" w:eastAsia="pt-BR"/>
        </w:rPr>
        <w:t>On 12.29.2022, the 3rd Amendment to the Operating Agreement for Operating in the Insurance Segment (“Amendment to the Operating Agreement”) was formalized,</w:t>
      </w:r>
      <w:r>
        <w:rPr>
          <w:rFonts w:eastAsia="Times New Roman" w:cs="Arial"/>
          <w:spacing w:val="-2"/>
          <w:szCs w:val="18"/>
          <w:lang w:val="en-US" w:eastAsia="pt-BR"/>
        </w:rPr>
        <w:t xml:space="preserve"> effective from 01.01.2023,</w:t>
      </w:r>
      <w:r w:rsidRPr="00F35574">
        <w:rPr>
          <w:rFonts w:eastAsia="Times New Roman" w:cs="Arial"/>
          <w:spacing w:val="-2"/>
          <w:szCs w:val="18"/>
          <w:lang w:val="en-US" w:eastAsia="pt-BR"/>
        </w:rPr>
        <w:t xml:space="preserve"> which excludes the additional remuneration </w:t>
      </w:r>
      <w:r w:rsidRPr="00F35574">
        <w:rPr>
          <w:rFonts w:eastAsia="Times New Roman" w:cs="Arial"/>
          <w:spacing w:val="-2"/>
          <w:szCs w:val="18"/>
          <w:lang w:val="en-US" w:eastAsia="pt-BR"/>
        </w:rPr>
        <w:lastRenderedPageBreak/>
        <w:t>mechanism paid by Brasilseg to BB Corretora, increases the percentage of commission paid by Brasilseg to BB Corretora on premiums written for life and credit life insurance and reduces the percentage of commission paid by Brasilseg to BB Corretora on premiums written for rural pledge insurance.</w:t>
      </w:r>
    </w:p>
    <w:p w14:paraId="09673533" w14:textId="77777777" w:rsidR="00931938" w:rsidRPr="00F35574" w:rsidRDefault="00931938" w:rsidP="00872E58">
      <w:pPr>
        <w:spacing w:before="120" w:after="120"/>
        <w:jc w:val="both"/>
        <w:rPr>
          <w:rFonts w:eastAsia="Times New Roman" w:cs="Arial"/>
          <w:spacing w:val="-2"/>
          <w:szCs w:val="18"/>
          <w:lang w:val="en-US" w:eastAsia="pt-BR"/>
        </w:rPr>
      </w:pPr>
      <w:r w:rsidRPr="00F35574">
        <w:rPr>
          <w:rFonts w:eastAsia="Times New Roman" w:cs="Arial"/>
          <w:spacing w:val="-2"/>
          <w:szCs w:val="18"/>
          <w:lang w:val="en-US" w:eastAsia="pt-BR"/>
        </w:rPr>
        <w:t>The new Amendment to the Operating Agreement will be in force for a period of 3 (three) years, starting from January 1, 2023, being automatically renewed for new subsequent periods of 3 (three) years.</w:t>
      </w:r>
      <w:bookmarkEnd w:id="35"/>
    </w:p>
    <w:p w14:paraId="318AD7C1" w14:textId="107351C4" w:rsidR="00931938" w:rsidRPr="00D3472F" w:rsidRDefault="00931938" w:rsidP="00FC4475">
      <w:pPr>
        <w:pStyle w:val="Ttulo1"/>
      </w:pPr>
      <w:bookmarkStart w:id="36" w:name="_Toc126781100"/>
      <w:r w:rsidRPr="00D3472F">
        <w:t>9 – COSTS OF SERVICES PROVIDED</w:t>
      </w:r>
      <w:bookmarkEnd w:id="36"/>
    </w:p>
    <w:p w14:paraId="3683D723" w14:textId="77777777" w:rsidR="00931938" w:rsidRPr="00654762" w:rsidRDefault="00931938" w:rsidP="0087229B">
      <w:pPr>
        <w:pStyle w:val="06-Rmil"/>
        <w:rPr>
          <w:rFonts w:cs="Arial"/>
          <w:szCs w:val="14"/>
          <w:lang w:val="en-US"/>
        </w:rPr>
      </w:pPr>
      <w:r w:rsidRPr="00654762">
        <w:rPr>
          <w:szCs w:val="14"/>
          <w:lang w:val="en-US"/>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50"/>
        <w:gridCol w:w="488"/>
        <w:gridCol w:w="344"/>
        <w:gridCol w:w="1053"/>
        <w:gridCol w:w="1507"/>
        <w:gridCol w:w="238"/>
        <w:gridCol w:w="1401"/>
        <w:gridCol w:w="1558"/>
      </w:tblGrid>
      <w:tr w:rsidR="00931938" w:rsidRPr="00A47279" w14:paraId="45B8AC4E" w14:textId="77777777" w:rsidTr="00240614">
        <w:trPr>
          <w:trHeight w:val="238"/>
          <w:jc w:val="center"/>
        </w:trPr>
        <w:tc>
          <w:tcPr>
            <w:tcW w:w="3882" w:type="dxa"/>
            <w:gridSpan w:val="3"/>
            <w:tcBorders>
              <w:top w:val="single" w:sz="2" w:space="0" w:color="1F4E79" w:themeColor="accent1" w:themeShade="80"/>
              <w:bottom w:val="nil"/>
            </w:tcBorders>
            <w:shd w:val="clear" w:color="auto" w:fill="auto"/>
          </w:tcPr>
          <w:p w14:paraId="7AE13340" w14:textId="77777777" w:rsidR="00931938" w:rsidRPr="00654762" w:rsidRDefault="00931938" w:rsidP="009A7D77">
            <w:pPr>
              <w:keepNext/>
              <w:keepLines/>
              <w:tabs>
                <w:tab w:val="left" w:pos="2244"/>
                <w:tab w:val="center" w:pos="3294"/>
                <w:tab w:val="left" w:pos="4208"/>
                <w:tab w:val="left" w:pos="5816"/>
                <w:tab w:val="left" w:pos="5872"/>
              </w:tabs>
              <w:spacing w:before="40" w:after="40"/>
              <w:rPr>
                <w:rFonts w:cs="Arial"/>
                <w:b/>
                <w:spacing w:val="-2"/>
                <w:sz w:val="14"/>
                <w:szCs w:val="14"/>
                <w:lang w:val="en-US"/>
              </w:rPr>
            </w:pPr>
          </w:p>
        </w:tc>
        <w:tc>
          <w:tcPr>
            <w:tcW w:w="2798" w:type="dxa"/>
            <w:gridSpan w:val="3"/>
            <w:tcBorders>
              <w:top w:val="single" w:sz="2" w:space="0" w:color="1F4E79" w:themeColor="accent1" w:themeShade="80"/>
              <w:bottom w:val="nil"/>
            </w:tcBorders>
            <w:shd w:val="clear" w:color="auto" w:fill="auto"/>
            <w:vAlign w:val="center"/>
          </w:tcPr>
          <w:p w14:paraId="2C7820C7" w14:textId="77777777" w:rsidR="00931938" w:rsidRPr="00654762" w:rsidRDefault="00931938" w:rsidP="009A7D77">
            <w:pPr>
              <w:keepNext/>
              <w:keepLines/>
              <w:spacing w:before="40" w:after="40"/>
              <w:jc w:val="center"/>
              <w:rPr>
                <w:rFonts w:cs="Arial"/>
                <w:b/>
                <w:spacing w:val="-2"/>
                <w:sz w:val="14"/>
                <w:szCs w:val="14"/>
                <w:lang w:val="en-US"/>
              </w:rPr>
            </w:pPr>
          </w:p>
        </w:tc>
        <w:tc>
          <w:tcPr>
            <w:tcW w:w="2959" w:type="dxa"/>
            <w:gridSpan w:val="2"/>
            <w:tcBorders>
              <w:top w:val="single" w:sz="2" w:space="0" w:color="1F4E79" w:themeColor="accent1" w:themeShade="80"/>
              <w:bottom w:val="single" w:sz="4" w:space="0" w:color="1F4E79" w:themeColor="accent1" w:themeShade="80"/>
            </w:tcBorders>
            <w:shd w:val="clear" w:color="auto" w:fill="auto"/>
            <w:vAlign w:val="center"/>
          </w:tcPr>
          <w:p w14:paraId="178E35F5" w14:textId="77777777" w:rsidR="00931938" w:rsidRPr="0087229B" w:rsidRDefault="00931938" w:rsidP="009A7D77">
            <w:pPr>
              <w:keepNext/>
              <w:keepLines/>
              <w:spacing w:before="40" w:after="40"/>
              <w:jc w:val="center"/>
              <w:rPr>
                <w:rFonts w:cs="Arial"/>
                <w:b/>
                <w:bCs/>
                <w:spacing w:val="-2"/>
                <w:sz w:val="14"/>
                <w:szCs w:val="14"/>
              </w:rPr>
            </w:pPr>
            <w:r w:rsidRPr="0087229B">
              <w:rPr>
                <w:rFonts w:cs="Arial"/>
                <w:b/>
                <w:bCs/>
                <w:spacing w:val="-2"/>
                <w:sz w:val="14"/>
                <w:szCs w:val="14"/>
              </w:rPr>
              <w:t>Consolidated</w:t>
            </w:r>
          </w:p>
        </w:tc>
      </w:tr>
      <w:tr w:rsidR="00931938" w:rsidRPr="009A7D77" w14:paraId="2D42FBCC" w14:textId="77777777" w:rsidTr="00655231">
        <w:trPr>
          <w:trHeight w:val="238"/>
          <w:jc w:val="center"/>
        </w:trPr>
        <w:tc>
          <w:tcPr>
            <w:tcW w:w="3050" w:type="dxa"/>
            <w:tcBorders>
              <w:top w:val="nil"/>
              <w:bottom w:val="single" w:sz="2" w:space="0" w:color="1F4E79" w:themeColor="accent1" w:themeShade="80"/>
            </w:tcBorders>
            <w:shd w:val="clear" w:color="auto" w:fill="auto"/>
          </w:tcPr>
          <w:p w14:paraId="58B6FDEF" w14:textId="77777777" w:rsidR="00931938" w:rsidRPr="009A7D77" w:rsidRDefault="00931938" w:rsidP="00F45E28">
            <w:pPr>
              <w:keepNext/>
              <w:keepLines/>
              <w:tabs>
                <w:tab w:val="left" w:pos="2244"/>
                <w:tab w:val="center" w:pos="3294"/>
                <w:tab w:val="left" w:pos="4208"/>
                <w:tab w:val="left" w:pos="5816"/>
                <w:tab w:val="left" w:pos="5872"/>
              </w:tabs>
              <w:spacing w:before="40" w:after="40"/>
              <w:jc w:val="right"/>
              <w:rPr>
                <w:rFonts w:cs="Arial"/>
                <w:b/>
                <w:spacing w:val="-2"/>
                <w:sz w:val="14"/>
                <w:szCs w:val="14"/>
              </w:rPr>
            </w:pPr>
          </w:p>
        </w:tc>
        <w:tc>
          <w:tcPr>
            <w:tcW w:w="488" w:type="dxa"/>
            <w:tcBorders>
              <w:top w:val="nil"/>
              <w:bottom w:val="single" w:sz="2" w:space="0" w:color="1F4E79" w:themeColor="accent1" w:themeShade="80"/>
            </w:tcBorders>
            <w:shd w:val="clear" w:color="auto" w:fill="auto"/>
          </w:tcPr>
          <w:p w14:paraId="7F388C3E" w14:textId="77777777" w:rsidR="00931938" w:rsidRPr="009A7D77" w:rsidRDefault="00931938" w:rsidP="00F45E28">
            <w:pPr>
              <w:keepNext/>
              <w:keepLines/>
              <w:spacing w:before="40" w:after="40"/>
              <w:rPr>
                <w:rFonts w:cs="Arial"/>
                <w:b/>
                <w:spacing w:val="-2"/>
                <w:sz w:val="14"/>
                <w:szCs w:val="14"/>
              </w:rPr>
            </w:pPr>
          </w:p>
        </w:tc>
        <w:tc>
          <w:tcPr>
            <w:tcW w:w="1397" w:type="dxa"/>
            <w:gridSpan w:val="2"/>
            <w:tcBorders>
              <w:top w:val="nil"/>
              <w:bottom w:val="single" w:sz="4" w:space="0" w:color="auto"/>
            </w:tcBorders>
            <w:shd w:val="clear" w:color="auto" w:fill="auto"/>
          </w:tcPr>
          <w:p w14:paraId="37691F3C" w14:textId="77777777" w:rsidR="00931938" w:rsidRPr="009A7D77" w:rsidRDefault="00931938" w:rsidP="00F45E28">
            <w:pPr>
              <w:keepNext/>
              <w:keepLines/>
              <w:spacing w:before="40" w:after="40"/>
              <w:jc w:val="right"/>
              <w:rPr>
                <w:rFonts w:cs="Arial"/>
                <w:b/>
                <w:spacing w:val="-2"/>
                <w:sz w:val="14"/>
                <w:szCs w:val="14"/>
              </w:rPr>
            </w:pPr>
          </w:p>
        </w:tc>
        <w:tc>
          <w:tcPr>
            <w:tcW w:w="1507" w:type="dxa"/>
            <w:tcBorders>
              <w:top w:val="nil"/>
              <w:bottom w:val="single" w:sz="4" w:space="0" w:color="auto"/>
            </w:tcBorders>
            <w:shd w:val="clear" w:color="auto" w:fill="auto"/>
          </w:tcPr>
          <w:p w14:paraId="56E00C40" w14:textId="77777777" w:rsidR="00931938" w:rsidRPr="009A7D77" w:rsidRDefault="00931938" w:rsidP="00F45E28">
            <w:pPr>
              <w:keepNext/>
              <w:keepLines/>
              <w:spacing w:before="40" w:after="40"/>
              <w:jc w:val="right"/>
              <w:rPr>
                <w:rFonts w:cs="Arial"/>
                <w:b/>
                <w:spacing w:val="-2"/>
                <w:sz w:val="14"/>
                <w:szCs w:val="14"/>
              </w:rPr>
            </w:pPr>
          </w:p>
        </w:tc>
        <w:tc>
          <w:tcPr>
            <w:tcW w:w="238" w:type="dxa"/>
            <w:tcBorders>
              <w:top w:val="nil"/>
              <w:bottom w:val="single" w:sz="2" w:space="0" w:color="1F4E79" w:themeColor="accent1" w:themeShade="80"/>
            </w:tcBorders>
            <w:shd w:val="clear" w:color="auto" w:fill="auto"/>
            <w:vAlign w:val="center"/>
          </w:tcPr>
          <w:p w14:paraId="6C42C9B7" w14:textId="77777777" w:rsidR="00931938" w:rsidRPr="009A7D77" w:rsidRDefault="00931938" w:rsidP="00F45E28">
            <w:pPr>
              <w:keepNext/>
              <w:keepLines/>
              <w:spacing w:before="40" w:after="40"/>
              <w:jc w:val="right"/>
              <w:rPr>
                <w:rFonts w:cs="Arial"/>
                <w:b/>
                <w:spacing w:val="-2"/>
                <w:sz w:val="14"/>
                <w:szCs w:val="14"/>
              </w:rPr>
            </w:pPr>
          </w:p>
        </w:tc>
        <w:tc>
          <w:tcPr>
            <w:tcW w:w="1401" w:type="dxa"/>
            <w:tcBorders>
              <w:top w:val="single" w:sz="4" w:space="0" w:color="1F4E79" w:themeColor="accent1" w:themeShade="80"/>
              <w:bottom w:val="single" w:sz="2" w:space="0" w:color="1F4E79" w:themeColor="accent1" w:themeShade="80"/>
            </w:tcBorders>
            <w:shd w:val="clear" w:color="auto" w:fill="auto"/>
          </w:tcPr>
          <w:p w14:paraId="594162D9" w14:textId="77777777" w:rsidR="00931938" w:rsidRPr="009A7D77" w:rsidRDefault="00931938" w:rsidP="00F45E28">
            <w:pPr>
              <w:keepNext/>
              <w:keepLines/>
              <w:spacing w:before="40" w:after="40"/>
              <w:jc w:val="right"/>
              <w:rPr>
                <w:rFonts w:cs="Arial"/>
                <w:b/>
                <w:spacing w:val="-2"/>
                <w:sz w:val="14"/>
                <w:szCs w:val="14"/>
              </w:rPr>
            </w:pPr>
            <w:r>
              <w:rPr>
                <w:rFonts w:cs="Arial"/>
                <w:b/>
                <w:spacing w:val="-2"/>
                <w:sz w:val="14"/>
                <w:szCs w:val="14"/>
              </w:rPr>
              <w:t>2022</w:t>
            </w:r>
          </w:p>
        </w:tc>
        <w:tc>
          <w:tcPr>
            <w:tcW w:w="1558" w:type="dxa"/>
            <w:tcBorders>
              <w:top w:val="single" w:sz="4" w:space="0" w:color="1F4E79" w:themeColor="accent1" w:themeShade="80"/>
              <w:bottom w:val="single" w:sz="2" w:space="0" w:color="1F4E79" w:themeColor="accent1" w:themeShade="80"/>
            </w:tcBorders>
            <w:shd w:val="clear" w:color="auto" w:fill="auto"/>
          </w:tcPr>
          <w:p w14:paraId="3C79F1EE" w14:textId="77777777" w:rsidR="00931938" w:rsidRPr="009A7D77" w:rsidRDefault="00931938" w:rsidP="00F45E28">
            <w:pPr>
              <w:keepNext/>
              <w:keepLines/>
              <w:spacing w:before="40" w:after="40"/>
              <w:jc w:val="right"/>
              <w:rPr>
                <w:rFonts w:cs="Arial"/>
                <w:b/>
                <w:spacing w:val="-2"/>
                <w:sz w:val="14"/>
                <w:szCs w:val="14"/>
              </w:rPr>
            </w:pPr>
            <w:r>
              <w:rPr>
                <w:rFonts w:cs="Arial"/>
                <w:b/>
                <w:sz w:val="14"/>
                <w:szCs w:val="14"/>
              </w:rPr>
              <w:t>2021</w:t>
            </w:r>
          </w:p>
        </w:tc>
      </w:tr>
      <w:tr w:rsidR="00931938" w:rsidRPr="00A47279" w14:paraId="133D83C4" w14:textId="77777777" w:rsidTr="00917DBA">
        <w:trPr>
          <w:trHeight w:val="238"/>
          <w:jc w:val="center"/>
        </w:trPr>
        <w:tc>
          <w:tcPr>
            <w:tcW w:w="3050" w:type="dxa"/>
            <w:tcBorders>
              <w:top w:val="single" w:sz="2" w:space="0" w:color="1F4E79" w:themeColor="accent1" w:themeShade="80"/>
              <w:bottom w:val="nil"/>
            </w:tcBorders>
            <w:shd w:val="clear" w:color="auto" w:fill="auto"/>
          </w:tcPr>
          <w:p w14:paraId="7DC28DC2" w14:textId="77777777" w:rsidR="00931938" w:rsidRPr="00A47279" w:rsidRDefault="00931938" w:rsidP="00655231">
            <w:pPr>
              <w:pStyle w:val="08-Tabelageral"/>
              <w:jc w:val="left"/>
              <w:rPr>
                <w:rFonts w:cs="Arial"/>
                <w:szCs w:val="14"/>
                <w:vertAlign w:val="superscript"/>
              </w:rPr>
            </w:pPr>
            <w:r w:rsidRPr="00A370E1">
              <w:rPr>
                <w:rFonts w:cs="Arial"/>
                <w:szCs w:val="14"/>
              </w:rPr>
              <w:t>Administrative cost products</w:t>
            </w:r>
          </w:p>
        </w:tc>
        <w:tc>
          <w:tcPr>
            <w:tcW w:w="488" w:type="dxa"/>
            <w:tcBorders>
              <w:top w:val="single" w:sz="2" w:space="0" w:color="1F4E79" w:themeColor="accent1" w:themeShade="80"/>
              <w:bottom w:val="nil"/>
            </w:tcBorders>
            <w:shd w:val="clear" w:color="auto" w:fill="auto"/>
          </w:tcPr>
          <w:p w14:paraId="2BC544B6" w14:textId="77777777" w:rsidR="00931938" w:rsidRPr="00A47279" w:rsidRDefault="00931938" w:rsidP="00655231">
            <w:pPr>
              <w:pStyle w:val="08-Tabelageral"/>
              <w:rPr>
                <w:rFonts w:cs="Arial"/>
                <w:szCs w:val="14"/>
              </w:rPr>
            </w:pPr>
          </w:p>
        </w:tc>
        <w:tc>
          <w:tcPr>
            <w:tcW w:w="1397" w:type="dxa"/>
            <w:gridSpan w:val="2"/>
            <w:tcBorders>
              <w:top w:val="single" w:sz="2" w:space="0" w:color="1F4E79" w:themeColor="accent1" w:themeShade="80"/>
            </w:tcBorders>
            <w:shd w:val="clear" w:color="auto" w:fill="auto"/>
            <w:vAlign w:val="center"/>
          </w:tcPr>
          <w:p w14:paraId="49E9D00F" w14:textId="77777777" w:rsidR="00931938" w:rsidRPr="00A47279" w:rsidRDefault="00931938" w:rsidP="00655231">
            <w:pPr>
              <w:pStyle w:val="08-Tabelageral"/>
            </w:pPr>
          </w:p>
        </w:tc>
        <w:tc>
          <w:tcPr>
            <w:tcW w:w="1507" w:type="dxa"/>
            <w:tcBorders>
              <w:top w:val="single" w:sz="2" w:space="0" w:color="1F4E79" w:themeColor="accent1" w:themeShade="80"/>
            </w:tcBorders>
            <w:shd w:val="clear" w:color="auto" w:fill="auto"/>
            <w:vAlign w:val="center"/>
          </w:tcPr>
          <w:p w14:paraId="29DFB667" w14:textId="77777777" w:rsidR="00931938" w:rsidRPr="00A47279" w:rsidRDefault="00931938" w:rsidP="00655231">
            <w:pPr>
              <w:pStyle w:val="08-Tabelageral"/>
            </w:pPr>
          </w:p>
        </w:tc>
        <w:tc>
          <w:tcPr>
            <w:tcW w:w="238" w:type="dxa"/>
            <w:tcBorders>
              <w:top w:val="single" w:sz="2" w:space="0" w:color="1F4E79" w:themeColor="accent1" w:themeShade="80"/>
              <w:bottom w:val="nil"/>
            </w:tcBorders>
            <w:shd w:val="clear" w:color="auto" w:fill="auto"/>
            <w:vAlign w:val="center"/>
          </w:tcPr>
          <w:p w14:paraId="066556ED" w14:textId="77777777" w:rsidR="00931938" w:rsidRPr="00A47279" w:rsidRDefault="00931938" w:rsidP="00655231">
            <w:pPr>
              <w:pStyle w:val="08-Tabelageral"/>
              <w:rPr>
                <w:rFonts w:cs="Arial"/>
                <w:szCs w:val="14"/>
              </w:rPr>
            </w:pPr>
          </w:p>
        </w:tc>
        <w:tc>
          <w:tcPr>
            <w:tcW w:w="1401" w:type="dxa"/>
            <w:tcBorders>
              <w:top w:val="single" w:sz="2" w:space="0" w:color="1F4E79" w:themeColor="accent1" w:themeShade="80"/>
            </w:tcBorders>
            <w:shd w:val="clear" w:color="auto" w:fill="auto"/>
            <w:vAlign w:val="center"/>
          </w:tcPr>
          <w:p w14:paraId="78C47CD7" w14:textId="77777777" w:rsidR="00931938" w:rsidRPr="00A47279" w:rsidRDefault="00931938" w:rsidP="00655231">
            <w:pPr>
              <w:pStyle w:val="08-Tabelageral"/>
            </w:pPr>
            <w:r>
              <w:rPr>
                <w:rFonts w:cs="Arial"/>
                <w:color w:val="000000"/>
                <w:szCs w:val="14"/>
              </w:rPr>
              <w:t>(134,580)</w:t>
            </w:r>
          </w:p>
        </w:tc>
        <w:tc>
          <w:tcPr>
            <w:tcW w:w="1558" w:type="dxa"/>
            <w:tcBorders>
              <w:top w:val="single" w:sz="2" w:space="0" w:color="1F4E79" w:themeColor="accent1" w:themeShade="80"/>
            </w:tcBorders>
            <w:shd w:val="clear" w:color="auto" w:fill="auto"/>
          </w:tcPr>
          <w:p w14:paraId="24F62D88" w14:textId="77777777" w:rsidR="00931938" w:rsidRPr="00A47279" w:rsidRDefault="00931938" w:rsidP="00655231">
            <w:pPr>
              <w:pStyle w:val="08-Tabelageral"/>
            </w:pPr>
            <w:r w:rsidRPr="004D5040">
              <w:t>(117</w:t>
            </w:r>
            <w:r>
              <w:t>,</w:t>
            </w:r>
            <w:r w:rsidRPr="004D5040">
              <w:t>985)</w:t>
            </w:r>
          </w:p>
        </w:tc>
      </w:tr>
      <w:tr w:rsidR="00931938" w:rsidRPr="00A47279" w14:paraId="147B602E" w14:textId="77777777" w:rsidTr="00917DBA">
        <w:trPr>
          <w:trHeight w:val="238"/>
          <w:jc w:val="center"/>
        </w:trPr>
        <w:tc>
          <w:tcPr>
            <w:tcW w:w="3050" w:type="dxa"/>
            <w:tcBorders>
              <w:top w:val="nil"/>
            </w:tcBorders>
            <w:shd w:val="clear" w:color="auto" w:fill="auto"/>
          </w:tcPr>
          <w:p w14:paraId="39F4A303" w14:textId="77777777" w:rsidR="00931938" w:rsidRPr="00A47279" w:rsidRDefault="00931938" w:rsidP="00655231">
            <w:pPr>
              <w:pStyle w:val="08-Tabelageral"/>
              <w:jc w:val="left"/>
              <w:rPr>
                <w:rFonts w:cs="Arial"/>
                <w:szCs w:val="14"/>
              </w:rPr>
            </w:pPr>
            <w:r w:rsidRPr="00A370E1">
              <w:rPr>
                <w:rFonts w:cs="Arial"/>
                <w:szCs w:val="14"/>
              </w:rPr>
              <w:t>Operational support cost</w:t>
            </w:r>
          </w:p>
        </w:tc>
        <w:tc>
          <w:tcPr>
            <w:tcW w:w="488" w:type="dxa"/>
            <w:tcBorders>
              <w:top w:val="nil"/>
            </w:tcBorders>
            <w:shd w:val="clear" w:color="auto" w:fill="auto"/>
          </w:tcPr>
          <w:p w14:paraId="791E7564" w14:textId="77777777" w:rsidR="00931938" w:rsidRPr="00A47279" w:rsidRDefault="00931938" w:rsidP="00655231">
            <w:pPr>
              <w:pStyle w:val="08-Tabelageral"/>
              <w:rPr>
                <w:rFonts w:cs="Arial"/>
                <w:szCs w:val="14"/>
              </w:rPr>
            </w:pPr>
          </w:p>
        </w:tc>
        <w:tc>
          <w:tcPr>
            <w:tcW w:w="1397" w:type="dxa"/>
            <w:gridSpan w:val="2"/>
            <w:shd w:val="clear" w:color="auto" w:fill="auto"/>
            <w:vAlign w:val="center"/>
          </w:tcPr>
          <w:p w14:paraId="208A6C39" w14:textId="77777777" w:rsidR="00931938" w:rsidRPr="00A47279" w:rsidRDefault="00931938" w:rsidP="00655231">
            <w:pPr>
              <w:pStyle w:val="08-Tabelageral"/>
            </w:pPr>
          </w:p>
        </w:tc>
        <w:tc>
          <w:tcPr>
            <w:tcW w:w="1507" w:type="dxa"/>
            <w:shd w:val="clear" w:color="auto" w:fill="auto"/>
            <w:vAlign w:val="center"/>
          </w:tcPr>
          <w:p w14:paraId="796699F3" w14:textId="77777777" w:rsidR="00931938" w:rsidRPr="00A47279" w:rsidRDefault="00931938" w:rsidP="00655231">
            <w:pPr>
              <w:pStyle w:val="08-Tabelageral"/>
            </w:pPr>
          </w:p>
        </w:tc>
        <w:tc>
          <w:tcPr>
            <w:tcW w:w="238" w:type="dxa"/>
            <w:tcBorders>
              <w:top w:val="nil"/>
            </w:tcBorders>
            <w:shd w:val="clear" w:color="auto" w:fill="auto"/>
            <w:vAlign w:val="center"/>
          </w:tcPr>
          <w:p w14:paraId="702CF7E9" w14:textId="77777777" w:rsidR="00931938" w:rsidRPr="00A47279" w:rsidRDefault="00931938" w:rsidP="00655231">
            <w:pPr>
              <w:pStyle w:val="08-Tabelageral"/>
              <w:rPr>
                <w:rFonts w:cs="Arial"/>
                <w:szCs w:val="14"/>
              </w:rPr>
            </w:pPr>
          </w:p>
        </w:tc>
        <w:tc>
          <w:tcPr>
            <w:tcW w:w="1401" w:type="dxa"/>
            <w:shd w:val="clear" w:color="auto" w:fill="auto"/>
            <w:vAlign w:val="center"/>
          </w:tcPr>
          <w:p w14:paraId="082F9092" w14:textId="77777777" w:rsidR="00931938" w:rsidRPr="00A47279" w:rsidRDefault="00931938" w:rsidP="00655231">
            <w:pPr>
              <w:pStyle w:val="08-Tabelageral"/>
            </w:pPr>
            <w:r>
              <w:rPr>
                <w:rFonts w:cs="Arial"/>
                <w:color w:val="000000"/>
                <w:szCs w:val="14"/>
              </w:rPr>
              <w:t>(50,411)</w:t>
            </w:r>
          </w:p>
        </w:tc>
        <w:tc>
          <w:tcPr>
            <w:tcW w:w="1558" w:type="dxa"/>
            <w:shd w:val="clear" w:color="auto" w:fill="auto"/>
          </w:tcPr>
          <w:p w14:paraId="23C9EC4F" w14:textId="77777777" w:rsidR="00931938" w:rsidRPr="00A47279" w:rsidRDefault="00931938" w:rsidP="00655231">
            <w:pPr>
              <w:pStyle w:val="08-Tabelageral"/>
            </w:pPr>
            <w:r w:rsidRPr="004D5040">
              <w:t>(60</w:t>
            </w:r>
            <w:r>
              <w:t>,</w:t>
            </w:r>
            <w:r w:rsidRPr="004D5040">
              <w:t>556)</w:t>
            </w:r>
          </w:p>
        </w:tc>
      </w:tr>
      <w:tr w:rsidR="00931938" w:rsidRPr="00A47279" w14:paraId="3B637346" w14:textId="77777777" w:rsidTr="00917DBA">
        <w:trPr>
          <w:trHeight w:val="238"/>
          <w:jc w:val="center"/>
        </w:trPr>
        <w:tc>
          <w:tcPr>
            <w:tcW w:w="3050" w:type="dxa"/>
            <w:tcBorders>
              <w:bottom w:val="nil"/>
            </w:tcBorders>
            <w:shd w:val="clear" w:color="auto" w:fill="auto"/>
          </w:tcPr>
          <w:p w14:paraId="5C257124" w14:textId="77777777" w:rsidR="00931938" w:rsidRPr="00A47279" w:rsidRDefault="00931938" w:rsidP="00655231">
            <w:pPr>
              <w:pStyle w:val="08-Tabelageral"/>
              <w:jc w:val="left"/>
              <w:rPr>
                <w:rFonts w:cs="Arial"/>
                <w:szCs w:val="14"/>
              </w:rPr>
            </w:pPr>
            <w:r w:rsidRPr="00A370E1">
              <w:rPr>
                <w:rFonts w:cs="Arial"/>
                <w:szCs w:val="14"/>
              </w:rPr>
              <w:t>Cost of data processing</w:t>
            </w:r>
          </w:p>
        </w:tc>
        <w:tc>
          <w:tcPr>
            <w:tcW w:w="488" w:type="dxa"/>
            <w:tcBorders>
              <w:bottom w:val="nil"/>
            </w:tcBorders>
            <w:shd w:val="clear" w:color="auto" w:fill="auto"/>
          </w:tcPr>
          <w:p w14:paraId="23726745" w14:textId="77777777" w:rsidR="00931938" w:rsidRPr="00A47279" w:rsidRDefault="00931938" w:rsidP="00655231">
            <w:pPr>
              <w:pStyle w:val="08-Tabelageral"/>
              <w:rPr>
                <w:rFonts w:cs="Arial"/>
                <w:szCs w:val="14"/>
              </w:rPr>
            </w:pPr>
          </w:p>
        </w:tc>
        <w:tc>
          <w:tcPr>
            <w:tcW w:w="1397" w:type="dxa"/>
            <w:gridSpan w:val="2"/>
            <w:tcBorders>
              <w:bottom w:val="nil"/>
            </w:tcBorders>
            <w:shd w:val="clear" w:color="auto" w:fill="auto"/>
            <w:vAlign w:val="center"/>
          </w:tcPr>
          <w:p w14:paraId="76F078D6" w14:textId="77777777" w:rsidR="00931938" w:rsidRPr="00A47279" w:rsidRDefault="00931938" w:rsidP="00655231">
            <w:pPr>
              <w:pStyle w:val="08-Tabelageral"/>
            </w:pPr>
          </w:p>
        </w:tc>
        <w:tc>
          <w:tcPr>
            <w:tcW w:w="1507" w:type="dxa"/>
            <w:tcBorders>
              <w:bottom w:val="nil"/>
            </w:tcBorders>
            <w:shd w:val="clear" w:color="auto" w:fill="auto"/>
            <w:vAlign w:val="center"/>
          </w:tcPr>
          <w:p w14:paraId="0258A17B" w14:textId="77777777" w:rsidR="00931938" w:rsidRPr="00A47279" w:rsidRDefault="00931938" w:rsidP="00655231">
            <w:pPr>
              <w:pStyle w:val="08-Tabelageral"/>
            </w:pPr>
          </w:p>
        </w:tc>
        <w:tc>
          <w:tcPr>
            <w:tcW w:w="238" w:type="dxa"/>
            <w:tcBorders>
              <w:bottom w:val="nil"/>
            </w:tcBorders>
            <w:shd w:val="clear" w:color="auto" w:fill="auto"/>
            <w:vAlign w:val="center"/>
          </w:tcPr>
          <w:p w14:paraId="1D37A95A" w14:textId="77777777" w:rsidR="00931938" w:rsidRPr="00A47279" w:rsidRDefault="00931938" w:rsidP="00655231">
            <w:pPr>
              <w:pStyle w:val="08-Tabelageral"/>
              <w:rPr>
                <w:rFonts w:cs="Arial"/>
                <w:szCs w:val="14"/>
              </w:rPr>
            </w:pPr>
          </w:p>
        </w:tc>
        <w:tc>
          <w:tcPr>
            <w:tcW w:w="1401" w:type="dxa"/>
            <w:tcBorders>
              <w:bottom w:val="nil"/>
            </w:tcBorders>
            <w:shd w:val="clear" w:color="auto" w:fill="auto"/>
            <w:vAlign w:val="center"/>
          </w:tcPr>
          <w:p w14:paraId="7B68A7FA" w14:textId="77777777" w:rsidR="00931938" w:rsidRPr="00A47279" w:rsidRDefault="00931938" w:rsidP="00655231">
            <w:pPr>
              <w:pStyle w:val="08-Tabelageral"/>
            </w:pPr>
            <w:r>
              <w:rPr>
                <w:rFonts w:cs="Arial"/>
                <w:color w:val="000000"/>
                <w:szCs w:val="14"/>
              </w:rPr>
              <w:t>(20,879)</w:t>
            </w:r>
          </w:p>
        </w:tc>
        <w:tc>
          <w:tcPr>
            <w:tcW w:w="1558" w:type="dxa"/>
            <w:tcBorders>
              <w:bottom w:val="nil"/>
            </w:tcBorders>
            <w:shd w:val="clear" w:color="auto" w:fill="auto"/>
          </w:tcPr>
          <w:p w14:paraId="79012132" w14:textId="77777777" w:rsidR="00931938" w:rsidRPr="00A47279" w:rsidRDefault="00931938" w:rsidP="00655231">
            <w:pPr>
              <w:pStyle w:val="08-Tabelageral"/>
            </w:pPr>
            <w:r w:rsidRPr="004D5040">
              <w:t>(15</w:t>
            </w:r>
            <w:r>
              <w:t>,</w:t>
            </w:r>
            <w:r w:rsidRPr="004D5040">
              <w:t>289)</w:t>
            </w:r>
          </w:p>
        </w:tc>
      </w:tr>
      <w:tr w:rsidR="00931938" w:rsidRPr="00FA3D92" w14:paraId="120BEB1D" w14:textId="77777777" w:rsidTr="00917DBA">
        <w:trPr>
          <w:trHeight w:val="238"/>
          <w:jc w:val="center"/>
        </w:trPr>
        <w:tc>
          <w:tcPr>
            <w:tcW w:w="3050" w:type="dxa"/>
            <w:tcBorders>
              <w:top w:val="nil"/>
              <w:bottom w:val="single" w:sz="2" w:space="0" w:color="1F4E79" w:themeColor="accent1" w:themeShade="80"/>
            </w:tcBorders>
            <w:shd w:val="clear" w:color="auto" w:fill="auto"/>
          </w:tcPr>
          <w:p w14:paraId="714A24DC" w14:textId="77777777" w:rsidR="00931938" w:rsidRPr="00FA3D92" w:rsidRDefault="00931938" w:rsidP="00655231">
            <w:pPr>
              <w:keepNext/>
              <w:keepLines/>
              <w:spacing w:before="40" w:after="40"/>
              <w:rPr>
                <w:rFonts w:cs="Arial"/>
                <w:b/>
                <w:bCs/>
                <w:spacing w:val="-2"/>
                <w:sz w:val="14"/>
                <w:szCs w:val="14"/>
              </w:rPr>
            </w:pPr>
            <w:r w:rsidRPr="00FA3D92">
              <w:rPr>
                <w:rFonts w:cs="Arial"/>
                <w:b/>
                <w:bCs/>
                <w:spacing w:val="-2"/>
                <w:sz w:val="14"/>
                <w:szCs w:val="14"/>
              </w:rPr>
              <w:t>Total</w:t>
            </w:r>
          </w:p>
        </w:tc>
        <w:tc>
          <w:tcPr>
            <w:tcW w:w="488" w:type="dxa"/>
            <w:tcBorders>
              <w:top w:val="nil"/>
              <w:bottom w:val="single" w:sz="2" w:space="0" w:color="1F4E79" w:themeColor="accent1" w:themeShade="80"/>
            </w:tcBorders>
            <w:shd w:val="clear" w:color="auto" w:fill="auto"/>
          </w:tcPr>
          <w:p w14:paraId="4475035C" w14:textId="77777777" w:rsidR="00931938" w:rsidRPr="00FA3D92" w:rsidRDefault="00931938" w:rsidP="00655231">
            <w:pPr>
              <w:keepNext/>
              <w:keepLines/>
              <w:spacing w:before="40" w:after="40"/>
              <w:jc w:val="center"/>
              <w:rPr>
                <w:rFonts w:cs="Arial"/>
                <w:b/>
                <w:bCs/>
                <w:spacing w:val="-2"/>
                <w:sz w:val="14"/>
                <w:szCs w:val="14"/>
              </w:rPr>
            </w:pPr>
          </w:p>
        </w:tc>
        <w:tc>
          <w:tcPr>
            <w:tcW w:w="1397" w:type="dxa"/>
            <w:gridSpan w:val="2"/>
            <w:tcBorders>
              <w:top w:val="nil"/>
              <w:bottom w:val="single" w:sz="2" w:space="0" w:color="1F4E79" w:themeColor="accent1" w:themeShade="80"/>
            </w:tcBorders>
            <w:shd w:val="clear" w:color="auto" w:fill="auto"/>
            <w:vAlign w:val="center"/>
          </w:tcPr>
          <w:p w14:paraId="580EA894" w14:textId="77777777" w:rsidR="00931938" w:rsidRPr="00FA3D92" w:rsidRDefault="00931938" w:rsidP="00655231">
            <w:pPr>
              <w:pStyle w:val="08-Tabelageral"/>
              <w:rPr>
                <w:b/>
                <w:bCs/>
              </w:rPr>
            </w:pPr>
          </w:p>
        </w:tc>
        <w:tc>
          <w:tcPr>
            <w:tcW w:w="1507" w:type="dxa"/>
            <w:tcBorders>
              <w:top w:val="nil"/>
              <w:bottom w:val="single" w:sz="2" w:space="0" w:color="1F4E79" w:themeColor="accent1" w:themeShade="80"/>
            </w:tcBorders>
            <w:shd w:val="clear" w:color="auto" w:fill="auto"/>
            <w:vAlign w:val="center"/>
          </w:tcPr>
          <w:p w14:paraId="45660C88" w14:textId="77777777" w:rsidR="00931938" w:rsidRPr="00FA3D92" w:rsidRDefault="00931938" w:rsidP="00655231">
            <w:pPr>
              <w:pStyle w:val="08-Tabelageral"/>
              <w:rPr>
                <w:b/>
                <w:bCs/>
              </w:rPr>
            </w:pPr>
          </w:p>
        </w:tc>
        <w:tc>
          <w:tcPr>
            <w:tcW w:w="238" w:type="dxa"/>
            <w:tcBorders>
              <w:top w:val="nil"/>
              <w:bottom w:val="single" w:sz="2" w:space="0" w:color="1F4E79" w:themeColor="accent1" w:themeShade="80"/>
            </w:tcBorders>
            <w:shd w:val="clear" w:color="auto" w:fill="auto"/>
            <w:vAlign w:val="center"/>
          </w:tcPr>
          <w:p w14:paraId="76FBA448" w14:textId="77777777" w:rsidR="00931938" w:rsidRPr="00FA3D92" w:rsidRDefault="00931938" w:rsidP="00655231">
            <w:pPr>
              <w:keepNext/>
              <w:keepLines/>
              <w:spacing w:before="40" w:after="40"/>
              <w:jc w:val="right"/>
              <w:rPr>
                <w:rFonts w:cs="Arial"/>
                <w:b/>
                <w:bCs/>
                <w:spacing w:val="-2"/>
                <w:sz w:val="14"/>
                <w:szCs w:val="14"/>
              </w:rPr>
            </w:pPr>
          </w:p>
        </w:tc>
        <w:tc>
          <w:tcPr>
            <w:tcW w:w="1401" w:type="dxa"/>
            <w:tcBorders>
              <w:top w:val="nil"/>
              <w:bottom w:val="single" w:sz="2" w:space="0" w:color="1F4E79" w:themeColor="accent1" w:themeShade="80"/>
            </w:tcBorders>
            <w:shd w:val="clear" w:color="auto" w:fill="auto"/>
            <w:vAlign w:val="center"/>
          </w:tcPr>
          <w:p w14:paraId="2EDA470F" w14:textId="77777777" w:rsidR="00931938" w:rsidRPr="00FA3D92" w:rsidRDefault="00931938" w:rsidP="00655231">
            <w:pPr>
              <w:pStyle w:val="08-Tabelageral"/>
              <w:rPr>
                <w:b/>
                <w:bCs/>
              </w:rPr>
            </w:pPr>
            <w:r>
              <w:rPr>
                <w:rFonts w:cs="Arial"/>
                <w:b/>
                <w:bCs/>
                <w:color w:val="000000"/>
                <w:szCs w:val="14"/>
              </w:rPr>
              <w:t>(205,870)</w:t>
            </w:r>
          </w:p>
        </w:tc>
        <w:tc>
          <w:tcPr>
            <w:tcW w:w="1558" w:type="dxa"/>
            <w:tcBorders>
              <w:top w:val="nil"/>
              <w:bottom w:val="single" w:sz="2" w:space="0" w:color="1F4E79" w:themeColor="accent1" w:themeShade="80"/>
            </w:tcBorders>
            <w:shd w:val="clear" w:color="auto" w:fill="auto"/>
          </w:tcPr>
          <w:p w14:paraId="06E4C951" w14:textId="77777777" w:rsidR="00931938" w:rsidRPr="00FA3D92" w:rsidRDefault="00931938" w:rsidP="00655231">
            <w:pPr>
              <w:pStyle w:val="08-Tabelageral"/>
              <w:rPr>
                <w:b/>
                <w:bCs/>
              </w:rPr>
            </w:pPr>
            <w:r w:rsidRPr="00077CB2">
              <w:rPr>
                <w:b/>
              </w:rPr>
              <w:t>(193</w:t>
            </w:r>
            <w:r>
              <w:rPr>
                <w:b/>
              </w:rPr>
              <w:t>,</w:t>
            </w:r>
            <w:r w:rsidRPr="00077CB2">
              <w:rPr>
                <w:b/>
              </w:rPr>
              <w:t>830)</w:t>
            </w:r>
          </w:p>
        </w:tc>
      </w:tr>
    </w:tbl>
    <w:p w14:paraId="6E478456" w14:textId="77777777" w:rsidR="00931938" w:rsidRPr="00654762" w:rsidRDefault="00931938" w:rsidP="00457045">
      <w:pPr>
        <w:pStyle w:val="01-TtulodeNota"/>
        <w:jc w:val="left"/>
        <w:rPr>
          <w:color w:val="1F4E79" w:themeColor="accent1" w:themeShade="80"/>
          <w:lang w:val="en-US"/>
        </w:rPr>
      </w:pPr>
      <w:r w:rsidRPr="00654762">
        <w:rPr>
          <w:b w:val="0"/>
          <w:sz w:val="18"/>
          <w:szCs w:val="18"/>
          <w:lang w:val="en-US"/>
        </w:rPr>
        <w:t>There are no service costs provided in Parent</w:t>
      </w:r>
      <w:r>
        <w:rPr>
          <w:b w:val="0"/>
          <w:sz w:val="18"/>
          <w:szCs w:val="18"/>
          <w:lang w:val="en-US"/>
        </w:rPr>
        <w:t>.</w:t>
      </w:r>
    </w:p>
    <w:p w14:paraId="1E5701A3" w14:textId="79F00EEC" w:rsidR="00931938" w:rsidRPr="00D3472F" w:rsidRDefault="00931938" w:rsidP="00FC4475">
      <w:pPr>
        <w:pStyle w:val="Ttulo1"/>
      </w:pPr>
      <w:bookmarkStart w:id="37" w:name="_Toc126781101"/>
      <w:r w:rsidRPr="00D3472F">
        <w:t>10 – PERSONNEL EXPENSES</w:t>
      </w:r>
      <w:bookmarkEnd w:id="37"/>
    </w:p>
    <w:p w14:paraId="0AE68ABB" w14:textId="77777777" w:rsidR="00931938" w:rsidRPr="002A40FF" w:rsidRDefault="00931938" w:rsidP="00BC2FBE">
      <w:pPr>
        <w:pStyle w:val="01-TtulodeNota"/>
        <w:spacing w:before="0" w:after="0"/>
        <w:jc w:val="right"/>
        <w:rPr>
          <w:rFonts w:cs="Arial"/>
          <w:sz w:val="14"/>
          <w:szCs w:val="14"/>
        </w:rPr>
      </w:pPr>
      <w:bookmarkStart w:id="38" w:name="_Hlk109722255"/>
      <w:r w:rsidRPr="002A40FF">
        <w:rPr>
          <w:rFonts w:cs="Arial"/>
          <w:sz w:val="14"/>
          <w:szCs w:val="14"/>
        </w:rPr>
        <w:t>R$ thousand</w:t>
      </w:r>
    </w:p>
    <w:tbl>
      <w:tblPr>
        <w:tblStyle w:val="TabeladeLista6Colorida-nfase510"/>
        <w:tblW w:w="9639" w:type="dxa"/>
        <w:tblInd w:w="108" w:type="dxa"/>
        <w:tblLook w:val="04A0" w:firstRow="1" w:lastRow="0" w:firstColumn="1" w:lastColumn="0" w:noHBand="0" w:noVBand="1"/>
      </w:tblPr>
      <w:tblGrid>
        <w:gridCol w:w="850"/>
        <w:gridCol w:w="2244"/>
        <w:gridCol w:w="604"/>
        <w:gridCol w:w="1411"/>
        <w:gridCol w:w="1412"/>
        <w:gridCol w:w="283"/>
        <w:gridCol w:w="1417"/>
        <w:gridCol w:w="1418"/>
      </w:tblGrid>
      <w:tr w:rsidR="00931938" w:rsidRPr="002A40FF" w14:paraId="0384B969" w14:textId="77777777" w:rsidTr="00FF6B42">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1F4E79" w:themeColor="accent1" w:themeShade="80"/>
              <w:bottom w:val="nil"/>
            </w:tcBorders>
            <w:shd w:val="clear" w:color="auto" w:fill="auto"/>
          </w:tcPr>
          <w:p w14:paraId="4964EA78" w14:textId="77777777" w:rsidR="00931938" w:rsidRPr="002A40FF" w:rsidRDefault="00931938" w:rsidP="00994400">
            <w:pPr>
              <w:pStyle w:val="08-Tabelageral"/>
              <w:jc w:val="center"/>
              <w:rPr>
                <w:rFonts w:cs="Arial"/>
                <w:szCs w:val="14"/>
              </w:rPr>
            </w:pPr>
            <w:bookmarkStart w:id="39" w:name="_Hlk109722238"/>
            <w:bookmarkEnd w:id="38"/>
          </w:p>
        </w:tc>
        <w:tc>
          <w:tcPr>
            <w:tcW w:w="2848" w:type="dxa"/>
            <w:gridSpan w:val="2"/>
            <w:tcBorders>
              <w:top w:val="single" w:sz="2" w:space="0" w:color="1F4E79" w:themeColor="accent1" w:themeShade="80"/>
              <w:bottom w:val="nil"/>
            </w:tcBorders>
            <w:shd w:val="clear" w:color="auto" w:fill="auto"/>
          </w:tcPr>
          <w:p w14:paraId="3F83E2D2" w14:textId="77777777" w:rsidR="00931938" w:rsidRPr="002A40FF" w:rsidRDefault="00931938" w:rsidP="00994400">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23" w:type="dxa"/>
            <w:gridSpan w:val="2"/>
            <w:tcBorders>
              <w:top w:val="single" w:sz="2" w:space="0" w:color="1F4E79" w:themeColor="accent1" w:themeShade="80"/>
              <w:bottom w:val="single" w:sz="4" w:space="0" w:color="1F4E79" w:themeColor="accent1" w:themeShade="80"/>
            </w:tcBorders>
            <w:shd w:val="clear" w:color="auto" w:fill="auto"/>
            <w:vAlign w:val="center"/>
          </w:tcPr>
          <w:p w14:paraId="41A17B57" w14:textId="77777777" w:rsidR="00931938" w:rsidRPr="002A40FF" w:rsidRDefault="00931938" w:rsidP="003B3F20">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2A40FF">
              <w:rPr>
                <w:rFonts w:cs="Arial"/>
                <w:szCs w:val="14"/>
              </w:rPr>
              <w:t>Parent</w:t>
            </w:r>
          </w:p>
        </w:tc>
        <w:tc>
          <w:tcPr>
            <w:tcW w:w="283" w:type="dxa"/>
            <w:tcBorders>
              <w:top w:val="single" w:sz="2" w:space="0" w:color="1F4E79" w:themeColor="accent1" w:themeShade="80"/>
              <w:bottom w:val="nil"/>
            </w:tcBorders>
            <w:shd w:val="clear" w:color="auto" w:fill="auto"/>
            <w:vAlign w:val="center"/>
          </w:tcPr>
          <w:p w14:paraId="6B058568" w14:textId="77777777" w:rsidR="00931938" w:rsidRPr="002A40FF" w:rsidRDefault="00931938" w:rsidP="003B3F20">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835" w:type="dxa"/>
            <w:gridSpan w:val="2"/>
            <w:tcBorders>
              <w:top w:val="single" w:sz="2" w:space="0" w:color="1F4E79" w:themeColor="accent1" w:themeShade="80"/>
              <w:bottom w:val="single" w:sz="4" w:space="0" w:color="1F4E79" w:themeColor="accent1" w:themeShade="80"/>
            </w:tcBorders>
            <w:shd w:val="clear" w:color="auto" w:fill="auto"/>
            <w:vAlign w:val="center"/>
          </w:tcPr>
          <w:p w14:paraId="4DDBC797" w14:textId="77777777" w:rsidR="00931938" w:rsidRPr="002A40FF" w:rsidRDefault="00931938" w:rsidP="003B3F20">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2A40FF">
              <w:rPr>
                <w:rFonts w:cs="Arial"/>
                <w:szCs w:val="14"/>
              </w:rPr>
              <w:t>Consolidated</w:t>
            </w:r>
          </w:p>
        </w:tc>
      </w:tr>
      <w:tr w:rsidR="00931938" w:rsidRPr="002A40FF" w14:paraId="3544E64F" w14:textId="77777777" w:rsidTr="008A030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4E79" w:themeColor="accent1" w:themeShade="80"/>
            </w:tcBorders>
            <w:shd w:val="clear" w:color="auto" w:fill="auto"/>
          </w:tcPr>
          <w:p w14:paraId="15C9A48C" w14:textId="77777777" w:rsidR="00931938" w:rsidRPr="002A40FF" w:rsidRDefault="00931938" w:rsidP="005A7428">
            <w:pPr>
              <w:keepNext/>
              <w:keepLines/>
              <w:spacing w:before="40" w:after="40"/>
              <w:rPr>
                <w:rFonts w:cs="Arial"/>
                <w:spacing w:val="-2"/>
                <w:sz w:val="14"/>
                <w:szCs w:val="14"/>
              </w:rPr>
            </w:pPr>
          </w:p>
        </w:tc>
        <w:tc>
          <w:tcPr>
            <w:tcW w:w="604" w:type="dxa"/>
            <w:tcBorders>
              <w:top w:val="nil"/>
              <w:bottom w:val="single" w:sz="2" w:space="0" w:color="1F4E79" w:themeColor="accent1" w:themeShade="80"/>
            </w:tcBorders>
            <w:shd w:val="clear" w:color="auto" w:fill="auto"/>
          </w:tcPr>
          <w:p w14:paraId="73BA598F" w14:textId="77777777" w:rsidR="00931938" w:rsidRPr="002A40FF" w:rsidRDefault="00931938" w:rsidP="005A7428">
            <w:pPr>
              <w:keepNext/>
              <w:keepLines/>
              <w:spacing w:before="40" w:after="40"/>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1" w:type="dxa"/>
            <w:tcBorders>
              <w:top w:val="single" w:sz="4" w:space="0" w:color="1F4E79" w:themeColor="accent1" w:themeShade="80"/>
              <w:bottom w:val="single" w:sz="2" w:space="0" w:color="1F4E79" w:themeColor="accent1" w:themeShade="80"/>
            </w:tcBorders>
            <w:shd w:val="clear" w:color="auto" w:fill="auto"/>
          </w:tcPr>
          <w:p w14:paraId="4F0AC6D3" w14:textId="77777777" w:rsidR="00931938" w:rsidRPr="002A40FF" w:rsidRDefault="00931938" w:rsidP="005A7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Pr>
                <w:rFonts w:cs="Arial"/>
                <w:b/>
                <w:spacing w:val="-2"/>
                <w:sz w:val="14"/>
                <w:szCs w:val="14"/>
              </w:rPr>
              <w:t>2022</w:t>
            </w:r>
          </w:p>
        </w:tc>
        <w:tc>
          <w:tcPr>
            <w:tcW w:w="1412" w:type="dxa"/>
            <w:tcBorders>
              <w:top w:val="single" w:sz="4" w:space="0" w:color="1F4E79" w:themeColor="accent1" w:themeShade="80"/>
              <w:bottom w:val="single" w:sz="2" w:space="0" w:color="1F4E79" w:themeColor="accent1" w:themeShade="80"/>
            </w:tcBorders>
            <w:shd w:val="clear" w:color="auto" w:fill="auto"/>
          </w:tcPr>
          <w:p w14:paraId="6B7A5A80" w14:textId="77777777" w:rsidR="00931938" w:rsidRPr="002A40FF" w:rsidRDefault="00931938" w:rsidP="005A7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Pr>
                <w:rFonts w:cs="Arial"/>
                <w:b/>
                <w:spacing w:val="-2"/>
                <w:sz w:val="14"/>
                <w:szCs w:val="14"/>
              </w:rPr>
              <w:t>2021</w:t>
            </w:r>
          </w:p>
        </w:tc>
        <w:tc>
          <w:tcPr>
            <w:tcW w:w="283" w:type="dxa"/>
            <w:tcBorders>
              <w:top w:val="nil"/>
              <w:bottom w:val="single" w:sz="2" w:space="0" w:color="1F4E79" w:themeColor="accent1" w:themeShade="80"/>
            </w:tcBorders>
            <w:shd w:val="clear" w:color="auto" w:fill="auto"/>
            <w:vAlign w:val="center"/>
          </w:tcPr>
          <w:p w14:paraId="4FEED623" w14:textId="77777777" w:rsidR="00931938" w:rsidRPr="002A40FF" w:rsidRDefault="00931938" w:rsidP="005A7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7" w:type="dxa"/>
            <w:tcBorders>
              <w:top w:val="single" w:sz="4" w:space="0" w:color="1F4E79" w:themeColor="accent1" w:themeShade="80"/>
              <w:bottom w:val="single" w:sz="2" w:space="0" w:color="1F4E79" w:themeColor="accent1" w:themeShade="80"/>
            </w:tcBorders>
            <w:shd w:val="clear" w:color="auto" w:fill="auto"/>
          </w:tcPr>
          <w:p w14:paraId="1899DD73" w14:textId="77777777" w:rsidR="00931938" w:rsidRPr="002A40FF" w:rsidRDefault="00931938" w:rsidP="005A7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Pr>
                <w:rFonts w:cs="Arial"/>
                <w:b/>
                <w:spacing w:val="-2"/>
                <w:sz w:val="14"/>
                <w:szCs w:val="14"/>
              </w:rPr>
              <w:t>2022</w:t>
            </w:r>
          </w:p>
        </w:tc>
        <w:tc>
          <w:tcPr>
            <w:tcW w:w="1418" w:type="dxa"/>
            <w:tcBorders>
              <w:top w:val="single" w:sz="4" w:space="0" w:color="1F4E79" w:themeColor="accent1" w:themeShade="80"/>
              <w:bottom w:val="single" w:sz="2" w:space="0" w:color="1F4E79" w:themeColor="accent1" w:themeShade="80"/>
            </w:tcBorders>
            <w:shd w:val="clear" w:color="auto" w:fill="auto"/>
          </w:tcPr>
          <w:p w14:paraId="61D14B5C" w14:textId="77777777" w:rsidR="00931938" w:rsidRPr="002A40FF" w:rsidRDefault="00931938" w:rsidP="005A7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Pr>
                <w:rFonts w:cs="Arial"/>
                <w:b/>
                <w:spacing w:val="-2"/>
                <w:sz w:val="14"/>
                <w:szCs w:val="14"/>
              </w:rPr>
              <w:t>2021</w:t>
            </w:r>
          </w:p>
        </w:tc>
      </w:tr>
      <w:tr w:rsidR="00931938" w:rsidRPr="002A40FF" w14:paraId="772911A4" w14:textId="77777777" w:rsidTr="00E1332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1F4E79" w:themeColor="accent1" w:themeShade="80"/>
              <w:bottom w:val="nil"/>
            </w:tcBorders>
            <w:shd w:val="clear" w:color="auto" w:fill="auto"/>
            <w:vAlign w:val="center"/>
          </w:tcPr>
          <w:p w14:paraId="2F442F08" w14:textId="77777777" w:rsidR="00931938" w:rsidRPr="00EB5A17" w:rsidRDefault="00931938" w:rsidP="00F90906">
            <w:pPr>
              <w:pStyle w:val="08-Tabelageral"/>
              <w:jc w:val="left"/>
              <w:rPr>
                <w:b w:val="0"/>
                <w:bCs w:val="0"/>
              </w:rPr>
            </w:pPr>
            <w:r w:rsidRPr="00EB5A17">
              <w:rPr>
                <w:b w:val="0"/>
                <w:bCs w:val="0"/>
              </w:rPr>
              <w:t xml:space="preserve">Salaries </w:t>
            </w:r>
          </w:p>
        </w:tc>
        <w:tc>
          <w:tcPr>
            <w:tcW w:w="604" w:type="dxa"/>
            <w:tcBorders>
              <w:top w:val="single" w:sz="2" w:space="0" w:color="1F4E79" w:themeColor="accent1" w:themeShade="80"/>
              <w:bottom w:val="nil"/>
            </w:tcBorders>
            <w:shd w:val="clear" w:color="auto" w:fill="auto"/>
            <w:vAlign w:val="center"/>
          </w:tcPr>
          <w:p w14:paraId="65CD0093" w14:textId="77777777" w:rsidR="00931938" w:rsidRPr="00EB5A17" w:rsidRDefault="00931938" w:rsidP="00F90906">
            <w:pPr>
              <w:pStyle w:val="08-Tabelageral"/>
              <w:cnfStyle w:val="000000010000" w:firstRow="0" w:lastRow="0" w:firstColumn="0" w:lastColumn="0" w:oddVBand="0" w:evenVBand="0" w:oddHBand="0" w:evenHBand="1" w:firstRowFirstColumn="0" w:firstRowLastColumn="0" w:lastRowFirstColumn="0" w:lastRowLastColumn="0"/>
            </w:pPr>
            <w:r>
              <w:t xml:space="preserve">  </w:t>
            </w:r>
          </w:p>
        </w:tc>
        <w:tc>
          <w:tcPr>
            <w:tcW w:w="1411" w:type="dxa"/>
            <w:tcBorders>
              <w:top w:val="single" w:sz="2" w:space="0" w:color="1F4E79" w:themeColor="accent1" w:themeShade="80"/>
              <w:bottom w:val="nil"/>
            </w:tcBorders>
            <w:shd w:val="clear" w:color="auto" w:fill="auto"/>
            <w:vAlign w:val="center"/>
          </w:tcPr>
          <w:p w14:paraId="049BE9DD"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(7,951)</w:t>
            </w:r>
          </w:p>
        </w:tc>
        <w:tc>
          <w:tcPr>
            <w:tcW w:w="1412" w:type="dxa"/>
            <w:tcBorders>
              <w:top w:val="single" w:sz="2" w:space="0" w:color="1F4E79" w:themeColor="accent1" w:themeShade="80"/>
              <w:bottom w:val="nil"/>
            </w:tcBorders>
            <w:shd w:val="clear" w:color="auto" w:fill="auto"/>
            <w:vAlign w:val="center"/>
          </w:tcPr>
          <w:p w14:paraId="6C676A52"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sidRPr="000925DE">
              <w:t>(6</w:t>
            </w:r>
            <w:r>
              <w:t>,</w:t>
            </w:r>
            <w:r w:rsidRPr="000925DE">
              <w:t>436)</w:t>
            </w:r>
          </w:p>
        </w:tc>
        <w:tc>
          <w:tcPr>
            <w:tcW w:w="283" w:type="dxa"/>
            <w:tcBorders>
              <w:top w:val="single" w:sz="2" w:space="0" w:color="1F4E79" w:themeColor="accent1" w:themeShade="80"/>
              <w:bottom w:val="nil"/>
            </w:tcBorders>
            <w:shd w:val="clear" w:color="auto" w:fill="auto"/>
            <w:vAlign w:val="center"/>
          </w:tcPr>
          <w:p w14:paraId="5666BDFB"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tcBorders>
              <w:top w:val="single" w:sz="2" w:space="0" w:color="1F4E79" w:themeColor="accent1" w:themeShade="80"/>
              <w:bottom w:val="nil"/>
            </w:tcBorders>
            <w:shd w:val="clear" w:color="auto" w:fill="auto"/>
            <w:vAlign w:val="center"/>
          </w:tcPr>
          <w:p w14:paraId="3E931921"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(41,556)</w:t>
            </w:r>
          </w:p>
        </w:tc>
        <w:tc>
          <w:tcPr>
            <w:tcW w:w="1418" w:type="dxa"/>
            <w:tcBorders>
              <w:top w:val="single" w:sz="2" w:space="0" w:color="1F4E79" w:themeColor="accent1" w:themeShade="80"/>
              <w:bottom w:val="nil"/>
            </w:tcBorders>
            <w:shd w:val="clear" w:color="auto" w:fill="auto"/>
            <w:vAlign w:val="center"/>
          </w:tcPr>
          <w:p w14:paraId="2C37E3C0"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sidRPr="00B97E40">
              <w:t>(36</w:t>
            </w:r>
            <w:r>
              <w:t>,</w:t>
            </w:r>
            <w:r w:rsidRPr="00B97E40">
              <w:t>138)</w:t>
            </w:r>
          </w:p>
        </w:tc>
      </w:tr>
      <w:tr w:rsidR="00931938" w:rsidRPr="002A40FF" w14:paraId="3155DDF0" w14:textId="77777777" w:rsidTr="00E1332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7D96B90F" w14:textId="77777777" w:rsidR="00931938" w:rsidRPr="00EB5A17" w:rsidRDefault="00931938" w:rsidP="00F90906">
            <w:pPr>
              <w:pStyle w:val="08-Tabelageral"/>
              <w:jc w:val="left"/>
              <w:rPr>
                <w:b w:val="0"/>
                <w:bCs w:val="0"/>
              </w:rPr>
            </w:pPr>
            <w:r w:rsidRPr="00EB5A17">
              <w:rPr>
                <w:b w:val="0"/>
                <w:bCs w:val="0"/>
              </w:rPr>
              <w:t>Social security costs</w:t>
            </w:r>
          </w:p>
        </w:tc>
        <w:tc>
          <w:tcPr>
            <w:tcW w:w="604" w:type="dxa"/>
            <w:tcBorders>
              <w:top w:val="nil"/>
              <w:bottom w:val="nil"/>
            </w:tcBorders>
            <w:shd w:val="clear" w:color="auto" w:fill="auto"/>
            <w:vAlign w:val="center"/>
          </w:tcPr>
          <w:p w14:paraId="1A4677A7" w14:textId="77777777" w:rsidR="00931938" w:rsidRPr="00EB5A17" w:rsidRDefault="00931938" w:rsidP="00F90906">
            <w:pPr>
              <w:pStyle w:val="08-Tabelageral"/>
              <w:cnfStyle w:val="000000100000" w:firstRow="0" w:lastRow="0" w:firstColumn="0" w:lastColumn="0" w:oddVBand="0" w:evenVBand="0" w:oddHBand="1" w:evenHBand="0" w:firstRowFirstColumn="0" w:firstRowLastColumn="0" w:lastRowFirstColumn="0" w:lastRowLastColumn="0"/>
            </w:pPr>
          </w:p>
        </w:tc>
        <w:tc>
          <w:tcPr>
            <w:tcW w:w="1411" w:type="dxa"/>
            <w:tcBorders>
              <w:top w:val="nil"/>
            </w:tcBorders>
            <w:shd w:val="clear" w:color="auto" w:fill="auto"/>
            <w:vAlign w:val="center"/>
          </w:tcPr>
          <w:p w14:paraId="1C68F73F" w14:textId="77777777" w:rsidR="00931938" w:rsidRPr="0039352D" w:rsidRDefault="00931938" w:rsidP="00E1332A">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(4,156)</w:t>
            </w:r>
          </w:p>
        </w:tc>
        <w:tc>
          <w:tcPr>
            <w:tcW w:w="1412" w:type="dxa"/>
            <w:tcBorders>
              <w:top w:val="nil"/>
            </w:tcBorders>
            <w:shd w:val="clear" w:color="auto" w:fill="auto"/>
            <w:vAlign w:val="center"/>
          </w:tcPr>
          <w:p w14:paraId="01E1DA7F" w14:textId="77777777" w:rsidR="00931938" w:rsidRPr="0039352D" w:rsidRDefault="00931938" w:rsidP="00E1332A">
            <w:pPr>
              <w:pStyle w:val="08-Tabelageral"/>
              <w:cnfStyle w:val="000000100000" w:firstRow="0" w:lastRow="0" w:firstColumn="0" w:lastColumn="0" w:oddVBand="0" w:evenVBand="0" w:oddHBand="1" w:evenHBand="0" w:firstRowFirstColumn="0" w:firstRowLastColumn="0" w:lastRowFirstColumn="0" w:lastRowLastColumn="0"/>
            </w:pPr>
            <w:r w:rsidRPr="000925DE">
              <w:t>(3</w:t>
            </w:r>
            <w:r>
              <w:t>,</w:t>
            </w:r>
            <w:r w:rsidRPr="000925DE">
              <w:t>236)</w:t>
            </w:r>
          </w:p>
        </w:tc>
        <w:tc>
          <w:tcPr>
            <w:tcW w:w="283" w:type="dxa"/>
            <w:tcBorders>
              <w:top w:val="nil"/>
            </w:tcBorders>
            <w:shd w:val="clear" w:color="auto" w:fill="auto"/>
            <w:vAlign w:val="center"/>
          </w:tcPr>
          <w:p w14:paraId="5087ECDD" w14:textId="77777777" w:rsidR="00931938" w:rsidRPr="0039352D" w:rsidRDefault="00931938" w:rsidP="00E1332A">
            <w:pPr>
              <w:pStyle w:val="08-Tabelageral"/>
              <w:cnfStyle w:val="000000100000" w:firstRow="0" w:lastRow="0" w:firstColumn="0" w:lastColumn="0" w:oddVBand="0" w:evenVBand="0" w:oddHBand="1" w:evenHBand="0" w:firstRowFirstColumn="0" w:firstRowLastColumn="0" w:lastRowFirstColumn="0" w:lastRowLastColumn="0"/>
            </w:pPr>
          </w:p>
        </w:tc>
        <w:tc>
          <w:tcPr>
            <w:tcW w:w="1417" w:type="dxa"/>
            <w:tcBorders>
              <w:top w:val="nil"/>
            </w:tcBorders>
            <w:shd w:val="clear" w:color="auto" w:fill="auto"/>
            <w:vAlign w:val="center"/>
          </w:tcPr>
          <w:p w14:paraId="0996B302" w14:textId="77777777" w:rsidR="00931938" w:rsidRPr="0039352D" w:rsidRDefault="00931938" w:rsidP="00E1332A">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(20,713)</w:t>
            </w:r>
          </w:p>
        </w:tc>
        <w:tc>
          <w:tcPr>
            <w:tcW w:w="1418" w:type="dxa"/>
            <w:tcBorders>
              <w:top w:val="nil"/>
            </w:tcBorders>
            <w:shd w:val="clear" w:color="auto" w:fill="auto"/>
            <w:vAlign w:val="center"/>
          </w:tcPr>
          <w:p w14:paraId="755DFA3D" w14:textId="77777777" w:rsidR="00931938" w:rsidRPr="0039352D" w:rsidRDefault="00931938" w:rsidP="00E1332A">
            <w:pPr>
              <w:pStyle w:val="08-Tabelageral"/>
              <w:cnfStyle w:val="000000100000" w:firstRow="0" w:lastRow="0" w:firstColumn="0" w:lastColumn="0" w:oddVBand="0" w:evenVBand="0" w:oddHBand="1" w:evenHBand="0" w:firstRowFirstColumn="0" w:firstRowLastColumn="0" w:lastRowFirstColumn="0" w:lastRowLastColumn="0"/>
            </w:pPr>
            <w:r w:rsidRPr="00B97E40">
              <w:t>(17</w:t>
            </w:r>
            <w:r>
              <w:t>,</w:t>
            </w:r>
            <w:r w:rsidRPr="00B97E40">
              <w:t>133)</w:t>
            </w:r>
          </w:p>
        </w:tc>
      </w:tr>
      <w:tr w:rsidR="00931938" w:rsidRPr="002A40FF" w14:paraId="2B1137D2" w14:textId="77777777" w:rsidTr="00E1332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shd w:val="clear" w:color="auto" w:fill="auto"/>
            <w:vAlign w:val="center"/>
          </w:tcPr>
          <w:p w14:paraId="463009B1" w14:textId="77777777" w:rsidR="00931938" w:rsidRPr="00EB5A17" w:rsidRDefault="00931938" w:rsidP="00F90906">
            <w:pPr>
              <w:pStyle w:val="08-Tabelageral"/>
              <w:jc w:val="left"/>
              <w:rPr>
                <w:b w:val="0"/>
                <w:bCs w:val="0"/>
              </w:rPr>
            </w:pPr>
            <w:r w:rsidRPr="00EB5A17">
              <w:rPr>
                <w:b w:val="0"/>
                <w:bCs w:val="0"/>
              </w:rPr>
              <w:t>Benefits</w:t>
            </w:r>
          </w:p>
        </w:tc>
        <w:tc>
          <w:tcPr>
            <w:tcW w:w="604" w:type="dxa"/>
            <w:shd w:val="clear" w:color="auto" w:fill="auto"/>
          </w:tcPr>
          <w:p w14:paraId="3BF0AC69" w14:textId="77777777" w:rsidR="00931938" w:rsidRPr="00EB5A17" w:rsidRDefault="00931938" w:rsidP="00F90906">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vAlign w:val="center"/>
          </w:tcPr>
          <w:p w14:paraId="1B12FB35"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(1,238)</w:t>
            </w:r>
          </w:p>
        </w:tc>
        <w:tc>
          <w:tcPr>
            <w:tcW w:w="1412" w:type="dxa"/>
            <w:shd w:val="clear" w:color="auto" w:fill="auto"/>
            <w:vAlign w:val="center"/>
          </w:tcPr>
          <w:p w14:paraId="423BE989"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sidRPr="000925DE">
              <w:t>(1</w:t>
            </w:r>
            <w:r>
              <w:t>,</w:t>
            </w:r>
            <w:r w:rsidRPr="000925DE">
              <w:t>439)</w:t>
            </w:r>
          </w:p>
        </w:tc>
        <w:tc>
          <w:tcPr>
            <w:tcW w:w="283" w:type="dxa"/>
            <w:shd w:val="clear" w:color="auto" w:fill="auto"/>
            <w:vAlign w:val="center"/>
          </w:tcPr>
          <w:p w14:paraId="0F7AF8FA"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vAlign w:val="center"/>
          </w:tcPr>
          <w:p w14:paraId="7BAE37E1"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(7,134)</w:t>
            </w:r>
          </w:p>
        </w:tc>
        <w:tc>
          <w:tcPr>
            <w:tcW w:w="1418" w:type="dxa"/>
            <w:shd w:val="clear" w:color="auto" w:fill="auto"/>
            <w:vAlign w:val="center"/>
          </w:tcPr>
          <w:p w14:paraId="65A2A141"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sidRPr="00B97E40">
              <w:t>(3</w:t>
            </w:r>
            <w:r>
              <w:t>,</w:t>
            </w:r>
            <w:r w:rsidRPr="00B97E40">
              <w:t>665)</w:t>
            </w:r>
          </w:p>
        </w:tc>
      </w:tr>
      <w:tr w:rsidR="00931938" w:rsidRPr="002A40FF" w14:paraId="00A631F5" w14:textId="77777777" w:rsidTr="00E1332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4E973AC5" w14:textId="77777777" w:rsidR="00931938" w:rsidRPr="00EB5A17" w:rsidRDefault="00931938" w:rsidP="00F90906">
            <w:pPr>
              <w:pStyle w:val="08-Tabelageral"/>
              <w:jc w:val="left"/>
              <w:rPr>
                <w:b w:val="0"/>
                <w:bCs w:val="0"/>
              </w:rPr>
            </w:pPr>
            <w:r>
              <w:rPr>
                <w:b w:val="0"/>
                <w:bCs w:val="0"/>
              </w:rPr>
              <w:t xml:space="preserve">Fees </w:t>
            </w:r>
          </w:p>
        </w:tc>
        <w:tc>
          <w:tcPr>
            <w:tcW w:w="604" w:type="dxa"/>
            <w:tcBorders>
              <w:top w:val="nil"/>
              <w:bottom w:val="nil"/>
            </w:tcBorders>
            <w:shd w:val="clear" w:color="auto" w:fill="auto"/>
            <w:vAlign w:val="center"/>
          </w:tcPr>
          <w:p w14:paraId="1AB67C59" w14:textId="77777777" w:rsidR="00931938" w:rsidRPr="00EB5A17" w:rsidRDefault="00931938" w:rsidP="00F90906">
            <w:pPr>
              <w:pStyle w:val="08-Tabelageral"/>
              <w:cnfStyle w:val="000000100000" w:firstRow="0" w:lastRow="0" w:firstColumn="0" w:lastColumn="0" w:oddVBand="0" w:evenVBand="0" w:oddHBand="1" w:evenHBand="0" w:firstRowFirstColumn="0" w:firstRowLastColumn="0" w:lastRowFirstColumn="0" w:lastRowLastColumn="0"/>
            </w:pPr>
          </w:p>
        </w:tc>
        <w:tc>
          <w:tcPr>
            <w:tcW w:w="1411" w:type="dxa"/>
            <w:shd w:val="clear" w:color="auto" w:fill="auto"/>
            <w:vAlign w:val="center"/>
          </w:tcPr>
          <w:p w14:paraId="65CD2192" w14:textId="77777777" w:rsidR="00931938" w:rsidRPr="0039352D" w:rsidRDefault="00931938" w:rsidP="00E1332A">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(1,444)</w:t>
            </w:r>
          </w:p>
        </w:tc>
        <w:tc>
          <w:tcPr>
            <w:tcW w:w="1412" w:type="dxa"/>
            <w:shd w:val="clear" w:color="auto" w:fill="auto"/>
            <w:vAlign w:val="center"/>
          </w:tcPr>
          <w:p w14:paraId="098DC392" w14:textId="77777777" w:rsidR="00931938" w:rsidRPr="0039352D" w:rsidRDefault="00931938" w:rsidP="00E1332A">
            <w:pPr>
              <w:pStyle w:val="08-Tabelageral"/>
              <w:cnfStyle w:val="000000100000" w:firstRow="0" w:lastRow="0" w:firstColumn="0" w:lastColumn="0" w:oddVBand="0" w:evenVBand="0" w:oddHBand="1" w:evenHBand="0" w:firstRowFirstColumn="0" w:firstRowLastColumn="0" w:lastRowFirstColumn="0" w:lastRowLastColumn="0"/>
            </w:pPr>
            <w:r w:rsidRPr="000925DE">
              <w:t>(929)</w:t>
            </w:r>
          </w:p>
        </w:tc>
        <w:tc>
          <w:tcPr>
            <w:tcW w:w="283" w:type="dxa"/>
            <w:shd w:val="clear" w:color="auto" w:fill="auto"/>
            <w:vAlign w:val="center"/>
          </w:tcPr>
          <w:p w14:paraId="1E94703D" w14:textId="77777777" w:rsidR="00931938" w:rsidRPr="0039352D" w:rsidRDefault="00931938" w:rsidP="00E1332A">
            <w:pPr>
              <w:pStyle w:val="08-Tabelageral"/>
              <w:cnfStyle w:val="000000100000" w:firstRow="0" w:lastRow="0" w:firstColumn="0" w:lastColumn="0" w:oddVBand="0" w:evenVBand="0" w:oddHBand="1" w:evenHBand="0" w:firstRowFirstColumn="0" w:firstRowLastColumn="0" w:lastRowFirstColumn="0" w:lastRowLastColumn="0"/>
            </w:pPr>
          </w:p>
        </w:tc>
        <w:tc>
          <w:tcPr>
            <w:tcW w:w="1417" w:type="dxa"/>
            <w:shd w:val="clear" w:color="auto" w:fill="auto"/>
            <w:vAlign w:val="center"/>
          </w:tcPr>
          <w:p w14:paraId="3FA2907A" w14:textId="77777777" w:rsidR="00931938" w:rsidRPr="0039352D" w:rsidRDefault="00931938" w:rsidP="00E1332A">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(4,073)</w:t>
            </w:r>
          </w:p>
        </w:tc>
        <w:tc>
          <w:tcPr>
            <w:tcW w:w="1418" w:type="dxa"/>
            <w:shd w:val="clear" w:color="auto" w:fill="auto"/>
            <w:vAlign w:val="center"/>
          </w:tcPr>
          <w:p w14:paraId="5A8D7AA0" w14:textId="77777777" w:rsidR="00931938" w:rsidRPr="0039352D" w:rsidRDefault="00931938" w:rsidP="00E1332A">
            <w:pPr>
              <w:pStyle w:val="08-Tabelageral"/>
              <w:cnfStyle w:val="000000100000" w:firstRow="0" w:lastRow="0" w:firstColumn="0" w:lastColumn="0" w:oddVBand="0" w:evenVBand="0" w:oddHBand="1" w:evenHBand="0" w:firstRowFirstColumn="0" w:firstRowLastColumn="0" w:lastRowFirstColumn="0" w:lastRowLastColumn="0"/>
            </w:pPr>
            <w:r w:rsidRPr="00B97E40">
              <w:t>(5</w:t>
            </w:r>
            <w:r>
              <w:t>,</w:t>
            </w:r>
            <w:r w:rsidRPr="00B97E40">
              <w:t>497)</w:t>
            </w:r>
          </w:p>
        </w:tc>
      </w:tr>
      <w:tr w:rsidR="00931938" w:rsidRPr="002A40FF" w14:paraId="52ED1456" w14:textId="77777777" w:rsidTr="00E1332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02D731B7" w14:textId="77777777" w:rsidR="00931938" w:rsidRPr="00EB5A17" w:rsidRDefault="00931938" w:rsidP="00F90906">
            <w:pPr>
              <w:pStyle w:val="08-Tabelageral"/>
              <w:jc w:val="left"/>
              <w:rPr>
                <w:b w:val="0"/>
                <w:bCs w:val="0"/>
              </w:rPr>
            </w:pPr>
            <w:r w:rsidRPr="00EB5A17">
              <w:rPr>
                <w:b w:val="0"/>
                <w:bCs w:val="0"/>
              </w:rPr>
              <w:t>Training</w:t>
            </w:r>
          </w:p>
        </w:tc>
        <w:tc>
          <w:tcPr>
            <w:tcW w:w="604" w:type="dxa"/>
            <w:tcBorders>
              <w:top w:val="nil"/>
              <w:bottom w:val="nil"/>
            </w:tcBorders>
            <w:shd w:val="clear" w:color="auto" w:fill="auto"/>
            <w:vAlign w:val="center"/>
          </w:tcPr>
          <w:p w14:paraId="149AE551" w14:textId="77777777" w:rsidR="00931938" w:rsidRPr="00EB5A17" w:rsidRDefault="00931938" w:rsidP="00F90906">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tcBorders>
              <w:bottom w:val="nil"/>
            </w:tcBorders>
            <w:shd w:val="clear" w:color="auto" w:fill="auto"/>
            <w:vAlign w:val="center"/>
          </w:tcPr>
          <w:p w14:paraId="155C1D5E"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(166)</w:t>
            </w:r>
          </w:p>
        </w:tc>
        <w:tc>
          <w:tcPr>
            <w:tcW w:w="1412" w:type="dxa"/>
            <w:tcBorders>
              <w:bottom w:val="nil"/>
            </w:tcBorders>
            <w:shd w:val="clear" w:color="auto" w:fill="auto"/>
            <w:vAlign w:val="center"/>
          </w:tcPr>
          <w:p w14:paraId="09DF6E8A"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sidRPr="000925DE">
              <w:t>(127)</w:t>
            </w:r>
          </w:p>
        </w:tc>
        <w:tc>
          <w:tcPr>
            <w:tcW w:w="283" w:type="dxa"/>
            <w:tcBorders>
              <w:bottom w:val="nil"/>
            </w:tcBorders>
            <w:shd w:val="clear" w:color="auto" w:fill="auto"/>
            <w:vAlign w:val="center"/>
          </w:tcPr>
          <w:p w14:paraId="5BA0559F"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tcBorders>
              <w:bottom w:val="nil"/>
            </w:tcBorders>
            <w:shd w:val="clear" w:color="auto" w:fill="auto"/>
            <w:vAlign w:val="center"/>
          </w:tcPr>
          <w:p w14:paraId="3101A0C6"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Pr>
                <w:rFonts w:cs="Arial"/>
                <w:szCs w:val="14"/>
              </w:rPr>
              <w:t>(1,037)</w:t>
            </w:r>
          </w:p>
        </w:tc>
        <w:tc>
          <w:tcPr>
            <w:tcW w:w="1418" w:type="dxa"/>
            <w:tcBorders>
              <w:bottom w:val="nil"/>
            </w:tcBorders>
            <w:shd w:val="clear" w:color="auto" w:fill="auto"/>
            <w:vAlign w:val="center"/>
          </w:tcPr>
          <w:p w14:paraId="26818C38" w14:textId="77777777" w:rsidR="00931938" w:rsidRPr="0039352D" w:rsidRDefault="00931938" w:rsidP="00E1332A">
            <w:pPr>
              <w:pStyle w:val="08-Tabelageral"/>
              <w:cnfStyle w:val="000000010000" w:firstRow="0" w:lastRow="0" w:firstColumn="0" w:lastColumn="0" w:oddVBand="0" w:evenVBand="0" w:oddHBand="0" w:evenHBand="1" w:firstRowFirstColumn="0" w:firstRowLastColumn="0" w:lastRowFirstColumn="0" w:lastRowLastColumn="0"/>
            </w:pPr>
            <w:r w:rsidRPr="00B97E40">
              <w:t>(681)</w:t>
            </w:r>
          </w:p>
        </w:tc>
      </w:tr>
      <w:tr w:rsidR="00931938" w:rsidRPr="004421F9" w14:paraId="3F8E2D1B" w14:textId="77777777" w:rsidTr="00E1332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4E79" w:themeColor="accent1" w:themeShade="80"/>
            </w:tcBorders>
            <w:shd w:val="clear" w:color="auto" w:fill="auto"/>
            <w:vAlign w:val="center"/>
          </w:tcPr>
          <w:p w14:paraId="6C3218D5" w14:textId="77777777" w:rsidR="00931938" w:rsidRPr="004421F9" w:rsidRDefault="00931938" w:rsidP="00F90906">
            <w:pPr>
              <w:pStyle w:val="08-Tabelageral"/>
              <w:jc w:val="left"/>
            </w:pPr>
            <w:r w:rsidRPr="004421F9">
              <w:t>Total</w:t>
            </w:r>
          </w:p>
        </w:tc>
        <w:tc>
          <w:tcPr>
            <w:tcW w:w="604" w:type="dxa"/>
            <w:tcBorders>
              <w:top w:val="nil"/>
              <w:bottom w:val="single" w:sz="2" w:space="0" w:color="1F4E79" w:themeColor="accent1" w:themeShade="80"/>
            </w:tcBorders>
            <w:shd w:val="clear" w:color="auto" w:fill="auto"/>
            <w:vAlign w:val="center"/>
          </w:tcPr>
          <w:p w14:paraId="58EF8B4E" w14:textId="77777777" w:rsidR="00931938" w:rsidRPr="004421F9" w:rsidRDefault="00931938" w:rsidP="00F90906">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11" w:type="dxa"/>
            <w:tcBorders>
              <w:top w:val="nil"/>
              <w:bottom w:val="single" w:sz="2" w:space="0" w:color="1F4E79" w:themeColor="accent1" w:themeShade="80"/>
            </w:tcBorders>
            <w:shd w:val="clear" w:color="auto" w:fill="auto"/>
            <w:vAlign w:val="center"/>
          </w:tcPr>
          <w:p w14:paraId="78C006C6" w14:textId="77777777" w:rsidR="00931938" w:rsidRPr="004421F9" w:rsidRDefault="00931938" w:rsidP="00E1332A">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szCs w:val="14"/>
              </w:rPr>
              <w:t>(</w:t>
            </w:r>
            <w:r w:rsidRPr="00912FC7">
              <w:rPr>
                <w:rFonts w:cs="Arial"/>
                <w:b/>
                <w:szCs w:val="14"/>
              </w:rPr>
              <w:t>14</w:t>
            </w:r>
            <w:r>
              <w:rPr>
                <w:rFonts w:cs="Arial"/>
                <w:b/>
                <w:szCs w:val="14"/>
              </w:rPr>
              <w:t>,</w:t>
            </w:r>
            <w:r w:rsidRPr="00912FC7">
              <w:rPr>
                <w:rFonts w:cs="Arial"/>
                <w:b/>
                <w:szCs w:val="14"/>
              </w:rPr>
              <w:t>955</w:t>
            </w:r>
            <w:r>
              <w:rPr>
                <w:rFonts w:cs="Arial"/>
                <w:b/>
                <w:szCs w:val="14"/>
              </w:rPr>
              <w:t>)</w:t>
            </w:r>
          </w:p>
        </w:tc>
        <w:tc>
          <w:tcPr>
            <w:tcW w:w="1412" w:type="dxa"/>
            <w:tcBorders>
              <w:top w:val="nil"/>
              <w:bottom w:val="single" w:sz="2" w:space="0" w:color="1F4E79" w:themeColor="accent1" w:themeShade="80"/>
            </w:tcBorders>
            <w:shd w:val="clear" w:color="auto" w:fill="auto"/>
            <w:vAlign w:val="center"/>
          </w:tcPr>
          <w:p w14:paraId="79D0D928" w14:textId="77777777" w:rsidR="00931938" w:rsidRPr="004421F9" w:rsidRDefault="00931938" w:rsidP="00E1332A">
            <w:pPr>
              <w:pStyle w:val="08-Tabelageral"/>
              <w:cnfStyle w:val="000000100000" w:firstRow="0" w:lastRow="0" w:firstColumn="0" w:lastColumn="0" w:oddVBand="0" w:evenVBand="0" w:oddHBand="1" w:evenHBand="0" w:firstRowFirstColumn="0" w:firstRowLastColumn="0" w:lastRowFirstColumn="0" w:lastRowLastColumn="0"/>
              <w:rPr>
                <w:b/>
                <w:bCs/>
              </w:rPr>
            </w:pPr>
            <w:r w:rsidRPr="00912FC7">
              <w:rPr>
                <w:b/>
              </w:rPr>
              <w:t>(12</w:t>
            </w:r>
            <w:r>
              <w:rPr>
                <w:b/>
              </w:rPr>
              <w:t>,</w:t>
            </w:r>
            <w:r w:rsidRPr="00912FC7">
              <w:rPr>
                <w:b/>
              </w:rPr>
              <w:t>167)</w:t>
            </w:r>
          </w:p>
        </w:tc>
        <w:tc>
          <w:tcPr>
            <w:tcW w:w="283" w:type="dxa"/>
            <w:tcBorders>
              <w:top w:val="nil"/>
              <w:bottom w:val="single" w:sz="2" w:space="0" w:color="1F4E79" w:themeColor="accent1" w:themeShade="80"/>
            </w:tcBorders>
            <w:shd w:val="clear" w:color="auto" w:fill="auto"/>
            <w:vAlign w:val="center"/>
          </w:tcPr>
          <w:p w14:paraId="5C27BDDA" w14:textId="77777777" w:rsidR="00931938" w:rsidRPr="004421F9" w:rsidRDefault="00931938" w:rsidP="00E1332A">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417" w:type="dxa"/>
            <w:tcBorders>
              <w:top w:val="nil"/>
              <w:bottom w:val="single" w:sz="2" w:space="0" w:color="1F4E79" w:themeColor="accent1" w:themeShade="80"/>
            </w:tcBorders>
            <w:shd w:val="clear" w:color="auto" w:fill="auto"/>
            <w:vAlign w:val="center"/>
          </w:tcPr>
          <w:p w14:paraId="7BAB4ACE" w14:textId="77777777" w:rsidR="00931938" w:rsidRPr="004421F9" w:rsidRDefault="00931938" w:rsidP="00E1332A">
            <w:pPr>
              <w:pStyle w:val="08-Tabelageral"/>
              <w:cnfStyle w:val="000000100000" w:firstRow="0" w:lastRow="0" w:firstColumn="0" w:lastColumn="0" w:oddVBand="0" w:evenVBand="0" w:oddHBand="1" w:evenHBand="0" w:firstRowFirstColumn="0" w:firstRowLastColumn="0" w:lastRowFirstColumn="0" w:lastRowLastColumn="0"/>
              <w:rPr>
                <w:b/>
                <w:bCs/>
              </w:rPr>
            </w:pPr>
            <w:r w:rsidRPr="00912FC7">
              <w:rPr>
                <w:rFonts w:cs="Arial"/>
                <w:b/>
                <w:szCs w:val="14"/>
              </w:rPr>
              <w:t>(74</w:t>
            </w:r>
            <w:r>
              <w:rPr>
                <w:rFonts w:cs="Arial"/>
                <w:b/>
                <w:szCs w:val="14"/>
              </w:rPr>
              <w:t>,</w:t>
            </w:r>
            <w:r w:rsidRPr="00912FC7">
              <w:rPr>
                <w:rFonts w:cs="Arial"/>
                <w:b/>
                <w:szCs w:val="14"/>
              </w:rPr>
              <w:t>512)</w:t>
            </w:r>
          </w:p>
        </w:tc>
        <w:tc>
          <w:tcPr>
            <w:tcW w:w="1418" w:type="dxa"/>
            <w:tcBorders>
              <w:top w:val="nil"/>
              <w:bottom w:val="single" w:sz="2" w:space="0" w:color="1F4E79" w:themeColor="accent1" w:themeShade="80"/>
            </w:tcBorders>
            <w:shd w:val="clear" w:color="auto" w:fill="auto"/>
            <w:vAlign w:val="center"/>
          </w:tcPr>
          <w:p w14:paraId="7561AF47" w14:textId="77777777" w:rsidR="00931938" w:rsidRPr="004421F9" w:rsidRDefault="00931938" w:rsidP="00E1332A">
            <w:pPr>
              <w:pStyle w:val="08-Tabelageral"/>
              <w:cnfStyle w:val="000000100000" w:firstRow="0" w:lastRow="0" w:firstColumn="0" w:lastColumn="0" w:oddVBand="0" w:evenVBand="0" w:oddHBand="1" w:evenHBand="0" w:firstRowFirstColumn="0" w:firstRowLastColumn="0" w:lastRowFirstColumn="0" w:lastRowLastColumn="0"/>
              <w:rPr>
                <w:b/>
                <w:bCs/>
              </w:rPr>
            </w:pPr>
            <w:r w:rsidRPr="00912FC7">
              <w:rPr>
                <w:b/>
              </w:rPr>
              <w:t>(63</w:t>
            </w:r>
            <w:r>
              <w:rPr>
                <w:b/>
              </w:rPr>
              <w:t>,</w:t>
            </w:r>
            <w:r w:rsidRPr="00912FC7">
              <w:rPr>
                <w:b/>
              </w:rPr>
              <w:t>114)</w:t>
            </w:r>
          </w:p>
        </w:tc>
      </w:tr>
      <w:bookmarkEnd w:id="39"/>
    </w:tbl>
    <w:p w14:paraId="4C653774" w14:textId="77777777" w:rsidR="00931938" w:rsidRDefault="00931938" w:rsidP="00966253">
      <w:pPr>
        <w:pStyle w:val="01-TtulodeNota"/>
        <w:spacing w:before="0" w:after="0"/>
        <w:jc w:val="right"/>
        <w:rPr>
          <w:rFonts w:cs="Arial"/>
          <w:sz w:val="14"/>
          <w:szCs w:val="14"/>
        </w:rPr>
      </w:pPr>
    </w:p>
    <w:p w14:paraId="2A0BBBEF" w14:textId="23FDE130" w:rsidR="00931938" w:rsidRPr="00E60B12" w:rsidRDefault="00931938" w:rsidP="00FC4475">
      <w:pPr>
        <w:pStyle w:val="Ttulo1"/>
      </w:pPr>
      <w:bookmarkStart w:id="40" w:name="_Toc126781102"/>
      <w:r w:rsidRPr="00E60B12">
        <w:t>11 – ADMINISTRATIVE EXPENSES AND SALES</w:t>
      </w:r>
      <w:bookmarkEnd w:id="40"/>
    </w:p>
    <w:p w14:paraId="1F357939" w14:textId="77777777" w:rsidR="00931938" w:rsidRPr="000A40F5" w:rsidRDefault="00931938" w:rsidP="00FE2DBE">
      <w:pPr>
        <w:spacing w:after="0" w:line="240" w:lineRule="auto"/>
        <w:jc w:val="right"/>
        <w:rPr>
          <w:rFonts w:cs="Arial"/>
          <w:b/>
          <w:color w:val="0D0D0D" w:themeColor="text1" w:themeTint="F2"/>
          <w:sz w:val="14"/>
          <w:szCs w:val="14"/>
          <w:lang w:val="en-US"/>
        </w:rPr>
      </w:pPr>
      <w:r w:rsidRPr="000A40F5">
        <w:rPr>
          <w:rFonts w:cs="Arial"/>
          <w:b/>
          <w:color w:val="0D0D0D" w:themeColor="text1" w:themeTint="F2"/>
          <w:sz w:val="14"/>
          <w:szCs w:val="14"/>
          <w:lang w:val="en-US"/>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742"/>
        <w:gridCol w:w="2244"/>
        <w:gridCol w:w="417"/>
        <w:gridCol w:w="187"/>
        <w:gridCol w:w="1411"/>
        <w:gridCol w:w="1412"/>
        <w:gridCol w:w="251"/>
        <w:gridCol w:w="32"/>
        <w:gridCol w:w="1417"/>
        <w:gridCol w:w="1526"/>
      </w:tblGrid>
      <w:tr w:rsidR="00931938" w:rsidRPr="004078D0" w14:paraId="6422270A" w14:textId="77777777" w:rsidTr="00134866">
        <w:trPr>
          <w:trHeight w:val="238"/>
          <w:jc w:val="center"/>
        </w:trPr>
        <w:tc>
          <w:tcPr>
            <w:tcW w:w="742" w:type="dxa"/>
            <w:tcBorders>
              <w:top w:val="single" w:sz="2" w:space="0" w:color="1F4E79" w:themeColor="accent1" w:themeShade="80"/>
              <w:bottom w:val="nil"/>
            </w:tcBorders>
            <w:shd w:val="clear" w:color="auto" w:fill="auto"/>
          </w:tcPr>
          <w:p w14:paraId="6178386D" w14:textId="77777777" w:rsidR="00931938" w:rsidRPr="000A40F5" w:rsidRDefault="00931938" w:rsidP="00134866">
            <w:pPr>
              <w:keepNext/>
              <w:keepLines/>
              <w:spacing w:before="40" w:after="40"/>
              <w:jc w:val="center"/>
              <w:rPr>
                <w:rFonts w:cs="Arial"/>
                <w:b/>
                <w:bCs/>
                <w:spacing w:val="-2"/>
                <w:sz w:val="14"/>
                <w:szCs w:val="14"/>
                <w:lang w:val="en-US"/>
              </w:rPr>
            </w:pPr>
          </w:p>
        </w:tc>
        <w:tc>
          <w:tcPr>
            <w:tcW w:w="2848" w:type="dxa"/>
            <w:gridSpan w:val="3"/>
            <w:tcBorders>
              <w:top w:val="single" w:sz="2" w:space="0" w:color="1F4E79" w:themeColor="accent1" w:themeShade="80"/>
              <w:bottom w:val="nil"/>
            </w:tcBorders>
            <w:shd w:val="clear" w:color="auto" w:fill="auto"/>
          </w:tcPr>
          <w:p w14:paraId="5C199AB1" w14:textId="77777777" w:rsidR="00931938" w:rsidRPr="000A40F5" w:rsidRDefault="00931938" w:rsidP="00134866">
            <w:pPr>
              <w:keepNext/>
              <w:keepLines/>
              <w:spacing w:before="40" w:after="40"/>
              <w:jc w:val="center"/>
              <w:rPr>
                <w:rFonts w:cs="Arial"/>
                <w:b/>
                <w:spacing w:val="-2"/>
                <w:sz w:val="14"/>
                <w:szCs w:val="14"/>
                <w:lang w:val="en-US"/>
              </w:rPr>
            </w:pPr>
          </w:p>
        </w:tc>
        <w:tc>
          <w:tcPr>
            <w:tcW w:w="2823" w:type="dxa"/>
            <w:gridSpan w:val="2"/>
            <w:tcBorders>
              <w:top w:val="single" w:sz="2" w:space="0" w:color="1F4E79" w:themeColor="accent1" w:themeShade="80"/>
              <w:bottom w:val="single" w:sz="4" w:space="0" w:color="1F4E79" w:themeColor="accent1" w:themeShade="80"/>
            </w:tcBorders>
            <w:shd w:val="clear" w:color="auto" w:fill="auto"/>
            <w:vAlign w:val="center"/>
          </w:tcPr>
          <w:p w14:paraId="5D50641F" w14:textId="77777777" w:rsidR="00931938" w:rsidRPr="009D7709" w:rsidRDefault="00931938" w:rsidP="00134866">
            <w:pPr>
              <w:keepNext/>
              <w:keepLines/>
              <w:spacing w:before="40" w:after="40"/>
              <w:jc w:val="center"/>
              <w:rPr>
                <w:rFonts w:cs="Arial"/>
                <w:b/>
                <w:spacing w:val="-2"/>
                <w:sz w:val="14"/>
                <w:szCs w:val="14"/>
              </w:rPr>
            </w:pPr>
            <w:r w:rsidRPr="009D7709">
              <w:rPr>
                <w:rFonts w:cs="Arial"/>
                <w:b/>
                <w:sz w:val="14"/>
                <w:szCs w:val="14"/>
              </w:rPr>
              <w:t>Parent</w:t>
            </w:r>
          </w:p>
        </w:tc>
        <w:tc>
          <w:tcPr>
            <w:tcW w:w="283" w:type="dxa"/>
            <w:gridSpan w:val="2"/>
            <w:tcBorders>
              <w:top w:val="single" w:sz="2" w:space="0" w:color="1F4E79" w:themeColor="accent1" w:themeShade="80"/>
              <w:bottom w:val="nil"/>
            </w:tcBorders>
            <w:shd w:val="clear" w:color="auto" w:fill="auto"/>
            <w:vAlign w:val="center"/>
          </w:tcPr>
          <w:p w14:paraId="701DE1B6" w14:textId="77777777" w:rsidR="00931938" w:rsidRPr="009D7709" w:rsidRDefault="00931938" w:rsidP="00134866">
            <w:pPr>
              <w:keepNext/>
              <w:keepLines/>
              <w:spacing w:before="40" w:after="40"/>
              <w:jc w:val="center"/>
              <w:rPr>
                <w:rFonts w:cs="Arial"/>
                <w:b/>
                <w:bCs/>
                <w:spacing w:val="-2"/>
                <w:sz w:val="14"/>
                <w:szCs w:val="14"/>
              </w:rPr>
            </w:pPr>
          </w:p>
        </w:tc>
        <w:tc>
          <w:tcPr>
            <w:tcW w:w="2943" w:type="dxa"/>
            <w:gridSpan w:val="2"/>
            <w:tcBorders>
              <w:top w:val="single" w:sz="2" w:space="0" w:color="1F4E79" w:themeColor="accent1" w:themeShade="80"/>
              <w:bottom w:val="single" w:sz="4" w:space="0" w:color="1F4E79" w:themeColor="accent1" w:themeShade="80"/>
            </w:tcBorders>
            <w:shd w:val="clear" w:color="auto" w:fill="auto"/>
            <w:vAlign w:val="center"/>
          </w:tcPr>
          <w:p w14:paraId="4568E4E6" w14:textId="77777777" w:rsidR="00931938" w:rsidRPr="009D7709" w:rsidRDefault="00931938" w:rsidP="00134866">
            <w:pPr>
              <w:keepNext/>
              <w:keepLines/>
              <w:spacing w:before="40" w:after="40"/>
              <w:jc w:val="center"/>
              <w:rPr>
                <w:rFonts w:cs="Arial"/>
                <w:b/>
                <w:spacing w:val="-2"/>
                <w:sz w:val="14"/>
                <w:szCs w:val="14"/>
              </w:rPr>
            </w:pPr>
            <w:r w:rsidRPr="009D7709">
              <w:rPr>
                <w:rFonts w:cs="Arial"/>
                <w:b/>
                <w:sz w:val="14"/>
                <w:szCs w:val="14"/>
              </w:rPr>
              <w:t>Consolidated</w:t>
            </w:r>
          </w:p>
        </w:tc>
      </w:tr>
      <w:tr w:rsidR="00931938" w:rsidRPr="004078D0" w14:paraId="0A2D205F" w14:textId="77777777" w:rsidTr="00CA0318">
        <w:trPr>
          <w:trHeight w:val="238"/>
          <w:jc w:val="center"/>
        </w:trPr>
        <w:tc>
          <w:tcPr>
            <w:tcW w:w="2986" w:type="dxa"/>
            <w:gridSpan w:val="2"/>
            <w:tcBorders>
              <w:top w:val="nil"/>
              <w:bottom w:val="single" w:sz="2" w:space="0" w:color="1F4E79" w:themeColor="accent1" w:themeShade="80"/>
            </w:tcBorders>
            <w:shd w:val="clear" w:color="auto" w:fill="auto"/>
          </w:tcPr>
          <w:p w14:paraId="0D40A286" w14:textId="77777777" w:rsidR="00931938" w:rsidRPr="004078D0" w:rsidRDefault="00931938" w:rsidP="00CA0318">
            <w:pPr>
              <w:keepNext/>
              <w:keepLines/>
              <w:spacing w:before="40" w:after="40"/>
              <w:rPr>
                <w:rFonts w:cs="Arial"/>
                <w:b/>
                <w:spacing w:val="-2"/>
                <w:sz w:val="14"/>
                <w:szCs w:val="14"/>
              </w:rPr>
            </w:pPr>
          </w:p>
        </w:tc>
        <w:tc>
          <w:tcPr>
            <w:tcW w:w="417" w:type="dxa"/>
            <w:tcBorders>
              <w:top w:val="nil"/>
              <w:bottom w:val="single" w:sz="2" w:space="0" w:color="1F4E79" w:themeColor="accent1" w:themeShade="80"/>
            </w:tcBorders>
            <w:shd w:val="clear" w:color="auto" w:fill="auto"/>
          </w:tcPr>
          <w:p w14:paraId="03A793C6" w14:textId="77777777" w:rsidR="00931938" w:rsidRPr="004078D0" w:rsidRDefault="00931938" w:rsidP="00CA0318">
            <w:pPr>
              <w:keepNext/>
              <w:keepLines/>
              <w:spacing w:before="40" w:after="40"/>
              <w:rPr>
                <w:rFonts w:cs="Arial"/>
                <w:b/>
                <w:spacing w:val="-2"/>
                <w:sz w:val="14"/>
                <w:szCs w:val="14"/>
              </w:rPr>
            </w:pPr>
          </w:p>
        </w:tc>
        <w:tc>
          <w:tcPr>
            <w:tcW w:w="1598" w:type="dxa"/>
            <w:gridSpan w:val="2"/>
            <w:tcBorders>
              <w:top w:val="single" w:sz="4" w:space="0" w:color="1F4E79" w:themeColor="accent1" w:themeShade="80"/>
              <w:bottom w:val="single" w:sz="2" w:space="0" w:color="1F4E79" w:themeColor="accent1" w:themeShade="80"/>
            </w:tcBorders>
            <w:shd w:val="clear" w:color="auto" w:fill="auto"/>
          </w:tcPr>
          <w:p w14:paraId="4EDCC308" w14:textId="77777777" w:rsidR="00931938" w:rsidRPr="004078D0" w:rsidRDefault="00931938" w:rsidP="00CA0318">
            <w:pPr>
              <w:keepNext/>
              <w:keepLines/>
              <w:spacing w:before="40" w:after="40"/>
              <w:jc w:val="right"/>
              <w:rPr>
                <w:rFonts w:cs="Arial"/>
                <w:b/>
                <w:spacing w:val="-2"/>
                <w:sz w:val="14"/>
                <w:szCs w:val="18"/>
              </w:rPr>
            </w:pPr>
            <w:r>
              <w:rPr>
                <w:rFonts w:cs="Arial"/>
                <w:b/>
                <w:spacing w:val="-2"/>
                <w:sz w:val="14"/>
                <w:szCs w:val="18"/>
              </w:rPr>
              <w:t>2022</w:t>
            </w:r>
          </w:p>
        </w:tc>
        <w:tc>
          <w:tcPr>
            <w:tcW w:w="1412" w:type="dxa"/>
            <w:tcBorders>
              <w:top w:val="single" w:sz="4" w:space="0" w:color="1F4E79" w:themeColor="accent1" w:themeShade="80"/>
              <w:bottom w:val="single" w:sz="2" w:space="0" w:color="1F4E79" w:themeColor="accent1" w:themeShade="80"/>
            </w:tcBorders>
            <w:shd w:val="clear" w:color="auto" w:fill="auto"/>
          </w:tcPr>
          <w:p w14:paraId="0632FB47" w14:textId="77777777" w:rsidR="00931938" w:rsidRPr="004078D0" w:rsidRDefault="00931938" w:rsidP="00CA0318">
            <w:pPr>
              <w:keepNext/>
              <w:keepLines/>
              <w:spacing w:before="40" w:after="40"/>
              <w:jc w:val="right"/>
              <w:rPr>
                <w:rFonts w:cs="Arial"/>
                <w:b/>
                <w:spacing w:val="-2"/>
                <w:sz w:val="14"/>
                <w:szCs w:val="18"/>
              </w:rPr>
            </w:pPr>
            <w:r>
              <w:rPr>
                <w:rFonts w:cs="Arial"/>
                <w:b/>
                <w:spacing w:val="-2"/>
                <w:sz w:val="14"/>
                <w:szCs w:val="18"/>
              </w:rPr>
              <w:t>2021</w:t>
            </w:r>
          </w:p>
        </w:tc>
        <w:tc>
          <w:tcPr>
            <w:tcW w:w="251" w:type="dxa"/>
            <w:tcBorders>
              <w:top w:val="nil"/>
              <w:bottom w:val="single" w:sz="2" w:space="0" w:color="1F4E79" w:themeColor="accent1" w:themeShade="80"/>
            </w:tcBorders>
            <w:shd w:val="clear" w:color="auto" w:fill="auto"/>
            <w:vAlign w:val="center"/>
          </w:tcPr>
          <w:p w14:paraId="6CDE7F73" w14:textId="77777777" w:rsidR="00931938" w:rsidRPr="004078D0" w:rsidRDefault="00931938" w:rsidP="00CA0318">
            <w:pPr>
              <w:keepNext/>
              <w:keepLines/>
              <w:spacing w:before="40" w:after="40"/>
              <w:jc w:val="right"/>
              <w:rPr>
                <w:rFonts w:cs="Arial"/>
                <w:b/>
                <w:spacing w:val="-2"/>
                <w:sz w:val="14"/>
                <w:szCs w:val="18"/>
              </w:rPr>
            </w:pPr>
          </w:p>
        </w:tc>
        <w:tc>
          <w:tcPr>
            <w:tcW w:w="1449" w:type="dxa"/>
            <w:gridSpan w:val="2"/>
            <w:tcBorders>
              <w:top w:val="single" w:sz="4" w:space="0" w:color="1F4E79" w:themeColor="accent1" w:themeShade="80"/>
              <w:bottom w:val="single" w:sz="2" w:space="0" w:color="1F4E79" w:themeColor="accent1" w:themeShade="80"/>
            </w:tcBorders>
            <w:shd w:val="clear" w:color="auto" w:fill="auto"/>
          </w:tcPr>
          <w:p w14:paraId="2ECC4282" w14:textId="77777777" w:rsidR="00931938" w:rsidRPr="004078D0" w:rsidRDefault="00931938" w:rsidP="00CA0318">
            <w:pPr>
              <w:keepNext/>
              <w:keepLines/>
              <w:spacing w:before="40" w:after="40"/>
              <w:jc w:val="right"/>
              <w:rPr>
                <w:rFonts w:cs="Arial"/>
                <w:b/>
                <w:spacing w:val="-2"/>
                <w:sz w:val="14"/>
                <w:szCs w:val="18"/>
              </w:rPr>
            </w:pPr>
            <w:r>
              <w:rPr>
                <w:rFonts w:cs="Arial"/>
                <w:b/>
                <w:spacing w:val="-2"/>
                <w:sz w:val="14"/>
                <w:szCs w:val="18"/>
              </w:rPr>
              <w:t>2022</w:t>
            </w:r>
          </w:p>
        </w:tc>
        <w:tc>
          <w:tcPr>
            <w:tcW w:w="1526" w:type="dxa"/>
            <w:tcBorders>
              <w:top w:val="single" w:sz="4" w:space="0" w:color="1F4E79" w:themeColor="accent1" w:themeShade="80"/>
              <w:bottom w:val="single" w:sz="2" w:space="0" w:color="1F4E79" w:themeColor="accent1" w:themeShade="80"/>
            </w:tcBorders>
            <w:shd w:val="clear" w:color="auto" w:fill="auto"/>
          </w:tcPr>
          <w:p w14:paraId="6D204612" w14:textId="77777777" w:rsidR="00931938" w:rsidRPr="004078D0" w:rsidRDefault="00931938" w:rsidP="00CA0318">
            <w:pPr>
              <w:keepNext/>
              <w:keepLines/>
              <w:spacing w:before="40" w:after="40"/>
              <w:jc w:val="right"/>
              <w:rPr>
                <w:rFonts w:cs="Arial"/>
                <w:b/>
                <w:spacing w:val="-2"/>
                <w:sz w:val="14"/>
                <w:szCs w:val="18"/>
              </w:rPr>
            </w:pPr>
            <w:r>
              <w:rPr>
                <w:rFonts w:cs="Arial"/>
                <w:b/>
                <w:spacing w:val="-2"/>
                <w:sz w:val="14"/>
                <w:szCs w:val="18"/>
              </w:rPr>
              <w:t>2021</w:t>
            </w:r>
          </w:p>
        </w:tc>
      </w:tr>
      <w:tr w:rsidR="00931938" w:rsidRPr="004078D0" w14:paraId="610B0F9E" w14:textId="77777777" w:rsidTr="005D51AC">
        <w:trPr>
          <w:trHeight w:val="238"/>
          <w:jc w:val="center"/>
        </w:trPr>
        <w:tc>
          <w:tcPr>
            <w:tcW w:w="2986" w:type="dxa"/>
            <w:gridSpan w:val="2"/>
            <w:tcBorders>
              <w:top w:val="nil"/>
            </w:tcBorders>
            <w:shd w:val="clear" w:color="auto" w:fill="auto"/>
          </w:tcPr>
          <w:p w14:paraId="003F8B7F" w14:textId="77777777" w:rsidR="00931938" w:rsidRPr="00FE2DBE" w:rsidRDefault="00931938" w:rsidP="00202703">
            <w:pPr>
              <w:pStyle w:val="08-Tabelageral"/>
              <w:jc w:val="left"/>
            </w:pPr>
            <w:r w:rsidRPr="006718F3">
              <w:t>Donation and sponsorship expenses</w:t>
            </w:r>
          </w:p>
        </w:tc>
        <w:tc>
          <w:tcPr>
            <w:tcW w:w="417" w:type="dxa"/>
            <w:tcBorders>
              <w:top w:val="nil"/>
            </w:tcBorders>
            <w:shd w:val="clear" w:color="auto" w:fill="auto"/>
            <w:vAlign w:val="center"/>
          </w:tcPr>
          <w:p w14:paraId="20D73658" w14:textId="77777777" w:rsidR="00931938" w:rsidRPr="006468C2" w:rsidRDefault="00931938" w:rsidP="00202703">
            <w:pPr>
              <w:pStyle w:val="08-Tabelageral"/>
              <w:rPr>
                <w:rFonts w:cs="Arial"/>
                <w:szCs w:val="14"/>
              </w:rPr>
            </w:pPr>
          </w:p>
        </w:tc>
        <w:tc>
          <w:tcPr>
            <w:tcW w:w="1598" w:type="dxa"/>
            <w:gridSpan w:val="2"/>
            <w:tcBorders>
              <w:top w:val="nil"/>
            </w:tcBorders>
            <w:shd w:val="clear" w:color="auto" w:fill="auto"/>
            <w:vAlign w:val="center"/>
          </w:tcPr>
          <w:p w14:paraId="7B4C9214" w14:textId="77777777" w:rsidR="00931938" w:rsidRPr="006468C2" w:rsidRDefault="00931938" w:rsidP="00202703">
            <w:pPr>
              <w:pStyle w:val="08-Tabelageral"/>
              <w:rPr>
                <w:rFonts w:cs="Arial"/>
                <w:szCs w:val="14"/>
              </w:rPr>
            </w:pPr>
            <w:r>
              <w:rPr>
                <w:rFonts w:cs="Arial"/>
                <w:color w:val="000000"/>
                <w:szCs w:val="14"/>
              </w:rPr>
              <w:t>--</w:t>
            </w:r>
          </w:p>
        </w:tc>
        <w:tc>
          <w:tcPr>
            <w:tcW w:w="1412" w:type="dxa"/>
            <w:tcBorders>
              <w:top w:val="nil"/>
            </w:tcBorders>
            <w:shd w:val="clear" w:color="auto" w:fill="auto"/>
            <w:vAlign w:val="center"/>
          </w:tcPr>
          <w:p w14:paraId="438CF5C3" w14:textId="77777777" w:rsidR="00931938" w:rsidRPr="006468C2" w:rsidRDefault="00931938" w:rsidP="00202703">
            <w:pPr>
              <w:pStyle w:val="08-Tabelageral"/>
            </w:pPr>
            <w:r>
              <w:rPr>
                <w:rFonts w:cs="Arial"/>
                <w:color w:val="000000"/>
                <w:szCs w:val="14"/>
              </w:rPr>
              <w:t>--</w:t>
            </w:r>
          </w:p>
        </w:tc>
        <w:tc>
          <w:tcPr>
            <w:tcW w:w="251" w:type="dxa"/>
            <w:tcBorders>
              <w:top w:val="nil"/>
            </w:tcBorders>
            <w:shd w:val="clear" w:color="auto" w:fill="auto"/>
            <w:vAlign w:val="center"/>
          </w:tcPr>
          <w:p w14:paraId="11BD1448" w14:textId="77777777" w:rsidR="00931938" w:rsidRPr="006468C2" w:rsidRDefault="00931938" w:rsidP="00202703">
            <w:pPr>
              <w:pStyle w:val="08-Tabelageral"/>
              <w:rPr>
                <w:rFonts w:cs="Arial"/>
                <w:szCs w:val="14"/>
              </w:rPr>
            </w:pPr>
          </w:p>
        </w:tc>
        <w:tc>
          <w:tcPr>
            <w:tcW w:w="1449" w:type="dxa"/>
            <w:gridSpan w:val="2"/>
            <w:tcBorders>
              <w:top w:val="nil"/>
            </w:tcBorders>
            <w:shd w:val="clear" w:color="auto" w:fill="auto"/>
            <w:vAlign w:val="center"/>
          </w:tcPr>
          <w:p w14:paraId="1DBFCADA" w14:textId="77777777" w:rsidR="00931938" w:rsidRPr="006468C2" w:rsidRDefault="00931938" w:rsidP="00202703">
            <w:pPr>
              <w:pStyle w:val="08-Tabelageral"/>
              <w:rPr>
                <w:rFonts w:cs="Arial"/>
                <w:szCs w:val="14"/>
              </w:rPr>
            </w:pPr>
            <w:r>
              <w:rPr>
                <w:rFonts w:cs="Arial"/>
                <w:color w:val="000000"/>
                <w:szCs w:val="14"/>
              </w:rPr>
              <w:t>(14,322)</w:t>
            </w:r>
          </w:p>
        </w:tc>
        <w:tc>
          <w:tcPr>
            <w:tcW w:w="1526" w:type="dxa"/>
            <w:tcBorders>
              <w:top w:val="nil"/>
            </w:tcBorders>
            <w:shd w:val="clear" w:color="auto" w:fill="auto"/>
            <w:vAlign w:val="center"/>
          </w:tcPr>
          <w:p w14:paraId="61D5C59D" w14:textId="77777777" w:rsidR="00931938" w:rsidRPr="004078D0" w:rsidRDefault="00931938" w:rsidP="00202703">
            <w:pPr>
              <w:pStyle w:val="08-Tabelageral"/>
              <w:rPr>
                <w:rFonts w:cs="Arial"/>
                <w:szCs w:val="14"/>
              </w:rPr>
            </w:pPr>
            <w:r>
              <w:rPr>
                <w:rFonts w:cs="Arial"/>
                <w:color w:val="000000"/>
                <w:szCs w:val="14"/>
              </w:rPr>
              <w:t>(18,756)</w:t>
            </w:r>
          </w:p>
        </w:tc>
      </w:tr>
      <w:tr w:rsidR="00931938" w:rsidRPr="004078D0" w14:paraId="30349E41" w14:textId="77777777" w:rsidTr="005D51AC">
        <w:trPr>
          <w:trHeight w:val="238"/>
          <w:jc w:val="center"/>
        </w:trPr>
        <w:tc>
          <w:tcPr>
            <w:tcW w:w="2986" w:type="dxa"/>
            <w:gridSpan w:val="2"/>
            <w:tcBorders>
              <w:top w:val="nil"/>
            </w:tcBorders>
            <w:shd w:val="clear" w:color="auto" w:fill="auto"/>
          </w:tcPr>
          <w:p w14:paraId="00631CB5" w14:textId="77777777" w:rsidR="00931938" w:rsidRPr="00FE2DBE" w:rsidRDefault="00931938" w:rsidP="00202703">
            <w:pPr>
              <w:pStyle w:val="08-Tabelageral"/>
              <w:jc w:val="left"/>
            </w:pPr>
            <w:r w:rsidRPr="00FE2DBE">
              <w:t>Selling expenses</w:t>
            </w:r>
            <w:r>
              <w:t xml:space="preserve"> </w:t>
            </w:r>
            <w:r w:rsidRPr="00323ECF">
              <w:rPr>
                <w:vertAlign w:val="superscript"/>
              </w:rPr>
              <w:t>(</w:t>
            </w:r>
            <w:r>
              <w:rPr>
                <w:vertAlign w:val="superscript"/>
              </w:rPr>
              <w:t>1</w:t>
            </w:r>
            <w:r w:rsidRPr="00323ECF">
              <w:rPr>
                <w:vertAlign w:val="superscript"/>
              </w:rPr>
              <w:t>)</w:t>
            </w:r>
          </w:p>
        </w:tc>
        <w:tc>
          <w:tcPr>
            <w:tcW w:w="417" w:type="dxa"/>
            <w:tcBorders>
              <w:top w:val="nil"/>
            </w:tcBorders>
            <w:shd w:val="clear" w:color="auto" w:fill="auto"/>
            <w:vAlign w:val="center"/>
          </w:tcPr>
          <w:p w14:paraId="75510C57" w14:textId="77777777" w:rsidR="00931938" w:rsidRPr="006468C2" w:rsidRDefault="00931938" w:rsidP="00202703">
            <w:pPr>
              <w:pStyle w:val="08-Tabelageral"/>
              <w:rPr>
                <w:rFonts w:cs="Arial"/>
                <w:szCs w:val="14"/>
              </w:rPr>
            </w:pPr>
          </w:p>
        </w:tc>
        <w:tc>
          <w:tcPr>
            <w:tcW w:w="1598" w:type="dxa"/>
            <w:gridSpan w:val="2"/>
            <w:tcBorders>
              <w:top w:val="nil"/>
            </w:tcBorders>
            <w:shd w:val="clear" w:color="auto" w:fill="auto"/>
            <w:vAlign w:val="center"/>
          </w:tcPr>
          <w:p w14:paraId="4153557A" w14:textId="77777777" w:rsidR="00931938" w:rsidRPr="006468C2" w:rsidRDefault="00931938" w:rsidP="00202703">
            <w:pPr>
              <w:pStyle w:val="08-Tabelageral"/>
              <w:rPr>
                <w:rFonts w:cs="Arial"/>
                <w:szCs w:val="14"/>
              </w:rPr>
            </w:pPr>
            <w:r>
              <w:rPr>
                <w:rFonts w:cs="Arial"/>
                <w:color w:val="000000"/>
                <w:szCs w:val="14"/>
              </w:rPr>
              <w:t>--</w:t>
            </w:r>
          </w:p>
        </w:tc>
        <w:tc>
          <w:tcPr>
            <w:tcW w:w="1412" w:type="dxa"/>
            <w:tcBorders>
              <w:top w:val="nil"/>
            </w:tcBorders>
            <w:shd w:val="clear" w:color="auto" w:fill="auto"/>
            <w:vAlign w:val="center"/>
          </w:tcPr>
          <w:p w14:paraId="3502F287" w14:textId="77777777" w:rsidR="00931938" w:rsidRPr="006468C2" w:rsidRDefault="00931938" w:rsidP="00202703">
            <w:pPr>
              <w:pStyle w:val="08-Tabelageral"/>
            </w:pPr>
            <w:r>
              <w:rPr>
                <w:rFonts w:cs="Arial"/>
                <w:color w:val="000000"/>
                <w:szCs w:val="14"/>
              </w:rPr>
              <w:t>--</w:t>
            </w:r>
          </w:p>
        </w:tc>
        <w:tc>
          <w:tcPr>
            <w:tcW w:w="251" w:type="dxa"/>
            <w:tcBorders>
              <w:top w:val="nil"/>
            </w:tcBorders>
            <w:shd w:val="clear" w:color="auto" w:fill="auto"/>
            <w:vAlign w:val="center"/>
          </w:tcPr>
          <w:p w14:paraId="4D1EEA47" w14:textId="77777777" w:rsidR="00931938" w:rsidRPr="006468C2" w:rsidRDefault="00931938" w:rsidP="00202703">
            <w:pPr>
              <w:pStyle w:val="08-Tabelageral"/>
              <w:rPr>
                <w:rFonts w:cs="Arial"/>
                <w:szCs w:val="14"/>
              </w:rPr>
            </w:pPr>
          </w:p>
        </w:tc>
        <w:tc>
          <w:tcPr>
            <w:tcW w:w="1449" w:type="dxa"/>
            <w:gridSpan w:val="2"/>
            <w:tcBorders>
              <w:top w:val="nil"/>
            </w:tcBorders>
            <w:shd w:val="clear" w:color="auto" w:fill="auto"/>
            <w:vAlign w:val="center"/>
          </w:tcPr>
          <w:p w14:paraId="360E7957" w14:textId="77777777" w:rsidR="00931938" w:rsidRPr="006468C2" w:rsidRDefault="00931938" w:rsidP="00202703">
            <w:pPr>
              <w:pStyle w:val="08-Tabelageral"/>
              <w:rPr>
                <w:rFonts w:cs="Arial"/>
                <w:szCs w:val="14"/>
              </w:rPr>
            </w:pPr>
            <w:r>
              <w:rPr>
                <w:rFonts w:cs="Arial"/>
                <w:color w:val="000000"/>
                <w:szCs w:val="14"/>
              </w:rPr>
              <w:t>(11,958)</w:t>
            </w:r>
          </w:p>
        </w:tc>
        <w:tc>
          <w:tcPr>
            <w:tcW w:w="1526" w:type="dxa"/>
            <w:tcBorders>
              <w:top w:val="nil"/>
            </w:tcBorders>
            <w:shd w:val="clear" w:color="auto" w:fill="auto"/>
            <w:vAlign w:val="center"/>
          </w:tcPr>
          <w:p w14:paraId="6451C663" w14:textId="77777777" w:rsidR="00931938" w:rsidRPr="004078D0" w:rsidRDefault="00931938" w:rsidP="00202703">
            <w:pPr>
              <w:pStyle w:val="08-Tabelageral"/>
              <w:rPr>
                <w:rFonts w:cs="Arial"/>
                <w:szCs w:val="14"/>
              </w:rPr>
            </w:pPr>
            <w:r>
              <w:rPr>
                <w:rFonts w:cs="Arial"/>
                <w:color w:val="000000"/>
                <w:szCs w:val="14"/>
              </w:rPr>
              <w:t>(236)</w:t>
            </w:r>
          </w:p>
        </w:tc>
      </w:tr>
      <w:tr w:rsidR="00931938" w:rsidRPr="004078D0" w14:paraId="4D7978AC" w14:textId="77777777" w:rsidTr="005D51AC">
        <w:trPr>
          <w:trHeight w:val="238"/>
          <w:jc w:val="center"/>
        </w:trPr>
        <w:tc>
          <w:tcPr>
            <w:tcW w:w="2986" w:type="dxa"/>
            <w:gridSpan w:val="2"/>
            <w:tcBorders>
              <w:top w:val="nil"/>
            </w:tcBorders>
            <w:shd w:val="clear" w:color="auto" w:fill="auto"/>
          </w:tcPr>
          <w:p w14:paraId="6DA7F8BB" w14:textId="77777777" w:rsidR="00931938" w:rsidRPr="00FE2DBE" w:rsidRDefault="00931938" w:rsidP="00202703">
            <w:pPr>
              <w:pStyle w:val="08-Tabelageral"/>
              <w:jc w:val="left"/>
            </w:pPr>
            <w:r w:rsidRPr="00C009BA">
              <w:t>Data processing</w:t>
            </w:r>
          </w:p>
        </w:tc>
        <w:tc>
          <w:tcPr>
            <w:tcW w:w="417" w:type="dxa"/>
            <w:tcBorders>
              <w:top w:val="nil"/>
            </w:tcBorders>
            <w:shd w:val="clear" w:color="auto" w:fill="auto"/>
            <w:vAlign w:val="center"/>
          </w:tcPr>
          <w:p w14:paraId="5FFE04F5" w14:textId="77777777" w:rsidR="00931938" w:rsidRPr="006468C2" w:rsidRDefault="00931938" w:rsidP="00202703">
            <w:pPr>
              <w:pStyle w:val="08-Tabelageral"/>
              <w:rPr>
                <w:rFonts w:cs="Arial"/>
                <w:szCs w:val="14"/>
              </w:rPr>
            </w:pPr>
          </w:p>
        </w:tc>
        <w:tc>
          <w:tcPr>
            <w:tcW w:w="1598" w:type="dxa"/>
            <w:gridSpan w:val="2"/>
            <w:tcBorders>
              <w:top w:val="nil"/>
            </w:tcBorders>
            <w:shd w:val="clear" w:color="auto" w:fill="auto"/>
            <w:vAlign w:val="center"/>
          </w:tcPr>
          <w:p w14:paraId="2F1121EB" w14:textId="77777777" w:rsidR="00931938" w:rsidRPr="006468C2" w:rsidRDefault="00931938" w:rsidP="00202703">
            <w:pPr>
              <w:pStyle w:val="08-Tabelageral"/>
              <w:rPr>
                <w:rFonts w:cs="Arial"/>
                <w:szCs w:val="14"/>
              </w:rPr>
            </w:pPr>
            <w:r>
              <w:rPr>
                <w:rFonts w:cs="Arial"/>
                <w:color w:val="000000"/>
                <w:szCs w:val="14"/>
              </w:rPr>
              <w:t>(707)</w:t>
            </w:r>
          </w:p>
        </w:tc>
        <w:tc>
          <w:tcPr>
            <w:tcW w:w="1412" w:type="dxa"/>
            <w:tcBorders>
              <w:top w:val="nil"/>
            </w:tcBorders>
            <w:shd w:val="clear" w:color="auto" w:fill="auto"/>
            <w:vAlign w:val="center"/>
          </w:tcPr>
          <w:p w14:paraId="3F4EF1F6" w14:textId="77777777" w:rsidR="00931938" w:rsidRPr="006468C2" w:rsidRDefault="00931938" w:rsidP="00202703">
            <w:pPr>
              <w:pStyle w:val="08-Tabelageral"/>
            </w:pPr>
            <w:r>
              <w:rPr>
                <w:rFonts w:cs="Arial"/>
                <w:color w:val="000000"/>
                <w:szCs w:val="14"/>
              </w:rPr>
              <w:t>(1,006)</w:t>
            </w:r>
          </w:p>
        </w:tc>
        <w:tc>
          <w:tcPr>
            <w:tcW w:w="251" w:type="dxa"/>
            <w:tcBorders>
              <w:top w:val="nil"/>
            </w:tcBorders>
            <w:shd w:val="clear" w:color="auto" w:fill="auto"/>
            <w:vAlign w:val="center"/>
          </w:tcPr>
          <w:p w14:paraId="52A5500B" w14:textId="77777777" w:rsidR="00931938" w:rsidRPr="006468C2" w:rsidRDefault="00931938" w:rsidP="00202703">
            <w:pPr>
              <w:pStyle w:val="08-Tabelageral"/>
              <w:rPr>
                <w:rFonts w:cs="Arial"/>
                <w:szCs w:val="14"/>
              </w:rPr>
            </w:pPr>
          </w:p>
        </w:tc>
        <w:tc>
          <w:tcPr>
            <w:tcW w:w="1449" w:type="dxa"/>
            <w:gridSpan w:val="2"/>
            <w:tcBorders>
              <w:top w:val="nil"/>
            </w:tcBorders>
            <w:shd w:val="clear" w:color="auto" w:fill="auto"/>
            <w:vAlign w:val="center"/>
          </w:tcPr>
          <w:p w14:paraId="2AFCA27E" w14:textId="77777777" w:rsidR="00931938" w:rsidRPr="006468C2" w:rsidRDefault="00931938" w:rsidP="00202703">
            <w:pPr>
              <w:pStyle w:val="08-Tabelageral"/>
              <w:rPr>
                <w:rFonts w:cs="Arial"/>
                <w:szCs w:val="14"/>
              </w:rPr>
            </w:pPr>
            <w:r>
              <w:rPr>
                <w:rFonts w:cs="Arial"/>
                <w:color w:val="000000"/>
                <w:szCs w:val="14"/>
              </w:rPr>
              <w:t>(6,809)</w:t>
            </w:r>
          </w:p>
        </w:tc>
        <w:tc>
          <w:tcPr>
            <w:tcW w:w="1526" w:type="dxa"/>
            <w:tcBorders>
              <w:top w:val="nil"/>
            </w:tcBorders>
            <w:shd w:val="clear" w:color="auto" w:fill="auto"/>
            <w:vAlign w:val="center"/>
          </w:tcPr>
          <w:p w14:paraId="38F29636" w14:textId="77777777" w:rsidR="00931938" w:rsidRPr="004078D0" w:rsidRDefault="00931938" w:rsidP="00202703">
            <w:pPr>
              <w:pStyle w:val="08-Tabelageral"/>
              <w:rPr>
                <w:rFonts w:cs="Arial"/>
                <w:szCs w:val="14"/>
              </w:rPr>
            </w:pPr>
            <w:r>
              <w:rPr>
                <w:rFonts w:cs="Arial"/>
                <w:color w:val="000000"/>
                <w:szCs w:val="14"/>
              </w:rPr>
              <w:t>(7,115)</w:t>
            </w:r>
          </w:p>
        </w:tc>
      </w:tr>
      <w:tr w:rsidR="00931938" w:rsidRPr="004078D0" w14:paraId="3CC3FE24" w14:textId="77777777" w:rsidTr="005D51AC">
        <w:trPr>
          <w:trHeight w:val="238"/>
          <w:jc w:val="center"/>
        </w:trPr>
        <w:tc>
          <w:tcPr>
            <w:tcW w:w="2986" w:type="dxa"/>
            <w:gridSpan w:val="2"/>
            <w:tcBorders>
              <w:top w:val="nil"/>
            </w:tcBorders>
            <w:shd w:val="clear" w:color="auto" w:fill="auto"/>
          </w:tcPr>
          <w:p w14:paraId="48173D45" w14:textId="77777777" w:rsidR="00931938" w:rsidRPr="00931938" w:rsidRDefault="00931938" w:rsidP="00202703">
            <w:pPr>
              <w:pStyle w:val="08-Tabelageral"/>
              <w:jc w:val="left"/>
              <w:rPr>
                <w:lang w:val="en-US"/>
              </w:rPr>
            </w:pPr>
            <w:r w:rsidRPr="00931938">
              <w:rPr>
                <w:lang w:val="en-US"/>
              </w:rPr>
              <w:t>Rent expenses and condominium fee</w:t>
            </w:r>
          </w:p>
        </w:tc>
        <w:tc>
          <w:tcPr>
            <w:tcW w:w="417" w:type="dxa"/>
            <w:tcBorders>
              <w:top w:val="nil"/>
            </w:tcBorders>
            <w:shd w:val="clear" w:color="auto" w:fill="auto"/>
            <w:vAlign w:val="center"/>
          </w:tcPr>
          <w:p w14:paraId="3E96514A" w14:textId="77777777" w:rsidR="00931938" w:rsidRPr="00931938" w:rsidRDefault="00931938" w:rsidP="00202703">
            <w:pPr>
              <w:pStyle w:val="08-Tabelageral"/>
              <w:rPr>
                <w:rFonts w:cs="Arial"/>
                <w:szCs w:val="14"/>
                <w:lang w:val="en-US"/>
              </w:rPr>
            </w:pPr>
          </w:p>
        </w:tc>
        <w:tc>
          <w:tcPr>
            <w:tcW w:w="1598" w:type="dxa"/>
            <w:gridSpan w:val="2"/>
            <w:tcBorders>
              <w:top w:val="nil"/>
            </w:tcBorders>
            <w:shd w:val="clear" w:color="auto" w:fill="auto"/>
            <w:vAlign w:val="center"/>
          </w:tcPr>
          <w:p w14:paraId="27B959D4" w14:textId="77777777" w:rsidR="00931938" w:rsidRPr="006468C2" w:rsidRDefault="00931938" w:rsidP="00202703">
            <w:pPr>
              <w:pStyle w:val="08-Tabelageral"/>
              <w:rPr>
                <w:rFonts w:cs="Arial"/>
                <w:szCs w:val="14"/>
              </w:rPr>
            </w:pPr>
            <w:r>
              <w:rPr>
                <w:rFonts w:cs="Arial"/>
                <w:color w:val="000000"/>
                <w:szCs w:val="14"/>
              </w:rPr>
              <w:t>(1,199)</w:t>
            </w:r>
          </w:p>
        </w:tc>
        <w:tc>
          <w:tcPr>
            <w:tcW w:w="1412" w:type="dxa"/>
            <w:tcBorders>
              <w:top w:val="nil"/>
            </w:tcBorders>
            <w:shd w:val="clear" w:color="auto" w:fill="auto"/>
            <w:vAlign w:val="center"/>
          </w:tcPr>
          <w:p w14:paraId="0CB7DA9B" w14:textId="77777777" w:rsidR="00931938" w:rsidRPr="006468C2" w:rsidRDefault="00931938" w:rsidP="00202703">
            <w:pPr>
              <w:pStyle w:val="08-Tabelageral"/>
            </w:pPr>
            <w:r>
              <w:rPr>
                <w:rFonts w:cs="Arial"/>
                <w:color w:val="000000"/>
                <w:szCs w:val="14"/>
              </w:rPr>
              <w:t>(932)</w:t>
            </w:r>
          </w:p>
        </w:tc>
        <w:tc>
          <w:tcPr>
            <w:tcW w:w="251" w:type="dxa"/>
            <w:tcBorders>
              <w:top w:val="nil"/>
            </w:tcBorders>
            <w:shd w:val="clear" w:color="auto" w:fill="auto"/>
            <w:vAlign w:val="center"/>
          </w:tcPr>
          <w:p w14:paraId="044A35D1" w14:textId="77777777" w:rsidR="00931938" w:rsidRPr="006468C2" w:rsidRDefault="00931938" w:rsidP="00202703">
            <w:pPr>
              <w:pStyle w:val="08-Tabelageral"/>
              <w:rPr>
                <w:rFonts w:cs="Arial"/>
                <w:szCs w:val="14"/>
              </w:rPr>
            </w:pPr>
          </w:p>
        </w:tc>
        <w:tc>
          <w:tcPr>
            <w:tcW w:w="1449" w:type="dxa"/>
            <w:gridSpan w:val="2"/>
            <w:tcBorders>
              <w:top w:val="nil"/>
            </w:tcBorders>
            <w:shd w:val="clear" w:color="auto" w:fill="auto"/>
            <w:vAlign w:val="center"/>
          </w:tcPr>
          <w:p w14:paraId="2DFF4DAC" w14:textId="77777777" w:rsidR="00931938" w:rsidRPr="006468C2" w:rsidRDefault="00931938" w:rsidP="00202703">
            <w:pPr>
              <w:pStyle w:val="08-Tabelageral"/>
              <w:rPr>
                <w:rFonts w:cs="Arial"/>
                <w:szCs w:val="14"/>
              </w:rPr>
            </w:pPr>
            <w:r>
              <w:rPr>
                <w:rFonts w:cs="Arial"/>
                <w:color w:val="000000"/>
                <w:szCs w:val="14"/>
              </w:rPr>
              <w:t>(4,979)</w:t>
            </w:r>
          </w:p>
        </w:tc>
        <w:tc>
          <w:tcPr>
            <w:tcW w:w="1526" w:type="dxa"/>
            <w:tcBorders>
              <w:top w:val="nil"/>
            </w:tcBorders>
            <w:shd w:val="clear" w:color="auto" w:fill="auto"/>
            <w:vAlign w:val="center"/>
          </w:tcPr>
          <w:p w14:paraId="3653828C" w14:textId="77777777" w:rsidR="00931938" w:rsidRPr="004078D0" w:rsidRDefault="00931938" w:rsidP="00202703">
            <w:pPr>
              <w:pStyle w:val="08-Tabelageral"/>
              <w:rPr>
                <w:rFonts w:cs="Arial"/>
                <w:szCs w:val="14"/>
              </w:rPr>
            </w:pPr>
            <w:r>
              <w:rPr>
                <w:rFonts w:cs="Arial"/>
                <w:color w:val="000000"/>
                <w:szCs w:val="14"/>
              </w:rPr>
              <w:t>(4,288)</w:t>
            </w:r>
          </w:p>
        </w:tc>
      </w:tr>
      <w:tr w:rsidR="00931938" w:rsidRPr="004078D0" w14:paraId="52C7A9C1" w14:textId="77777777" w:rsidTr="005D51AC">
        <w:trPr>
          <w:trHeight w:val="238"/>
          <w:jc w:val="center"/>
        </w:trPr>
        <w:tc>
          <w:tcPr>
            <w:tcW w:w="2986" w:type="dxa"/>
            <w:gridSpan w:val="2"/>
            <w:tcBorders>
              <w:top w:val="nil"/>
            </w:tcBorders>
            <w:shd w:val="clear" w:color="auto" w:fill="auto"/>
          </w:tcPr>
          <w:p w14:paraId="45F97748" w14:textId="77777777" w:rsidR="00931938" w:rsidRPr="00FE2DBE" w:rsidRDefault="00931938" w:rsidP="00202703">
            <w:pPr>
              <w:pStyle w:val="08-Tabelageral"/>
              <w:jc w:val="left"/>
            </w:pPr>
            <w:r w:rsidRPr="00C009BA">
              <w:t>Specialized technical services</w:t>
            </w:r>
          </w:p>
        </w:tc>
        <w:tc>
          <w:tcPr>
            <w:tcW w:w="417" w:type="dxa"/>
            <w:tcBorders>
              <w:top w:val="nil"/>
            </w:tcBorders>
            <w:shd w:val="clear" w:color="auto" w:fill="auto"/>
            <w:vAlign w:val="center"/>
          </w:tcPr>
          <w:p w14:paraId="0E61D495" w14:textId="77777777" w:rsidR="00931938" w:rsidRPr="006468C2" w:rsidRDefault="00931938" w:rsidP="00202703">
            <w:pPr>
              <w:pStyle w:val="08-Tabelageral"/>
              <w:rPr>
                <w:rFonts w:cs="Arial"/>
                <w:szCs w:val="14"/>
              </w:rPr>
            </w:pPr>
          </w:p>
        </w:tc>
        <w:tc>
          <w:tcPr>
            <w:tcW w:w="1598" w:type="dxa"/>
            <w:gridSpan w:val="2"/>
            <w:tcBorders>
              <w:top w:val="nil"/>
            </w:tcBorders>
            <w:shd w:val="clear" w:color="auto" w:fill="auto"/>
            <w:vAlign w:val="center"/>
          </w:tcPr>
          <w:p w14:paraId="5A252049" w14:textId="77777777" w:rsidR="00931938" w:rsidRPr="006468C2" w:rsidRDefault="00931938" w:rsidP="00202703">
            <w:pPr>
              <w:pStyle w:val="08-Tabelageral"/>
              <w:rPr>
                <w:rFonts w:cs="Arial"/>
                <w:szCs w:val="14"/>
              </w:rPr>
            </w:pPr>
            <w:r>
              <w:rPr>
                <w:rFonts w:cs="Arial"/>
                <w:color w:val="000000"/>
                <w:szCs w:val="14"/>
              </w:rPr>
              <w:t>(659)</w:t>
            </w:r>
          </w:p>
        </w:tc>
        <w:tc>
          <w:tcPr>
            <w:tcW w:w="1412" w:type="dxa"/>
            <w:tcBorders>
              <w:top w:val="nil"/>
            </w:tcBorders>
            <w:shd w:val="clear" w:color="auto" w:fill="auto"/>
            <w:vAlign w:val="center"/>
          </w:tcPr>
          <w:p w14:paraId="5D546749" w14:textId="77777777" w:rsidR="00931938" w:rsidRPr="006468C2" w:rsidRDefault="00931938" w:rsidP="00202703">
            <w:pPr>
              <w:pStyle w:val="08-Tabelageral"/>
            </w:pPr>
            <w:r>
              <w:rPr>
                <w:rFonts w:cs="Arial"/>
                <w:color w:val="000000"/>
                <w:szCs w:val="14"/>
              </w:rPr>
              <w:t>(413)</w:t>
            </w:r>
          </w:p>
        </w:tc>
        <w:tc>
          <w:tcPr>
            <w:tcW w:w="251" w:type="dxa"/>
            <w:tcBorders>
              <w:top w:val="nil"/>
            </w:tcBorders>
            <w:shd w:val="clear" w:color="auto" w:fill="auto"/>
            <w:vAlign w:val="center"/>
          </w:tcPr>
          <w:p w14:paraId="0A0B4266" w14:textId="77777777" w:rsidR="00931938" w:rsidRPr="006468C2" w:rsidRDefault="00931938" w:rsidP="00202703">
            <w:pPr>
              <w:pStyle w:val="08-Tabelageral"/>
              <w:rPr>
                <w:rFonts w:cs="Arial"/>
                <w:szCs w:val="14"/>
              </w:rPr>
            </w:pPr>
          </w:p>
        </w:tc>
        <w:tc>
          <w:tcPr>
            <w:tcW w:w="1449" w:type="dxa"/>
            <w:gridSpan w:val="2"/>
            <w:tcBorders>
              <w:top w:val="nil"/>
            </w:tcBorders>
            <w:shd w:val="clear" w:color="auto" w:fill="auto"/>
            <w:vAlign w:val="center"/>
          </w:tcPr>
          <w:p w14:paraId="6CFF0597" w14:textId="77777777" w:rsidR="00931938" w:rsidRPr="006468C2" w:rsidRDefault="00931938" w:rsidP="00202703">
            <w:pPr>
              <w:pStyle w:val="08-Tabelageral"/>
              <w:rPr>
                <w:rFonts w:cs="Arial"/>
                <w:szCs w:val="14"/>
              </w:rPr>
            </w:pPr>
            <w:r>
              <w:rPr>
                <w:rFonts w:cs="Arial"/>
                <w:color w:val="000000"/>
                <w:szCs w:val="14"/>
              </w:rPr>
              <w:t>(3,379)</w:t>
            </w:r>
          </w:p>
        </w:tc>
        <w:tc>
          <w:tcPr>
            <w:tcW w:w="1526" w:type="dxa"/>
            <w:tcBorders>
              <w:top w:val="nil"/>
            </w:tcBorders>
            <w:shd w:val="clear" w:color="auto" w:fill="auto"/>
            <w:vAlign w:val="center"/>
          </w:tcPr>
          <w:p w14:paraId="0E865716" w14:textId="77777777" w:rsidR="00931938" w:rsidRPr="004078D0" w:rsidRDefault="00931938" w:rsidP="00202703">
            <w:pPr>
              <w:pStyle w:val="08-Tabelageral"/>
              <w:rPr>
                <w:rFonts w:cs="Arial"/>
                <w:szCs w:val="14"/>
              </w:rPr>
            </w:pPr>
            <w:r>
              <w:rPr>
                <w:rFonts w:cs="Arial"/>
                <w:color w:val="000000"/>
                <w:szCs w:val="14"/>
              </w:rPr>
              <w:t>(2,921)</w:t>
            </w:r>
          </w:p>
        </w:tc>
      </w:tr>
      <w:tr w:rsidR="00931938" w:rsidRPr="004078D0" w14:paraId="10F398DB" w14:textId="77777777" w:rsidTr="005D51AC">
        <w:trPr>
          <w:trHeight w:val="238"/>
          <w:jc w:val="center"/>
        </w:trPr>
        <w:tc>
          <w:tcPr>
            <w:tcW w:w="2986" w:type="dxa"/>
            <w:gridSpan w:val="2"/>
            <w:tcBorders>
              <w:top w:val="nil"/>
            </w:tcBorders>
            <w:shd w:val="clear" w:color="auto" w:fill="auto"/>
          </w:tcPr>
          <w:p w14:paraId="50C824E2" w14:textId="77777777" w:rsidR="00931938" w:rsidRPr="00FE2DBE" w:rsidRDefault="00931938" w:rsidP="00202703">
            <w:pPr>
              <w:pStyle w:val="08-Tabelageral"/>
              <w:jc w:val="left"/>
            </w:pPr>
            <w:r>
              <w:t>P</w:t>
            </w:r>
            <w:r w:rsidRPr="006718F3">
              <w:t>romotions and public relations</w:t>
            </w:r>
          </w:p>
        </w:tc>
        <w:tc>
          <w:tcPr>
            <w:tcW w:w="417" w:type="dxa"/>
            <w:tcBorders>
              <w:top w:val="nil"/>
            </w:tcBorders>
            <w:shd w:val="clear" w:color="auto" w:fill="auto"/>
            <w:vAlign w:val="center"/>
          </w:tcPr>
          <w:p w14:paraId="293BCECA" w14:textId="77777777" w:rsidR="00931938" w:rsidRPr="006468C2" w:rsidRDefault="00931938" w:rsidP="00202703">
            <w:pPr>
              <w:pStyle w:val="08-Tabelageral"/>
              <w:rPr>
                <w:rFonts w:cs="Arial"/>
                <w:szCs w:val="14"/>
              </w:rPr>
            </w:pPr>
          </w:p>
        </w:tc>
        <w:tc>
          <w:tcPr>
            <w:tcW w:w="1598" w:type="dxa"/>
            <w:gridSpan w:val="2"/>
            <w:tcBorders>
              <w:top w:val="nil"/>
            </w:tcBorders>
            <w:shd w:val="clear" w:color="auto" w:fill="auto"/>
            <w:vAlign w:val="center"/>
          </w:tcPr>
          <w:p w14:paraId="7678E94E" w14:textId="77777777" w:rsidR="00931938" w:rsidRPr="006468C2" w:rsidRDefault="00931938" w:rsidP="00202703">
            <w:pPr>
              <w:pStyle w:val="08-Tabelageral"/>
              <w:rPr>
                <w:rFonts w:cs="Arial"/>
                <w:szCs w:val="14"/>
              </w:rPr>
            </w:pPr>
            <w:r>
              <w:rPr>
                <w:rFonts w:cs="Arial"/>
                <w:color w:val="000000"/>
                <w:szCs w:val="14"/>
              </w:rPr>
              <w:t>(37)</w:t>
            </w:r>
          </w:p>
        </w:tc>
        <w:tc>
          <w:tcPr>
            <w:tcW w:w="1412" w:type="dxa"/>
            <w:tcBorders>
              <w:top w:val="nil"/>
            </w:tcBorders>
            <w:shd w:val="clear" w:color="auto" w:fill="auto"/>
            <w:vAlign w:val="center"/>
          </w:tcPr>
          <w:p w14:paraId="179B51F2" w14:textId="77777777" w:rsidR="00931938" w:rsidRPr="006468C2" w:rsidRDefault="00931938" w:rsidP="00202703">
            <w:pPr>
              <w:pStyle w:val="08-Tabelageral"/>
            </w:pPr>
            <w:r>
              <w:rPr>
                <w:rFonts w:cs="Arial"/>
                <w:color w:val="000000"/>
                <w:szCs w:val="14"/>
              </w:rPr>
              <w:t>(41)</w:t>
            </w:r>
          </w:p>
        </w:tc>
        <w:tc>
          <w:tcPr>
            <w:tcW w:w="251" w:type="dxa"/>
            <w:tcBorders>
              <w:top w:val="nil"/>
            </w:tcBorders>
            <w:shd w:val="clear" w:color="auto" w:fill="auto"/>
            <w:vAlign w:val="center"/>
          </w:tcPr>
          <w:p w14:paraId="3CA36716" w14:textId="77777777" w:rsidR="00931938" w:rsidRPr="006468C2" w:rsidRDefault="00931938" w:rsidP="00202703">
            <w:pPr>
              <w:pStyle w:val="08-Tabelageral"/>
              <w:rPr>
                <w:rFonts w:cs="Arial"/>
                <w:szCs w:val="14"/>
              </w:rPr>
            </w:pPr>
          </w:p>
        </w:tc>
        <w:tc>
          <w:tcPr>
            <w:tcW w:w="1449" w:type="dxa"/>
            <w:gridSpan w:val="2"/>
            <w:tcBorders>
              <w:top w:val="nil"/>
            </w:tcBorders>
            <w:shd w:val="clear" w:color="auto" w:fill="auto"/>
            <w:vAlign w:val="center"/>
          </w:tcPr>
          <w:p w14:paraId="63B69D58" w14:textId="77777777" w:rsidR="00931938" w:rsidRPr="006468C2" w:rsidRDefault="00931938" w:rsidP="00202703">
            <w:pPr>
              <w:pStyle w:val="08-Tabelageral"/>
              <w:rPr>
                <w:rFonts w:cs="Arial"/>
                <w:szCs w:val="14"/>
              </w:rPr>
            </w:pPr>
            <w:r>
              <w:rPr>
                <w:rFonts w:cs="Arial"/>
                <w:color w:val="000000"/>
                <w:szCs w:val="14"/>
              </w:rPr>
              <w:t>(2,986)</w:t>
            </w:r>
          </w:p>
        </w:tc>
        <w:tc>
          <w:tcPr>
            <w:tcW w:w="1526" w:type="dxa"/>
            <w:tcBorders>
              <w:top w:val="nil"/>
            </w:tcBorders>
            <w:shd w:val="clear" w:color="auto" w:fill="auto"/>
            <w:vAlign w:val="center"/>
          </w:tcPr>
          <w:p w14:paraId="6FBF1773" w14:textId="77777777" w:rsidR="00931938" w:rsidRPr="004078D0" w:rsidRDefault="00931938" w:rsidP="00202703">
            <w:pPr>
              <w:pStyle w:val="08-Tabelageral"/>
              <w:rPr>
                <w:rFonts w:cs="Arial"/>
                <w:szCs w:val="14"/>
              </w:rPr>
            </w:pPr>
            <w:r>
              <w:rPr>
                <w:rFonts w:cs="Arial"/>
                <w:color w:val="000000"/>
                <w:szCs w:val="14"/>
              </w:rPr>
              <w:t>(733)</w:t>
            </w:r>
          </w:p>
        </w:tc>
      </w:tr>
      <w:tr w:rsidR="00931938" w:rsidRPr="004078D0" w14:paraId="12E5F023" w14:textId="77777777" w:rsidTr="005D51AC">
        <w:trPr>
          <w:trHeight w:val="238"/>
          <w:jc w:val="center"/>
        </w:trPr>
        <w:tc>
          <w:tcPr>
            <w:tcW w:w="2986" w:type="dxa"/>
            <w:gridSpan w:val="2"/>
            <w:tcBorders>
              <w:top w:val="nil"/>
            </w:tcBorders>
            <w:shd w:val="clear" w:color="auto" w:fill="auto"/>
          </w:tcPr>
          <w:p w14:paraId="6C3BC99F" w14:textId="77777777" w:rsidR="00931938" w:rsidRPr="00FE2DBE" w:rsidRDefault="00931938" w:rsidP="00202703">
            <w:pPr>
              <w:pStyle w:val="08-Tabelageral"/>
              <w:jc w:val="left"/>
            </w:pPr>
            <w:r w:rsidRPr="00C009BA">
              <w:t>Service travel</w:t>
            </w:r>
          </w:p>
        </w:tc>
        <w:tc>
          <w:tcPr>
            <w:tcW w:w="417" w:type="dxa"/>
            <w:tcBorders>
              <w:top w:val="nil"/>
            </w:tcBorders>
            <w:shd w:val="clear" w:color="auto" w:fill="auto"/>
            <w:vAlign w:val="center"/>
          </w:tcPr>
          <w:p w14:paraId="4CB2BE37" w14:textId="77777777" w:rsidR="00931938" w:rsidRPr="006468C2" w:rsidRDefault="00931938" w:rsidP="00202703">
            <w:pPr>
              <w:pStyle w:val="08-Tabelageral"/>
              <w:rPr>
                <w:rFonts w:cs="Arial"/>
                <w:szCs w:val="14"/>
              </w:rPr>
            </w:pPr>
          </w:p>
        </w:tc>
        <w:tc>
          <w:tcPr>
            <w:tcW w:w="1598" w:type="dxa"/>
            <w:gridSpan w:val="2"/>
            <w:tcBorders>
              <w:top w:val="nil"/>
            </w:tcBorders>
            <w:shd w:val="clear" w:color="auto" w:fill="auto"/>
            <w:vAlign w:val="center"/>
          </w:tcPr>
          <w:p w14:paraId="00381BBA" w14:textId="77777777" w:rsidR="00931938" w:rsidRPr="006468C2" w:rsidRDefault="00931938" w:rsidP="00202703">
            <w:pPr>
              <w:pStyle w:val="08-Tabelageral"/>
              <w:rPr>
                <w:rFonts w:cs="Arial"/>
                <w:szCs w:val="14"/>
              </w:rPr>
            </w:pPr>
            <w:r>
              <w:rPr>
                <w:rFonts w:cs="Arial"/>
                <w:color w:val="000000"/>
                <w:szCs w:val="14"/>
              </w:rPr>
              <w:t>(337)</w:t>
            </w:r>
          </w:p>
        </w:tc>
        <w:tc>
          <w:tcPr>
            <w:tcW w:w="1412" w:type="dxa"/>
            <w:tcBorders>
              <w:top w:val="nil"/>
            </w:tcBorders>
            <w:shd w:val="clear" w:color="auto" w:fill="auto"/>
            <w:vAlign w:val="center"/>
          </w:tcPr>
          <w:p w14:paraId="038C5696" w14:textId="77777777" w:rsidR="00931938" w:rsidRPr="006468C2" w:rsidRDefault="00931938" w:rsidP="00202703">
            <w:pPr>
              <w:pStyle w:val="08-Tabelageral"/>
            </w:pPr>
            <w:r>
              <w:rPr>
                <w:rFonts w:cs="Arial"/>
                <w:color w:val="000000"/>
                <w:szCs w:val="14"/>
              </w:rPr>
              <w:t>(83)</w:t>
            </w:r>
          </w:p>
        </w:tc>
        <w:tc>
          <w:tcPr>
            <w:tcW w:w="251" w:type="dxa"/>
            <w:tcBorders>
              <w:top w:val="nil"/>
            </w:tcBorders>
            <w:shd w:val="clear" w:color="auto" w:fill="auto"/>
            <w:vAlign w:val="center"/>
          </w:tcPr>
          <w:p w14:paraId="39E26BD2" w14:textId="77777777" w:rsidR="00931938" w:rsidRPr="006468C2" w:rsidRDefault="00931938" w:rsidP="00202703">
            <w:pPr>
              <w:pStyle w:val="08-Tabelageral"/>
              <w:rPr>
                <w:rFonts w:cs="Arial"/>
                <w:szCs w:val="14"/>
              </w:rPr>
            </w:pPr>
          </w:p>
        </w:tc>
        <w:tc>
          <w:tcPr>
            <w:tcW w:w="1449" w:type="dxa"/>
            <w:gridSpan w:val="2"/>
            <w:tcBorders>
              <w:top w:val="nil"/>
            </w:tcBorders>
            <w:shd w:val="clear" w:color="auto" w:fill="auto"/>
            <w:vAlign w:val="center"/>
          </w:tcPr>
          <w:p w14:paraId="3E4F2966" w14:textId="77777777" w:rsidR="00931938" w:rsidRPr="006468C2" w:rsidRDefault="00931938" w:rsidP="00202703">
            <w:pPr>
              <w:pStyle w:val="08-Tabelageral"/>
              <w:rPr>
                <w:rFonts w:cs="Arial"/>
                <w:szCs w:val="14"/>
              </w:rPr>
            </w:pPr>
            <w:r>
              <w:rPr>
                <w:rFonts w:cs="Arial"/>
                <w:color w:val="000000"/>
                <w:szCs w:val="14"/>
              </w:rPr>
              <w:t>(1,560)</w:t>
            </w:r>
          </w:p>
        </w:tc>
        <w:tc>
          <w:tcPr>
            <w:tcW w:w="1526" w:type="dxa"/>
            <w:tcBorders>
              <w:top w:val="nil"/>
            </w:tcBorders>
            <w:shd w:val="clear" w:color="auto" w:fill="auto"/>
            <w:vAlign w:val="center"/>
          </w:tcPr>
          <w:p w14:paraId="7DF3F409" w14:textId="77777777" w:rsidR="00931938" w:rsidRPr="004078D0" w:rsidRDefault="00931938" w:rsidP="00202703">
            <w:pPr>
              <w:pStyle w:val="08-Tabelageral"/>
              <w:rPr>
                <w:rFonts w:cs="Arial"/>
                <w:szCs w:val="14"/>
              </w:rPr>
            </w:pPr>
            <w:r>
              <w:rPr>
                <w:rFonts w:cs="Arial"/>
                <w:color w:val="000000"/>
                <w:szCs w:val="14"/>
              </w:rPr>
              <w:t>(410)</w:t>
            </w:r>
          </w:p>
        </w:tc>
      </w:tr>
      <w:tr w:rsidR="00931938" w:rsidRPr="004078D0" w14:paraId="7F162A6E" w14:textId="77777777" w:rsidTr="005D51AC">
        <w:trPr>
          <w:trHeight w:val="238"/>
          <w:jc w:val="center"/>
        </w:trPr>
        <w:tc>
          <w:tcPr>
            <w:tcW w:w="2986" w:type="dxa"/>
            <w:gridSpan w:val="2"/>
            <w:tcBorders>
              <w:top w:val="nil"/>
            </w:tcBorders>
            <w:shd w:val="clear" w:color="auto" w:fill="auto"/>
          </w:tcPr>
          <w:p w14:paraId="1A3A33BA" w14:textId="77777777" w:rsidR="00931938" w:rsidRPr="00FE2DBE" w:rsidRDefault="00931938" w:rsidP="00202703">
            <w:pPr>
              <w:pStyle w:val="08-Tabelageral"/>
              <w:jc w:val="left"/>
            </w:pPr>
            <w:r w:rsidRPr="00754D49">
              <w:t>Publications</w:t>
            </w:r>
          </w:p>
        </w:tc>
        <w:tc>
          <w:tcPr>
            <w:tcW w:w="417" w:type="dxa"/>
            <w:tcBorders>
              <w:top w:val="nil"/>
            </w:tcBorders>
            <w:shd w:val="clear" w:color="auto" w:fill="auto"/>
            <w:vAlign w:val="center"/>
          </w:tcPr>
          <w:p w14:paraId="45DF2536" w14:textId="77777777" w:rsidR="00931938" w:rsidRPr="006468C2" w:rsidRDefault="00931938" w:rsidP="00202703">
            <w:pPr>
              <w:pStyle w:val="08-Tabelageral"/>
              <w:rPr>
                <w:rFonts w:cs="Arial"/>
                <w:szCs w:val="14"/>
              </w:rPr>
            </w:pPr>
          </w:p>
        </w:tc>
        <w:tc>
          <w:tcPr>
            <w:tcW w:w="1598" w:type="dxa"/>
            <w:gridSpan w:val="2"/>
            <w:tcBorders>
              <w:top w:val="nil"/>
            </w:tcBorders>
            <w:shd w:val="clear" w:color="auto" w:fill="auto"/>
            <w:vAlign w:val="center"/>
          </w:tcPr>
          <w:p w14:paraId="1CA35CC4" w14:textId="77777777" w:rsidR="00931938" w:rsidRPr="006468C2" w:rsidRDefault="00931938" w:rsidP="00202703">
            <w:pPr>
              <w:pStyle w:val="08-Tabelageral"/>
              <w:rPr>
                <w:rFonts w:cs="Arial"/>
                <w:szCs w:val="14"/>
              </w:rPr>
            </w:pPr>
            <w:r>
              <w:rPr>
                <w:rFonts w:cs="Arial"/>
                <w:color w:val="000000"/>
                <w:szCs w:val="14"/>
              </w:rPr>
              <w:t>(110)</w:t>
            </w:r>
          </w:p>
        </w:tc>
        <w:tc>
          <w:tcPr>
            <w:tcW w:w="1412" w:type="dxa"/>
            <w:tcBorders>
              <w:top w:val="nil"/>
            </w:tcBorders>
            <w:shd w:val="clear" w:color="auto" w:fill="auto"/>
            <w:vAlign w:val="center"/>
          </w:tcPr>
          <w:p w14:paraId="422A7E01" w14:textId="77777777" w:rsidR="00931938" w:rsidRPr="006468C2" w:rsidRDefault="00931938" w:rsidP="00202703">
            <w:pPr>
              <w:pStyle w:val="08-Tabelageral"/>
            </w:pPr>
            <w:r>
              <w:rPr>
                <w:rFonts w:cs="Arial"/>
                <w:color w:val="000000"/>
                <w:szCs w:val="14"/>
              </w:rPr>
              <w:t>(150)</w:t>
            </w:r>
          </w:p>
        </w:tc>
        <w:tc>
          <w:tcPr>
            <w:tcW w:w="251" w:type="dxa"/>
            <w:tcBorders>
              <w:top w:val="nil"/>
            </w:tcBorders>
            <w:shd w:val="clear" w:color="auto" w:fill="auto"/>
            <w:vAlign w:val="center"/>
          </w:tcPr>
          <w:p w14:paraId="7330CC0B" w14:textId="77777777" w:rsidR="00931938" w:rsidRPr="006468C2" w:rsidRDefault="00931938" w:rsidP="00202703">
            <w:pPr>
              <w:pStyle w:val="08-Tabelageral"/>
              <w:rPr>
                <w:rFonts w:cs="Arial"/>
                <w:szCs w:val="14"/>
              </w:rPr>
            </w:pPr>
          </w:p>
        </w:tc>
        <w:tc>
          <w:tcPr>
            <w:tcW w:w="1449" w:type="dxa"/>
            <w:gridSpan w:val="2"/>
            <w:tcBorders>
              <w:top w:val="nil"/>
            </w:tcBorders>
            <w:shd w:val="clear" w:color="auto" w:fill="auto"/>
            <w:vAlign w:val="center"/>
          </w:tcPr>
          <w:p w14:paraId="3210C07A" w14:textId="77777777" w:rsidR="00931938" w:rsidRPr="006468C2" w:rsidRDefault="00931938" w:rsidP="00202703">
            <w:pPr>
              <w:pStyle w:val="08-Tabelageral"/>
              <w:rPr>
                <w:rFonts w:cs="Arial"/>
                <w:szCs w:val="14"/>
              </w:rPr>
            </w:pPr>
            <w:r>
              <w:rPr>
                <w:rFonts w:cs="Arial"/>
                <w:color w:val="000000"/>
                <w:szCs w:val="14"/>
              </w:rPr>
              <w:t>(910)</w:t>
            </w:r>
          </w:p>
        </w:tc>
        <w:tc>
          <w:tcPr>
            <w:tcW w:w="1526" w:type="dxa"/>
            <w:tcBorders>
              <w:top w:val="nil"/>
            </w:tcBorders>
            <w:shd w:val="clear" w:color="auto" w:fill="auto"/>
            <w:vAlign w:val="center"/>
          </w:tcPr>
          <w:p w14:paraId="47B4D32C" w14:textId="77777777" w:rsidR="00931938" w:rsidRPr="004078D0" w:rsidRDefault="00931938" w:rsidP="00202703">
            <w:pPr>
              <w:pStyle w:val="08-Tabelageral"/>
              <w:rPr>
                <w:rFonts w:cs="Arial"/>
                <w:szCs w:val="14"/>
              </w:rPr>
            </w:pPr>
            <w:r>
              <w:rPr>
                <w:rFonts w:cs="Arial"/>
                <w:color w:val="000000"/>
                <w:szCs w:val="14"/>
              </w:rPr>
              <w:t>(645)</w:t>
            </w:r>
          </w:p>
        </w:tc>
      </w:tr>
      <w:tr w:rsidR="00931938" w:rsidRPr="004078D0" w14:paraId="09E56BF9" w14:textId="77777777" w:rsidTr="005D51AC">
        <w:trPr>
          <w:trHeight w:val="238"/>
          <w:jc w:val="center"/>
        </w:trPr>
        <w:tc>
          <w:tcPr>
            <w:tcW w:w="2986" w:type="dxa"/>
            <w:gridSpan w:val="2"/>
            <w:tcBorders>
              <w:top w:val="nil"/>
            </w:tcBorders>
            <w:shd w:val="clear" w:color="auto" w:fill="auto"/>
          </w:tcPr>
          <w:p w14:paraId="1066A9F0" w14:textId="77777777" w:rsidR="00931938" w:rsidRPr="00FE2DBE" w:rsidRDefault="00931938" w:rsidP="00202703">
            <w:pPr>
              <w:pStyle w:val="08-Tabelageral"/>
              <w:jc w:val="left"/>
            </w:pPr>
            <w:r w:rsidRPr="00C009BA">
              <w:t>Costs communicating</w:t>
            </w:r>
          </w:p>
        </w:tc>
        <w:tc>
          <w:tcPr>
            <w:tcW w:w="417" w:type="dxa"/>
            <w:tcBorders>
              <w:top w:val="nil"/>
            </w:tcBorders>
            <w:shd w:val="clear" w:color="auto" w:fill="auto"/>
            <w:vAlign w:val="center"/>
          </w:tcPr>
          <w:p w14:paraId="4D9205EC" w14:textId="77777777" w:rsidR="00931938" w:rsidRPr="006468C2" w:rsidRDefault="00931938" w:rsidP="00202703">
            <w:pPr>
              <w:pStyle w:val="08-Tabelageral"/>
              <w:rPr>
                <w:rFonts w:cs="Arial"/>
                <w:szCs w:val="14"/>
              </w:rPr>
            </w:pPr>
          </w:p>
        </w:tc>
        <w:tc>
          <w:tcPr>
            <w:tcW w:w="1598" w:type="dxa"/>
            <w:gridSpan w:val="2"/>
            <w:tcBorders>
              <w:top w:val="nil"/>
            </w:tcBorders>
            <w:shd w:val="clear" w:color="auto" w:fill="auto"/>
            <w:vAlign w:val="center"/>
          </w:tcPr>
          <w:p w14:paraId="75FA0F3D" w14:textId="77777777" w:rsidR="00931938" w:rsidRPr="006468C2" w:rsidRDefault="00931938" w:rsidP="00202703">
            <w:pPr>
              <w:pStyle w:val="08-Tabelageral"/>
              <w:rPr>
                <w:rFonts w:cs="Arial"/>
                <w:szCs w:val="14"/>
              </w:rPr>
            </w:pPr>
            <w:r>
              <w:rPr>
                <w:rFonts w:cs="Arial"/>
                <w:color w:val="000000"/>
                <w:szCs w:val="14"/>
              </w:rPr>
              <w:t>(572)</w:t>
            </w:r>
          </w:p>
        </w:tc>
        <w:tc>
          <w:tcPr>
            <w:tcW w:w="1412" w:type="dxa"/>
            <w:tcBorders>
              <w:top w:val="nil"/>
            </w:tcBorders>
            <w:shd w:val="clear" w:color="auto" w:fill="auto"/>
            <w:vAlign w:val="center"/>
          </w:tcPr>
          <w:p w14:paraId="15279591" w14:textId="77777777" w:rsidR="00931938" w:rsidRPr="006468C2" w:rsidRDefault="00931938" w:rsidP="00202703">
            <w:pPr>
              <w:pStyle w:val="08-Tabelageral"/>
            </w:pPr>
            <w:r>
              <w:rPr>
                <w:rFonts w:cs="Arial"/>
                <w:color w:val="000000"/>
                <w:szCs w:val="14"/>
              </w:rPr>
              <w:t>(325)</w:t>
            </w:r>
          </w:p>
        </w:tc>
        <w:tc>
          <w:tcPr>
            <w:tcW w:w="251" w:type="dxa"/>
            <w:tcBorders>
              <w:top w:val="nil"/>
            </w:tcBorders>
            <w:shd w:val="clear" w:color="auto" w:fill="auto"/>
            <w:vAlign w:val="center"/>
          </w:tcPr>
          <w:p w14:paraId="2AA19FA3" w14:textId="77777777" w:rsidR="00931938" w:rsidRPr="006468C2" w:rsidRDefault="00931938" w:rsidP="00202703">
            <w:pPr>
              <w:pStyle w:val="08-Tabelageral"/>
              <w:rPr>
                <w:rFonts w:cs="Arial"/>
                <w:szCs w:val="14"/>
              </w:rPr>
            </w:pPr>
          </w:p>
        </w:tc>
        <w:tc>
          <w:tcPr>
            <w:tcW w:w="1449" w:type="dxa"/>
            <w:gridSpan w:val="2"/>
            <w:tcBorders>
              <w:top w:val="nil"/>
            </w:tcBorders>
            <w:shd w:val="clear" w:color="auto" w:fill="auto"/>
            <w:vAlign w:val="center"/>
          </w:tcPr>
          <w:p w14:paraId="15760064" w14:textId="77777777" w:rsidR="00931938" w:rsidRPr="006468C2" w:rsidRDefault="00931938" w:rsidP="00202703">
            <w:pPr>
              <w:pStyle w:val="08-Tabelageral"/>
              <w:rPr>
                <w:rFonts w:cs="Arial"/>
                <w:szCs w:val="14"/>
              </w:rPr>
            </w:pPr>
            <w:r>
              <w:rPr>
                <w:rFonts w:cs="Arial"/>
                <w:color w:val="000000"/>
                <w:szCs w:val="14"/>
              </w:rPr>
              <w:t>(878)</w:t>
            </w:r>
          </w:p>
        </w:tc>
        <w:tc>
          <w:tcPr>
            <w:tcW w:w="1526" w:type="dxa"/>
            <w:tcBorders>
              <w:top w:val="nil"/>
            </w:tcBorders>
            <w:shd w:val="clear" w:color="auto" w:fill="auto"/>
            <w:vAlign w:val="center"/>
          </w:tcPr>
          <w:p w14:paraId="6AF9BD70" w14:textId="77777777" w:rsidR="00931938" w:rsidRPr="004078D0" w:rsidRDefault="00931938" w:rsidP="00202703">
            <w:pPr>
              <w:pStyle w:val="08-Tabelageral"/>
              <w:rPr>
                <w:rFonts w:cs="Arial"/>
                <w:szCs w:val="14"/>
              </w:rPr>
            </w:pPr>
            <w:r>
              <w:rPr>
                <w:rFonts w:cs="Arial"/>
                <w:color w:val="000000"/>
                <w:szCs w:val="14"/>
              </w:rPr>
              <w:t>(727)</w:t>
            </w:r>
          </w:p>
        </w:tc>
      </w:tr>
      <w:tr w:rsidR="00931938" w:rsidRPr="004078D0" w14:paraId="6F0E9A9A" w14:textId="77777777" w:rsidTr="005D51AC">
        <w:trPr>
          <w:trHeight w:val="238"/>
          <w:jc w:val="center"/>
        </w:trPr>
        <w:tc>
          <w:tcPr>
            <w:tcW w:w="2986" w:type="dxa"/>
            <w:gridSpan w:val="2"/>
            <w:tcBorders>
              <w:top w:val="nil"/>
            </w:tcBorders>
            <w:shd w:val="clear" w:color="auto" w:fill="auto"/>
          </w:tcPr>
          <w:p w14:paraId="416BF3B8" w14:textId="77777777" w:rsidR="00931938" w:rsidRPr="00931938" w:rsidRDefault="00931938" w:rsidP="00202703">
            <w:pPr>
              <w:pStyle w:val="08-Tabelageral"/>
              <w:jc w:val="left"/>
              <w:rPr>
                <w:lang w:val="en-US"/>
              </w:rPr>
            </w:pPr>
            <w:r w:rsidRPr="00931938">
              <w:rPr>
                <w:lang w:val="en-US"/>
              </w:rPr>
              <w:t>Services contracted from third parties</w:t>
            </w:r>
          </w:p>
        </w:tc>
        <w:tc>
          <w:tcPr>
            <w:tcW w:w="417" w:type="dxa"/>
            <w:tcBorders>
              <w:top w:val="nil"/>
            </w:tcBorders>
            <w:shd w:val="clear" w:color="auto" w:fill="auto"/>
            <w:vAlign w:val="center"/>
          </w:tcPr>
          <w:p w14:paraId="65719F86" w14:textId="77777777" w:rsidR="00931938" w:rsidRPr="00931938" w:rsidRDefault="00931938" w:rsidP="00202703">
            <w:pPr>
              <w:pStyle w:val="08-Tabelageral"/>
              <w:rPr>
                <w:rFonts w:cs="Arial"/>
                <w:szCs w:val="14"/>
                <w:lang w:val="en-US"/>
              </w:rPr>
            </w:pPr>
          </w:p>
        </w:tc>
        <w:tc>
          <w:tcPr>
            <w:tcW w:w="1598" w:type="dxa"/>
            <w:gridSpan w:val="2"/>
            <w:tcBorders>
              <w:top w:val="nil"/>
            </w:tcBorders>
            <w:shd w:val="clear" w:color="auto" w:fill="auto"/>
            <w:vAlign w:val="center"/>
          </w:tcPr>
          <w:p w14:paraId="5301D509" w14:textId="77777777" w:rsidR="00931938" w:rsidRPr="006468C2" w:rsidRDefault="00931938" w:rsidP="00202703">
            <w:pPr>
              <w:pStyle w:val="08-Tabelageral"/>
              <w:rPr>
                <w:rFonts w:cs="Arial"/>
                <w:szCs w:val="14"/>
              </w:rPr>
            </w:pPr>
            <w:r>
              <w:rPr>
                <w:rFonts w:cs="Arial"/>
                <w:color w:val="000000"/>
                <w:szCs w:val="14"/>
              </w:rPr>
              <w:t>(18)</w:t>
            </w:r>
          </w:p>
        </w:tc>
        <w:tc>
          <w:tcPr>
            <w:tcW w:w="1412" w:type="dxa"/>
            <w:tcBorders>
              <w:top w:val="nil"/>
            </w:tcBorders>
            <w:shd w:val="clear" w:color="auto" w:fill="auto"/>
            <w:vAlign w:val="center"/>
          </w:tcPr>
          <w:p w14:paraId="08568FB1" w14:textId="77777777" w:rsidR="00931938" w:rsidRPr="006468C2" w:rsidRDefault="00931938" w:rsidP="00202703">
            <w:pPr>
              <w:pStyle w:val="08-Tabelageral"/>
            </w:pPr>
            <w:r>
              <w:rPr>
                <w:rFonts w:cs="Arial"/>
                <w:color w:val="000000"/>
                <w:szCs w:val="14"/>
              </w:rPr>
              <w:t>(23)</w:t>
            </w:r>
          </w:p>
        </w:tc>
        <w:tc>
          <w:tcPr>
            <w:tcW w:w="251" w:type="dxa"/>
            <w:tcBorders>
              <w:top w:val="nil"/>
            </w:tcBorders>
            <w:shd w:val="clear" w:color="auto" w:fill="auto"/>
            <w:vAlign w:val="center"/>
          </w:tcPr>
          <w:p w14:paraId="7BD32F78" w14:textId="77777777" w:rsidR="00931938" w:rsidRPr="006468C2" w:rsidRDefault="00931938" w:rsidP="00202703">
            <w:pPr>
              <w:pStyle w:val="08-Tabelageral"/>
              <w:rPr>
                <w:rFonts w:cs="Arial"/>
                <w:szCs w:val="14"/>
              </w:rPr>
            </w:pPr>
          </w:p>
        </w:tc>
        <w:tc>
          <w:tcPr>
            <w:tcW w:w="1449" w:type="dxa"/>
            <w:gridSpan w:val="2"/>
            <w:tcBorders>
              <w:top w:val="nil"/>
            </w:tcBorders>
            <w:shd w:val="clear" w:color="auto" w:fill="auto"/>
            <w:vAlign w:val="center"/>
          </w:tcPr>
          <w:p w14:paraId="6FD11B4E" w14:textId="77777777" w:rsidR="00931938" w:rsidRPr="006468C2" w:rsidRDefault="00931938" w:rsidP="00202703">
            <w:pPr>
              <w:pStyle w:val="08-Tabelageral"/>
              <w:rPr>
                <w:rFonts w:cs="Arial"/>
                <w:szCs w:val="14"/>
              </w:rPr>
            </w:pPr>
            <w:r>
              <w:rPr>
                <w:rFonts w:cs="Arial"/>
                <w:color w:val="000000"/>
                <w:szCs w:val="14"/>
              </w:rPr>
              <w:t>(399)</w:t>
            </w:r>
          </w:p>
        </w:tc>
        <w:tc>
          <w:tcPr>
            <w:tcW w:w="1526" w:type="dxa"/>
            <w:tcBorders>
              <w:top w:val="nil"/>
            </w:tcBorders>
            <w:shd w:val="clear" w:color="auto" w:fill="auto"/>
            <w:vAlign w:val="center"/>
          </w:tcPr>
          <w:p w14:paraId="44118455" w14:textId="77777777" w:rsidR="00931938" w:rsidRPr="004078D0" w:rsidRDefault="00931938" w:rsidP="00202703">
            <w:pPr>
              <w:pStyle w:val="08-Tabelageral"/>
              <w:rPr>
                <w:rFonts w:cs="Arial"/>
                <w:szCs w:val="14"/>
              </w:rPr>
            </w:pPr>
            <w:r>
              <w:rPr>
                <w:rFonts w:cs="Arial"/>
                <w:color w:val="000000"/>
                <w:szCs w:val="14"/>
              </w:rPr>
              <w:t>(152)</w:t>
            </w:r>
          </w:p>
        </w:tc>
      </w:tr>
      <w:tr w:rsidR="00931938" w:rsidRPr="004078D0" w14:paraId="304B0F98" w14:textId="77777777" w:rsidTr="005D51AC">
        <w:trPr>
          <w:trHeight w:val="238"/>
          <w:jc w:val="center"/>
        </w:trPr>
        <w:tc>
          <w:tcPr>
            <w:tcW w:w="2986" w:type="dxa"/>
            <w:gridSpan w:val="2"/>
            <w:tcBorders>
              <w:top w:val="nil"/>
              <w:bottom w:val="nil"/>
            </w:tcBorders>
            <w:shd w:val="clear" w:color="auto" w:fill="auto"/>
          </w:tcPr>
          <w:p w14:paraId="1E4DEB1A" w14:textId="77777777" w:rsidR="00931938" w:rsidRDefault="00931938" w:rsidP="00202703">
            <w:pPr>
              <w:pStyle w:val="08-Tabelageral"/>
              <w:jc w:val="left"/>
            </w:pPr>
            <w:r w:rsidRPr="00F213A2">
              <w:t>Other</w:t>
            </w:r>
          </w:p>
        </w:tc>
        <w:tc>
          <w:tcPr>
            <w:tcW w:w="417" w:type="dxa"/>
            <w:tcBorders>
              <w:top w:val="nil"/>
              <w:bottom w:val="nil"/>
            </w:tcBorders>
            <w:shd w:val="clear" w:color="auto" w:fill="auto"/>
            <w:vAlign w:val="center"/>
          </w:tcPr>
          <w:p w14:paraId="2E410050" w14:textId="77777777" w:rsidR="00931938" w:rsidRPr="00714C80" w:rsidRDefault="00931938" w:rsidP="00202703">
            <w:pPr>
              <w:pStyle w:val="08-Tabelageral"/>
              <w:rPr>
                <w:rFonts w:cs="Arial"/>
                <w:szCs w:val="14"/>
              </w:rPr>
            </w:pPr>
          </w:p>
        </w:tc>
        <w:tc>
          <w:tcPr>
            <w:tcW w:w="1598" w:type="dxa"/>
            <w:gridSpan w:val="2"/>
            <w:tcBorders>
              <w:bottom w:val="nil"/>
            </w:tcBorders>
            <w:shd w:val="clear" w:color="auto" w:fill="auto"/>
            <w:vAlign w:val="center"/>
          </w:tcPr>
          <w:p w14:paraId="0EB5DBED" w14:textId="77777777" w:rsidR="00931938" w:rsidRPr="00714C80" w:rsidRDefault="00931938" w:rsidP="00202703">
            <w:pPr>
              <w:pStyle w:val="08-Tabelageral"/>
              <w:rPr>
                <w:rFonts w:cs="Arial"/>
                <w:szCs w:val="14"/>
              </w:rPr>
            </w:pPr>
            <w:r>
              <w:rPr>
                <w:rFonts w:cs="Arial"/>
                <w:color w:val="000000"/>
                <w:szCs w:val="14"/>
              </w:rPr>
              <w:t>(228)</w:t>
            </w:r>
          </w:p>
        </w:tc>
        <w:tc>
          <w:tcPr>
            <w:tcW w:w="1412" w:type="dxa"/>
            <w:tcBorders>
              <w:bottom w:val="nil"/>
            </w:tcBorders>
            <w:shd w:val="clear" w:color="auto" w:fill="auto"/>
            <w:vAlign w:val="center"/>
          </w:tcPr>
          <w:p w14:paraId="71C2C4EC" w14:textId="77777777" w:rsidR="00931938" w:rsidRPr="00714C80" w:rsidRDefault="00931938" w:rsidP="00202703">
            <w:pPr>
              <w:pStyle w:val="08-Tabelageral"/>
            </w:pPr>
            <w:r>
              <w:rPr>
                <w:rFonts w:cs="Arial"/>
                <w:color w:val="000000"/>
                <w:szCs w:val="14"/>
              </w:rPr>
              <w:t>(179)</w:t>
            </w:r>
          </w:p>
        </w:tc>
        <w:tc>
          <w:tcPr>
            <w:tcW w:w="251" w:type="dxa"/>
            <w:tcBorders>
              <w:bottom w:val="nil"/>
            </w:tcBorders>
            <w:shd w:val="clear" w:color="auto" w:fill="auto"/>
            <w:vAlign w:val="center"/>
          </w:tcPr>
          <w:p w14:paraId="580989EB" w14:textId="77777777" w:rsidR="00931938" w:rsidRPr="00714C80" w:rsidRDefault="00931938" w:rsidP="00202703">
            <w:pPr>
              <w:pStyle w:val="08-Tabelageral"/>
              <w:rPr>
                <w:rFonts w:cs="Arial"/>
                <w:szCs w:val="14"/>
              </w:rPr>
            </w:pPr>
          </w:p>
        </w:tc>
        <w:tc>
          <w:tcPr>
            <w:tcW w:w="1449" w:type="dxa"/>
            <w:gridSpan w:val="2"/>
            <w:tcBorders>
              <w:bottom w:val="nil"/>
            </w:tcBorders>
            <w:shd w:val="clear" w:color="auto" w:fill="auto"/>
            <w:vAlign w:val="center"/>
          </w:tcPr>
          <w:p w14:paraId="00FCE3B4" w14:textId="77777777" w:rsidR="00931938" w:rsidRPr="00714C80" w:rsidRDefault="00931938" w:rsidP="00202703">
            <w:pPr>
              <w:pStyle w:val="08-Tabelageral"/>
              <w:rPr>
                <w:rFonts w:cs="Arial"/>
                <w:szCs w:val="14"/>
              </w:rPr>
            </w:pPr>
            <w:r>
              <w:rPr>
                <w:rFonts w:cs="Arial"/>
                <w:color w:val="000000"/>
                <w:szCs w:val="14"/>
              </w:rPr>
              <w:t>(1,808)</w:t>
            </w:r>
          </w:p>
        </w:tc>
        <w:tc>
          <w:tcPr>
            <w:tcW w:w="1526" w:type="dxa"/>
            <w:tcBorders>
              <w:bottom w:val="nil"/>
            </w:tcBorders>
            <w:shd w:val="clear" w:color="auto" w:fill="auto"/>
            <w:vAlign w:val="center"/>
          </w:tcPr>
          <w:p w14:paraId="00B81004" w14:textId="77777777" w:rsidR="00931938" w:rsidRPr="00714C80" w:rsidRDefault="00931938" w:rsidP="00202703">
            <w:pPr>
              <w:pStyle w:val="08-Tabelageral"/>
              <w:rPr>
                <w:rFonts w:cs="Arial"/>
                <w:szCs w:val="14"/>
              </w:rPr>
            </w:pPr>
            <w:r>
              <w:rPr>
                <w:rFonts w:cs="Arial"/>
                <w:color w:val="000000"/>
                <w:szCs w:val="14"/>
              </w:rPr>
              <w:t>(2,283)</w:t>
            </w:r>
          </w:p>
        </w:tc>
      </w:tr>
      <w:tr w:rsidR="00931938" w:rsidRPr="002C2608" w14:paraId="21A79CEB" w14:textId="77777777" w:rsidTr="005D51AC">
        <w:trPr>
          <w:trHeight w:val="238"/>
          <w:jc w:val="center"/>
        </w:trPr>
        <w:tc>
          <w:tcPr>
            <w:tcW w:w="2986" w:type="dxa"/>
            <w:gridSpan w:val="2"/>
            <w:tcBorders>
              <w:top w:val="nil"/>
              <w:bottom w:val="single" w:sz="2" w:space="0" w:color="1F4E79" w:themeColor="accent1" w:themeShade="80"/>
            </w:tcBorders>
            <w:shd w:val="clear" w:color="auto" w:fill="auto"/>
          </w:tcPr>
          <w:p w14:paraId="4AA20AA7" w14:textId="77777777" w:rsidR="00931938" w:rsidRPr="002C2608" w:rsidRDefault="00931938" w:rsidP="00202703">
            <w:pPr>
              <w:pStyle w:val="08-Tabelageral"/>
              <w:jc w:val="left"/>
              <w:rPr>
                <w:b/>
              </w:rPr>
            </w:pPr>
            <w:r w:rsidRPr="004D2044">
              <w:rPr>
                <w:b/>
              </w:rPr>
              <w:t>Total</w:t>
            </w:r>
          </w:p>
        </w:tc>
        <w:tc>
          <w:tcPr>
            <w:tcW w:w="417" w:type="dxa"/>
            <w:tcBorders>
              <w:top w:val="nil"/>
              <w:bottom w:val="single" w:sz="2" w:space="0" w:color="1F4E79" w:themeColor="accent1" w:themeShade="80"/>
            </w:tcBorders>
            <w:shd w:val="clear" w:color="auto" w:fill="auto"/>
          </w:tcPr>
          <w:p w14:paraId="457F7E59" w14:textId="77777777" w:rsidR="00931938" w:rsidRPr="002C2608" w:rsidRDefault="00931938" w:rsidP="00202703">
            <w:pPr>
              <w:pStyle w:val="08-Tabelageral"/>
              <w:rPr>
                <w:rFonts w:cs="Arial"/>
                <w:b/>
                <w:szCs w:val="14"/>
              </w:rPr>
            </w:pPr>
          </w:p>
        </w:tc>
        <w:tc>
          <w:tcPr>
            <w:tcW w:w="1598" w:type="dxa"/>
            <w:gridSpan w:val="2"/>
            <w:tcBorders>
              <w:top w:val="nil"/>
              <w:bottom w:val="single" w:sz="2" w:space="0" w:color="1F4E79" w:themeColor="accent1" w:themeShade="80"/>
            </w:tcBorders>
            <w:shd w:val="clear" w:color="auto" w:fill="auto"/>
            <w:vAlign w:val="center"/>
          </w:tcPr>
          <w:p w14:paraId="471EFE0A" w14:textId="77777777" w:rsidR="00931938" w:rsidRPr="002C2608" w:rsidRDefault="00931938" w:rsidP="00202703">
            <w:pPr>
              <w:pStyle w:val="08-Tabelageral"/>
              <w:rPr>
                <w:rFonts w:cs="Arial"/>
                <w:b/>
                <w:szCs w:val="14"/>
              </w:rPr>
            </w:pPr>
            <w:r>
              <w:rPr>
                <w:rFonts w:cs="Arial"/>
                <w:b/>
                <w:bCs/>
                <w:color w:val="000000"/>
                <w:szCs w:val="14"/>
              </w:rPr>
              <w:t>(3,867)</w:t>
            </w:r>
          </w:p>
        </w:tc>
        <w:tc>
          <w:tcPr>
            <w:tcW w:w="1412" w:type="dxa"/>
            <w:tcBorders>
              <w:top w:val="nil"/>
              <w:bottom w:val="single" w:sz="2" w:space="0" w:color="1F4E79" w:themeColor="accent1" w:themeShade="80"/>
            </w:tcBorders>
            <w:shd w:val="clear" w:color="auto" w:fill="auto"/>
            <w:vAlign w:val="center"/>
          </w:tcPr>
          <w:p w14:paraId="0B049A15" w14:textId="77777777" w:rsidR="00931938" w:rsidRPr="002C2608" w:rsidRDefault="00931938" w:rsidP="00202703">
            <w:pPr>
              <w:pStyle w:val="08-Tabelageral"/>
              <w:rPr>
                <w:rFonts w:cs="Arial"/>
                <w:b/>
                <w:szCs w:val="14"/>
              </w:rPr>
            </w:pPr>
            <w:r>
              <w:rPr>
                <w:rFonts w:cs="Arial"/>
                <w:b/>
                <w:bCs/>
                <w:color w:val="000000"/>
                <w:szCs w:val="14"/>
              </w:rPr>
              <w:t>(3,152)</w:t>
            </w:r>
          </w:p>
        </w:tc>
        <w:tc>
          <w:tcPr>
            <w:tcW w:w="251" w:type="dxa"/>
            <w:tcBorders>
              <w:top w:val="nil"/>
              <w:bottom w:val="single" w:sz="2" w:space="0" w:color="1F4E79" w:themeColor="accent1" w:themeShade="80"/>
            </w:tcBorders>
            <w:shd w:val="clear" w:color="auto" w:fill="auto"/>
            <w:vAlign w:val="center"/>
          </w:tcPr>
          <w:p w14:paraId="4A97BFF1" w14:textId="77777777" w:rsidR="00931938" w:rsidRPr="002C2608" w:rsidRDefault="00931938" w:rsidP="00202703">
            <w:pPr>
              <w:pStyle w:val="08-Tabelageral"/>
              <w:rPr>
                <w:rFonts w:cs="Arial"/>
                <w:b/>
                <w:szCs w:val="14"/>
              </w:rPr>
            </w:pPr>
          </w:p>
        </w:tc>
        <w:tc>
          <w:tcPr>
            <w:tcW w:w="1449" w:type="dxa"/>
            <w:gridSpan w:val="2"/>
            <w:tcBorders>
              <w:top w:val="nil"/>
              <w:bottom w:val="single" w:sz="2" w:space="0" w:color="1F4E79" w:themeColor="accent1" w:themeShade="80"/>
            </w:tcBorders>
            <w:shd w:val="clear" w:color="auto" w:fill="auto"/>
            <w:vAlign w:val="center"/>
          </w:tcPr>
          <w:p w14:paraId="3AAB4FC0" w14:textId="77777777" w:rsidR="00931938" w:rsidRPr="002C2608" w:rsidRDefault="00931938" w:rsidP="00202703">
            <w:pPr>
              <w:pStyle w:val="08-Tabelageral"/>
              <w:rPr>
                <w:rFonts w:cs="Arial"/>
                <w:b/>
                <w:szCs w:val="14"/>
              </w:rPr>
            </w:pPr>
            <w:r>
              <w:rPr>
                <w:rFonts w:cs="Arial"/>
                <w:b/>
                <w:bCs/>
                <w:color w:val="000000"/>
                <w:szCs w:val="14"/>
              </w:rPr>
              <w:t>(49,988)</w:t>
            </w:r>
          </w:p>
        </w:tc>
        <w:tc>
          <w:tcPr>
            <w:tcW w:w="1526" w:type="dxa"/>
            <w:tcBorders>
              <w:top w:val="nil"/>
              <w:bottom w:val="single" w:sz="2" w:space="0" w:color="1F4E79" w:themeColor="accent1" w:themeShade="80"/>
            </w:tcBorders>
            <w:shd w:val="clear" w:color="auto" w:fill="auto"/>
            <w:vAlign w:val="center"/>
          </w:tcPr>
          <w:p w14:paraId="591F525D" w14:textId="77777777" w:rsidR="00931938" w:rsidRPr="002C2608" w:rsidRDefault="00931938" w:rsidP="00202703">
            <w:pPr>
              <w:pStyle w:val="08-Tabelageral"/>
              <w:rPr>
                <w:rFonts w:cs="Arial"/>
                <w:b/>
                <w:szCs w:val="14"/>
              </w:rPr>
            </w:pPr>
            <w:r>
              <w:rPr>
                <w:rFonts w:cs="Arial"/>
                <w:b/>
                <w:bCs/>
                <w:color w:val="000000"/>
                <w:szCs w:val="14"/>
              </w:rPr>
              <w:t>(38,266)</w:t>
            </w:r>
          </w:p>
        </w:tc>
      </w:tr>
    </w:tbl>
    <w:p w14:paraId="363BA2C3" w14:textId="77777777" w:rsidR="00931938" w:rsidRPr="00D44157" w:rsidRDefault="00931938" w:rsidP="00931938">
      <w:pPr>
        <w:pStyle w:val="PargrafodaLista"/>
        <w:numPr>
          <w:ilvl w:val="0"/>
          <w:numId w:val="31"/>
        </w:numPr>
        <w:spacing w:after="0" w:line="240" w:lineRule="auto"/>
        <w:ind w:left="284" w:hanging="284"/>
        <w:jc w:val="both"/>
        <w:rPr>
          <w:rFonts w:ascii="Arial" w:hAnsi="Arial" w:cs="Arial"/>
          <w:sz w:val="14"/>
          <w:szCs w:val="14"/>
          <w:lang w:val="en"/>
        </w:rPr>
      </w:pPr>
      <w:r w:rsidRPr="00E474D5">
        <w:rPr>
          <w:rStyle w:val="q4iawc"/>
          <w:rFonts w:ascii="Arial" w:hAnsi="Arial" w:cs="Arial"/>
          <w:sz w:val="14"/>
          <w:szCs w:val="14"/>
          <w:lang w:val="en"/>
        </w:rPr>
        <w:t>Refers to expenses with partnerships signed with correspondents, in new channels, for the sale of insurance products</w:t>
      </w:r>
      <w:r>
        <w:rPr>
          <w:rStyle w:val="q4iawc"/>
          <w:rFonts w:ascii="Arial" w:hAnsi="Arial" w:cs="Arial"/>
          <w:sz w:val="14"/>
          <w:szCs w:val="14"/>
          <w:lang w:val="en"/>
        </w:rPr>
        <w:t xml:space="preserve">; </w:t>
      </w:r>
      <w:r w:rsidRPr="00F379E3">
        <w:rPr>
          <w:rStyle w:val="q4iawc"/>
          <w:rFonts w:ascii="Arial" w:hAnsi="Arial" w:cs="Arial"/>
          <w:sz w:val="14"/>
          <w:szCs w:val="14"/>
          <w:lang w:val="en"/>
        </w:rPr>
        <w:t>and sales incentive commercial campaigns.</w:t>
      </w:r>
    </w:p>
    <w:p w14:paraId="2CC3CB3D" w14:textId="3329A70D" w:rsidR="00931938" w:rsidRPr="00AB4D1D" w:rsidRDefault="00931938" w:rsidP="00FC4475">
      <w:pPr>
        <w:pStyle w:val="Ttulo1"/>
      </w:pPr>
      <w:bookmarkStart w:id="41" w:name="_Toc126781103"/>
      <w:bookmarkStart w:id="42" w:name="OLE_LINK13"/>
      <w:r w:rsidRPr="00AB4D1D">
        <w:t>12 – TAXES</w:t>
      </w:r>
      <w:bookmarkEnd w:id="41"/>
    </w:p>
    <w:p w14:paraId="6E589B34" w14:textId="77777777" w:rsidR="00931938" w:rsidRPr="00E54AB3" w:rsidRDefault="00931938" w:rsidP="00581CEE">
      <w:pPr>
        <w:spacing w:after="40"/>
        <w:rPr>
          <w:rFonts w:cs="Arial"/>
          <w:b/>
          <w:color w:val="1F4E79" w:themeColor="accent1" w:themeShade="80"/>
          <w:szCs w:val="18"/>
          <w:lang w:val="en-US"/>
        </w:rPr>
      </w:pPr>
      <w:r w:rsidRPr="00E54AB3">
        <w:rPr>
          <w:rFonts w:cs="Arial"/>
          <w:b/>
          <w:color w:val="1F4E79" w:themeColor="accent1" w:themeShade="80"/>
          <w:szCs w:val="18"/>
          <w:lang w:val="en-US"/>
        </w:rPr>
        <w:t xml:space="preserve">a) </w:t>
      </w:r>
      <w:r w:rsidRPr="00662308">
        <w:rPr>
          <w:rFonts w:cs="Arial"/>
          <w:b/>
          <w:color w:val="1F4E79" w:themeColor="accent1" w:themeShade="80"/>
          <w:szCs w:val="18"/>
          <w:lang w:val="en-US"/>
        </w:rPr>
        <w:t>Breakdown of income tax (IR) and social contribution expenses (CSLL)</w:t>
      </w:r>
    </w:p>
    <w:p w14:paraId="584714FF" w14:textId="77777777" w:rsidR="00931938" w:rsidRPr="00FF3D4B" w:rsidRDefault="00931938" w:rsidP="007A0EE9">
      <w:pPr>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931938" w:rsidRPr="003F4B3F" w14:paraId="55534CFE" w14:textId="77777777" w:rsidTr="00AB4D1D">
        <w:trPr>
          <w:trHeight w:val="238"/>
          <w:jc w:val="center"/>
        </w:trPr>
        <w:tc>
          <w:tcPr>
            <w:tcW w:w="3094" w:type="dxa"/>
            <w:tcBorders>
              <w:top w:val="single" w:sz="2" w:space="0" w:color="1F4E79" w:themeColor="accent1" w:themeShade="80"/>
              <w:bottom w:val="nil"/>
            </w:tcBorders>
            <w:shd w:val="clear" w:color="auto" w:fill="auto"/>
            <w:vAlign w:val="center"/>
          </w:tcPr>
          <w:p w14:paraId="39FD6543" w14:textId="77777777" w:rsidR="00931938" w:rsidRPr="003F4B3F" w:rsidRDefault="00931938" w:rsidP="003F4B3F">
            <w:pPr>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49228106" w14:textId="77777777" w:rsidR="00931938" w:rsidRPr="003F4B3F" w:rsidRDefault="00931938" w:rsidP="003F4B3F">
            <w:pPr>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4BBC9A2C" w14:textId="77777777" w:rsidR="00931938" w:rsidRPr="00EC4649" w:rsidRDefault="00931938" w:rsidP="003F4B3F">
            <w:pPr>
              <w:spacing w:after="0"/>
              <w:jc w:val="center"/>
              <w:rPr>
                <w:rFonts w:cs="Arial"/>
                <w:b/>
                <w:sz w:val="14"/>
                <w:szCs w:val="18"/>
              </w:rPr>
            </w:pPr>
            <w:r w:rsidRPr="00EC4649">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1D735F68" w14:textId="77777777" w:rsidR="00931938" w:rsidRPr="003F4B3F" w:rsidRDefault="00931938" w:rsidP="003F4B3F">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6E1FCEF4" w14:textId="77777777" w:rsidR="00931938" w:rsidRPr="00EC4649" w:rsidRDefault="00931938" w:rsidP="003F4B3F">
            <w:pPr>
              <w:spacing w:after="0"/>
              <w:jc w:val="center"/>
              <w:rPr>
                <w:rFonts w:cs="Arial"/>
                <w:b/>
                <w:szCs w:val="18"/>
              </w:rPr>
            </w:pPr>
            <w:r w:rsidRPr="00EC4649">
              <w:rPr>
                <w:rFonts w:cs="Arial"/>
                <w:b/>
                <w:sz w:val="14"/>
                <w:szCs w:val="18"/>
              </w:rPr>
              <w:t>Consolidated</w:t>
            </w:r>
          </w:p>
        </w:tc>
      </w:tr>
      <w:tr w:rsidR="00931938" w:rsidRPr="003F4B3F" w14:paraId="25F5EBF9" w14:textId="77777777" w:rsidTr="00AB4D1D">
        <w:trPr>
          <w:trHeight w:val="238"/>
          <w:jc w:val="center"/>
        </w:trPr>
        <w:tc>
          <w:tcPr>
            <w:tcW w:w="3094" w:type="dxa"/>
            <w:tcBorders>
              <w:top w:val="nil"/>
              <w:bottom w:val="single" w:sz="2" w:space="0" w:color="1F4E79" w:themeColor="accent1" w:themeShade="80"/>
            </w:tcBorders>
            <w:shd w:val="clear" w:color="auto" w:fill="auto"/>
            <w:vAlign w:val="center"/>
          </w:tcPr>
          <w:p w14:paraId="77BD8AE8" w14:textId="77777777" w:rsidR="00931938" w:rsidRPr="003F4B3F" w:rsidRDefault="00931938" w:rsidP="006312ED">
            <w:pPr>
              <w:pStyle w:val="08-Tabelageral"/>
              <w:rPr>
                <w:rFonts w:cs="Arial"/>
                <w:b/>
              </w:rPr>
            </w:pPr>
          </w:p>
        </w:tc>
        <w:tc>
          <w:tcPr>
            <w:tcW w:w="604" w:type="dxa"/>
            <w:tcBorders>
              <w:top w:val="nil"/>
              <w:bottom w:val="single" w:sz="2" w:space="0" w:color="1F4E79" w:themeColor="accent1" w:themeShade="80"/>
            </w:tcBorders>
            <w:shd w:val="clear" w:color="auto" w:fill="auto"/>
            <w:vAlign w:val="center"/>
          </w:tcPr>
          <w:p w14:paraId="3D86CFEE" w14:textId="77777777" w:rsidR="00931938" w:rsidRPr="00874161" w:rsidRDefault="00931938" w:rsidP="006312ED">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77E3BBCB" w14:textId="77777777" w:rsidR="00931938" w:rsidRPr="00874161" w:rsidRDefault="00931938" w:rsidP="006312ED">
            <w:pPr>
              <w:pStyle w:val="08-Tabelageral"/>
              <w:rPr>
                <w:rFonts w:cs="Arial"/>
                <w:b/>
              </w:rPr>
            </w:pPr>
            <w:r>
              <w:rPr>
                <w:b/>
              </w:rPr>
              <w:t>2022</w:t>
            </w:r>
          </w:p>
        </w:tc>
        <w:tc>
          <w:tcPr>
            <w:tcW w:w="1412" w:type="dxa"/>
            <w:tcBorders>
              <w:top w:val="single" w:sz="2" w:space="0" w:color="1F4E79" w:themeColor="accent1" w:themeShade="80"/>
              <w:bottom w:val="single" w:sz="2" w:space="0" w:color="1F4E79" w:themeColor="accent1" w:themeShade="80"/>
            </w:tcBorders>
            <w:shd w:val="clear" w:color="auto" w:fill="auto"/>
          </w:tcPr>
          <w:p w14:paraId="76A84EE2" w14:textId="77777777" w:rsidR="00931938" w:rsidRPr="00874161" w:rsidRDefault="00931938" w:rsidP="006312ED">
            <w:pPr>
              <w:pStyle w:val="08-Tabelageral"/>
              <w:rPr>
                <w:rFonts w:cs="Arial"/>
                <w:b/>
              </w:rPr>
            </w:pPr>
            <w:r>
              <w:rPr>
                <w:b/>
              </w:rPr>
              <w:t>2021</w:t>
            </w:r>
          </w:p>
        </w:tc>
        <w:tc>
          <w:tcPr>
            <w:tcW w:w="283" w:type="dxa"/>
            <w:tcBorders>
              <w:top w:val="nil"/>
              <w:bottom w:val="single" w:sz="2" w:space="0" w:color="1F4E79" w:themeColor="accent1" w:themeShade="80"/>
            </w:tcBorders>
            <w:shd w:val="clear" w:color="auto" w:fill="auto"/>
          </w:tcPr>
          <w:p w14:paraId="31E722EC" w14:textId="77777777" w:rsidR="00931938" w:rsidRPr="00874161" w:rsidRDefault="00931938" w:rsidP="006312ED">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0B338417" w14:textId="77777777" w:rsidR="00931938" w:rsidRPr="00874161" w:rsidRDefault="00931938" w:rsidP="006312ED">
            <w:pPr>
              <w:pStyle w:val="08-Tabelageral"/>
              <w:rPr>
                <w:rFonts w:cs="Arial"/>
                <w:b/>
              </w:rPr>
            </w:pPr>
            <w:r>
              <w:rPr>
                <w:b/>
              </w:rPr>
              <w:t>2022</w:t>
            </w:r>
          </w:p>
        </w:tc>
        <w:tc>
          <w:tcPr>
            <w:tcW w:w="1418" w:type="dxa"/>
            <w:tcBorders>
              <w:top w:val="single" w:sz="2" w:space="0" w:color="1F4E79" w:themeColor="accent1" w:themeShade="80"/>
              <w:bottom w:val="single" w:sz="2" w:space="0" w:color="1F4E79" w:themeColor="accent1" w:themeShade="80"/>
            </w:tcBorders>
            <w:shd w:val="clear" w:color="auto" w:fill="auto"/>
          </w:tcPr>
          <w:p w14:paraId="525F1D5A" w14:textId="77777777" w:rsidR="00931938" w:rsidRPr="00874161" w:rsidRDefault="00931938" w:rsidP="006312ED">
            <w:pPr>
              <w:pStyle w:val="08-Tabelageral"/>
              <w:rPr>
                <w:rFonts w:cs="Arial"/>
                <w:b/>
              </w:rPr>
            </w:pPr>
            <w:r>
              <w:rPr>
                <w:b/>
              </w:rPr>
              <w:t>2021</w:t>
            </w:r>
          </w:p>
        </w:tc>
      </w:tr>
      <w:tr w:rsidR="00931938" w:rsidRPr="003F4B3F" w14:paraId="5F72443A" w14:textId="77777777" w:rsidTr="00AB4D1D">
        <w:trPr>
          <w:trHeight w:val="238"/>
          <w:jc w:val="center"/>
        </w:trPr>
        <w:tc>
          <w:tcPr>
            <w:tcW w:w="3094" w:type="dxa"/>
            <w:tcBorders>
              <w:top w:val="single" w:sz="2" w:space="0" w:color="1F4E79" w:themeColor="accent1" w:themeShade="80"/>
              <w:bottom w:val="nil"/>
            </w:tcBorders>
            <w:shd w:val="clear" w:color="auto" w:fill="auto"/>
          </w:tcPr>
          <w:p w14:paraId="666A86F9" w14:textId="77777777" w:rsidR="00931938" w:rsidRPr="003F4B3F" w:rsidRDefault="00931938" w:rsidP="00E54AB3">
            <w:pPr>
              <w:pStyle w:val="08-Tabelageral"/>
              <w:jc w:val="left"/>
              <w:rPr>
                <w:rFonts w:cs="Arial"/>
                <w:b/>
                <w:bCs/>
                <w:szCs w:val="14"/>
              </w:rPr>
            </w:pPr>
            <w:r>
              <w:rPr>
                <w:rFonts w:cs="Arial"/>
                <w:b/>
                <w:szCs w:val="14"/>
              </w:rPr>
              <w:t>Current values</w:t>
            </w:r>
          </w:p>
        </w:tc>
        <w:tc>
          <w:tcPr>
            <w:tcW w:w="604" w:type="dxa"/>
            <w:tcBorders>
              <w:top w:val="single" w:sz="2" w:space="0" w:color="1F4E79" w:themeColor="accent1" w:themeShade="80"/>
              <w:bottom w:val="nil"/>
            </w:tcBorders>
            <w:shd w:val="clear" w:color="auto" w:fill="auto"/>
          </w:tcPr>
          <w:p w14:paraId="1FC8DE4B" w14:textId="77777777" w:rsidR="00931938" w:rsidRPr="003F4B3F" w:rsidRDefault="00931938" w:rsidP="00E54AB3">
            <w:pPr>
              <w:pStyle w:val="08-Tabelageral"/>
              <w:jc w:val="center"/>
              <w:rPr>
                <w:rFonts w:cs="Arial"/>
                <w:b/>
                <w:szCs w:val="14"/>
              </w:rPr>
            </w:pPr>
          </w:p>
        </w:tc>
        <w:tc>
          <w:tcPr>
            <w:tcW w:w="1411" w:type="dxa"/>
            <w:tcBorders>
              <w:top w:val="single" w:sz="2" w:space="0" w:color="1F4E79" w:themeColor="accent1" w:themeShade="80"/>
              <w:bottom w:val="nil"/>
            </w:tcBorders>
            <w:shd w:val="clear" w:color="auto" w:fill="auto"/>
            <w:vAlign w:val="center"/>
          </w:tcPr>
          <w:p w14:paraId="7804A2EF" w14:textId="77777777" w:rsidR="00931938" w:rsidRPr="003F4B3F" w:rsidRDefault="00931938" w:rsidP="00E54AB3">
            <w:pPr>
              <w:pStyle w:val="08-Tabelageral"/>
              <w:rPr>
                <w:rFonts w:cs="Arial"/>
                <w:b/>
                <w:szCs w:val="14"/>
              </w:rPr>
            </w:pPr>
            <w:r>
              <w:rPr>
                <w:rFonts w:cs="Arial"/>
                <w:b/>
                <w:szCs w:val="14"/>
              </w:rPr>
              <w:t>(1,068)</w:t>
            </w:r>
          </w:p>
        </w:tc>
        <w:tc>
          <w:tcPr>
            <w:tcW w:w="1412" w:type="dxa"/>
            <w:tcBorders>
              <w:top w:val="single" w:sz="2" w:space="0" w:color="1F4E79" w:themeColor="accent1" w:themeShade="80"/>
              <w:bottom w:val="nil"/>
            </w:tcBorders>
            <w:shd w:val="clear" w:color="auto" w:fill="auto"/>
            <w:vAlign w:val="center"/>
          </w:tcPr>
          <w:p w14:paraId="64EB93CC" w14:textId="77777777" w:rsidR="00931938" w:rsidRPr="003F4B3F" w:rsidRDefault="00931938" w:rsidP="00E54AB3">
            <w:pPr>
              <w:pStyle w:val="08-Tabelageral"/>
              <w:rPr>
                <w:rFonts w:cs="Arial"/>
                <w:b/>
              </w:rPr>
            </w:pPr>
            <w:r>
              <w:rPr>
                <w:rFonts w:cs="Arial"/>
                <w:b/>
                <w:szCs w:val="14"/>
              </w:rPr>
              <w:t>(4,636)</w:t>
            </w:r>
          </w:p>
        </w:tc>
        <w:tc>
          <w:tcPr>
            <w:tcW w:w="283" w:type="dxa"/>
            <w:tcBorders>
              <w:top w:val="single" w:sz="2" w:space="0" w:color="1F4E79" w:themeColor="accent1" w:themeShade="80"/>
              <w:bottom w:val="nil"/>
            </w:tcBorders>
            <w:shd w:val="clear" w:color="auto" w:fill="auto"/>
            <w:vAlign w:val="center"/>
          </w:tcPr>
          <w:p w14:paraId="3C91E562" w14:textId="77777777" w:rsidR="00931938" w:rsidRPr="003F4B3F" w:rsidRDefault="00931938" w:rsidP="00E54AB3">
            <w:pPr>
              <w:pStyle w:val="08-Tabelageral"/>
              <w:rPr>
                <w:rFonts w:cs="Arial"/>
                <w:b/>
                <w:szCs w:val="14"/>
              </w:rPr>
            </w:pPr>
          </w:p>
        </w:tc>
        <w:tc>
          <w:tcPr>
            <w:tcW w:w="1417" w:type="dxa"/>
            <w:tcBorders>
              <w:top w:val="single" w:sz="2" w:space="0" w:color="1F4E79" w:themeColor="accent1" w:themeShade="80"/>
              <w:bottom w:val="nil"/>
            </w:tcBorders>
            <w:shd w:val="clear" w:color="auto" w:fill="auto"/>
            <w:vAlign w:val="center"/>
          </w:tcPr>
          <w:p w14:paraId="4419A623" w14:textId="77777777" w:rsidR="00931938" w:rsidRPr="003F4B3F" w:rsidRDefault="00931938" w:rsidP="00E54AB3">
            <w:pPr>
              <w:pStyle w:val="08-Tabelageral"/>
              <w:rPr>
                <w:rFonts w:cs="Arial"/>
                <w:b/>
                <w:szCs w:val="14"/>
              </w:rPr>
            </w:pPr>
            <w:r>
              <w:rPr>
                <w:rFonts w:cs="Arial"/>
                <w:b/>
                <w:szCs w:val="14"/>
              </w:rPr>
              <w:t>(1,476,013)</w:t>
            </w:r>
          </w:p>
        </w:tc>
        <w:tc>
          <w:tcPr>
            <w:tcW w:w="1418" w:type="dxa"/>
            <w:tcBorders>
              <w:top w:val="single" w:sz="2" w:space="0" w:color="1F4E79" w:themeColor="accent1" w:themeShade="80"/>
              <w:bottom w:val="nil"/>
            </w:tcBorders>
            <w:shd w:val="clear" w:color="auto" w:fill="auto"/>
            <w:vAlign w:val="center"/>
          </w:tcPr>
          <w:p w14:paraId="270755C6" w14:textId="77777777" w:rsidR="00931938" w:rsidRPr="003F4B3F" w:rsidRDefault="00931938" w:rsidP="00E54AB3">
            <w:pPr>
              <w:pStyle w:val="08-Tabelageral"/>
              <w:rPr>
                <w:rFonts w:cs="Arial"/>
                <w:b/>
              </w:rPr>
            </w:pPr>
            <w:r>
              <w:rPr>
                <w:rFonts w:cs="Arial"/>
                <w:b/>
                <w:szCs w:val="14"/>
              </w:rPr>
              <w:t>(1,165,219)</w:t>
            </w:r>
          </w:p>
        </w:tc>
      </w:tr>
      <w:tr w:rsidR="00931938" w:rsidRPr="001D6BE8" w14:paraId="31E6CD85" w14:textId="77777777" w:rsidTr="00AB4D1D">
        <w:trPr>
          <w:trHeight w:val="238"/>
          <w:jc w:val="center"/>
        </w:trPr>
        <w:tc>
          <w:tcPr>
            <w:tcW w:w="3094" w:type="dxa"/>
            <w:tcBorders>
              <w:top w:val="nil"/>
            </w:tcBorders>
            <w:shd w:val="clear" w:color="auto" w:fill="auto"/>
          </w:tcPr>
          <w:p w14:paraId="3DB040DC" w14:textId="77777777" w:rsidR="00931938" w:rsidRPr="00E54AB3" w:rsidRDefault="00931938" w:rsidP="00E54AB3">
            <w:pPr>
              <w:pStyle w:val="08-Tabelageral"/>
              <w:ind w:left="113"/>
              <w:jc w:val="left"/>
              <w:rPr>
                <w:rFonts w:cs="Arial"/>
                <w:b/>
                <w:szCs w:val="14"/>
                <w:lang w:val="en-US"/>
              </w:rPr>
            </w:pPr>
            <w:r w:rsidRPr="003E2305">
              <w:rPr>
                <w:rFonts w:cs="Arial"/>
                <w:szCs w:val="14"/>
                <w:lang w:val="en-US"/>
              </w:rPr>
              <w:t>Domestic income tax and social contribution</w:t>
            </w:r>
          </w:p>
        </w:tc>
        <w:tc>
          <w:tcPr>
            <w:tcW w:w="604" w:type="dxa"/>
            <w:tcBorders>
              <w:top w:val="nil"/>
            </w:tcBorders>
            <w:shd w:val="clear" w:color="auto" w:fill="auto"/>
          </w:tcPr>
          <w:p w14:paraId="2DB4FEF5" w14:textId="77777777" w:rsidR="00931938" w:rsidRPr="00E54AB3" w:rsidRDefault="00931938" w:rsidP="00E54AB3">
            <w:pPr>
              <w:pStyle w:val="08-Tabelageral"/>
              <w:ind w:left="113"/>
              <w:jc w:val="center"/>
              <w:rPr>
                <w:rFonts w:cs="Arial"/>
                <w:szCs w:val="14"/>
                <w:lang w:val="en-US"/>
              </w:rPr>
            </w:pPr>
          </w:p>
        </w:tc>
        <w:tc>
          <w:tcPr>
            <w:tcW w:w="1411" w:type="dxa"/>
            <w:tcBorders>
              <w:top w:val="nil"/>
            </w:tcBorders>
            <w:shd w:val="clear" w:color="auto" w:fill="auto"/>
            <w:vAlign w:val="center"/>
          </w:tcPr>
          <w:p w14:paraId="13A5B7FA" w14:textId="77777777" w:rsidR="00931938" w:rsidRPr="00C806B0" w:rsidRDefault="00931938" w:rsidP="00E54AB3">
            <w:pPr>
              <w:pStyle w:val="08-Tabelageral"/>
              <w:ind w:left="113"/>
              <w:rPr>
                <w:rFonts w:cs="Arial"/>
                <w:szCs w:val="14"/>
              </w:rPr>
            </w:pPr>
            <w:r>
              <w:rPr>
                <w:rFonts w:cs="Arial"/>
                <w:szCs w:val="14"/>
              </w:rPr>
              <w:t>(1,068)</w:t>
            </w:r>
          </w:p>
        </w:tc>
        <w:tc>
          <w:tcPr>
            <w:tcW w:w="1412" w:type="dxa"/>
            <w:tcBorders>
              <w:top w:val="nil"/>
            </w:tcBorders>
            <w:shd w:val="clear" w:color="auto" w:fill="auto"/>
            <w:vAlign w:val="center"/>
          </w:tcPr>
          <w:p w14:paraId="578FA36C" w14:textId="77777777" w:rsidR="00931938" w:rsidRPr="00C806B0" w:rsidRDefault="00931938" w:rsidP="00E54AB3">
            <w:pPr>
              <w:pStyle w:val="08-Tabelageral"/>
              <w:rPr>
                <w:rFonts w:cs="Arial"/>
              </w:rPr>
            </w:pPr>
            <w:r>
              <w:rPr>
                <w:rFonts w:cs="Arial"/>
                <w:szCs w:val="14"/>
              </w:rPr>
              <w:t>(4,636)</w:t>
            </w:r>
          </w:p>
        </w:tc>
        <w:tc>
          <w:tcPr>
            <w:tcW w:w="283" w:type="dxa"/>
            <w:tcBorders>
              <w:top w:val="nil"/>
            </w:tcBorders>
            <w:shd w:val="clear" w:color="auto" w:fill="auto"/>
            <w:vAlign w:val="center"/>
          </w:tcPr>
          <w:p w14:paraId="3C7D4984" w14:textId="77777777" w:rsidR="00931938" w:rsidRPr="00C806B0" w:rsidRDefault="00931938" w:rsidP="00E54AB3">
            <w:pPr>
              <w:pStyle w:val="08-Tabelageral"/>
              <w:ind w:left="113"/>
              <w:rPr>
                <w:rFonts w:cs="Arial"/>
                <w:szCs w:val="14"/>
              </w:rPr>
            </w:pPr>
          </w:p>
        </w:tc>
        <w:tc>
          <w:tcPr>
            <w:tcW w:w="1417" w:type="dxa"/>
            <w:tcBorders>
              <w:top w:val="nil"/>
            </w:tcBorders>
            <w:shd w:val="clear" w:color="auto" w:fill="auto"/>
            <w:vAlign w:val="center"/>
          </w:tcPr>
          <w:p w14:paraId="2D7A1A48" w14:textId="77777777" w:rsidR="00931938" w:rsidRPr="00C806B0" w:rsidRDefault="00931938" w:rsidP="00E54AB3">
            <w:pPr>
              <w:pStyle w:val="08-Tabelageral"/>
              <w:ind w:left="113"/>
              <w:rPr>
                <w:rFonts w:cs="Arial"/>
                <w:szCs w:val="14"/>
              </w:rPr>
            </w:pPr>
            <w:r>
              <w:rPr>
                <w:rFonts w:cs="Arial"/>
                <w:szCs w:val="14"/>
              </w:rPr>
              <w:t>(1,476,013)</w:t>
            </w:r>
          </w:p>
        </w:tc>
        <w:tc>
          <w:tcPr>
            <w:tcW w:w="1418" w:type="dxa"/>
            <w:tcBorders>
              <w:top w:val="nil"/>
            </w:tcBorders>
            <w:shd w:val="clear" w:color="auto" w:fill="auto"/>
            <w:vAlign w:val="center"/>
          </w:tcPr>
          <w:p w14:paraId="404F0104" w14:textId="77777777" w:rsidR="00931938" w:rsidRPr="00C806B0" w:rsidRDefault="00931938" w:rsidP="00E54AB3">
            <w:pPr>
              <w:pStyle w:val="08-Tabelageral"/>
              <w:rPr>
                <w:rFonts w:cs="Arial"/>
              </w:rPr>
            </w:pPr>
            <w:r>
              <w:rPr>
                <w:rFonts w:cs="Arial"/>
                <w:szCs w:val="14"/>
              </w:rPr>
              <w:t>(1,165,219)</w:t>
            </w:r>
          </w:p>
        </w:tc>
      </w:tr>
      <w:tr w:rsidR="00931938" w:rsidRPr="003F4B3F" w14:paraId="77DF3EF6" w14:textId="77777777" w:rsidTr="00AB4D1D">
        <w:trPr>
          <w:trHeight w:val="238"/>
          <w:jc w:val="center"/>
        </w:trPr>
        <w:tc>
          <w:tcPr>
            <w:tcW w:w="3094" w:type="dxa"/>
            <w:shd w:val="clear" w:color="auto" w:fill="auto"/>
          </w:tcPr>
          <w:p w14:paraId="7E6743B3" w14:textId="77777777" w:rsidR="00931938" w:rsidRPr="00425406" w:rsidRDefault="00931938" w:rsidP="00E54AB3">
            <w:pPr>
              <w:pStyle w:val="08-Tabelageral"/>
              <w:jc w:val="left"/>
              <w:rPr>
                <w:rFonts w:cs="Arial"/>
                <w:b/>
                <w:szCs w:val="14"/>
              </w:rPr>
            </w:pPr>
            <w:r w:rsidRPr="00425406">
              <w:rPr>
                <w:rFonts w:cs="Arial"/>
                <w:b/>
                <w:szCs w:val="14"/>
              </w:rPr>
              <w:t>Deferred values</w:t>
            </w:r>
          </w:p>
        </w:tc>
        <w:tc>
          <w:tcPr>
            <w:tcW w:w="604" w:type="dxa"/>
            <w:shd w:val="clear" w:color="auto" w:fill="auto"/>
          </w:tcPr>
          <w:p w14:paraId="5A9D28CE" w14:textId="77777777" w:rsidR="00931938" w:rsidRPr="003F4B3F" w:rsidRDefault="00931938" w:rsidP="00E54AB3">
            <w:pPr>
              <w:pStyle w:val="08-Tabelageral"/>
              <w:jc w:val="center"/>
              <w:rPr>
                <w:rFonts w:cs="Arial"/>
                <w:b/>
                <w:szCs w:val="14"/>
              </w:rPr>
            </w:pPr>
          </w:p>
        </w:tc>
        <w:tc>
          <w:tcPr>
            <w:tcW w:w="1411" w:type="dxa"/>
            <w:tcBorders>
              <w:bottom w:val="nil"/>
            </w:tcBorders>
            <w:shd w:val="clear" w:color="auto" w:fill="auto"/>
            <w:vAlign w:val="center"/>
          </w:tcPr>
          <w:p w14:paraId="5A334D90" w14:textId="77777777" w:rsidR="00931938" w:rsidRPr="003F4B3F" w:rsidRDefault="00931938" w:rsidP="00E54AB3">
            <w:pPr>
              <w:pStyle w:val="08-Tabelageral"/>
              <w:rPr>
                <w:rFonts w:cs="Arial"/>
                <w:b/>
                <w:szCs w:val="14"/>
              </w:rPr>
            </w:pPr>
            <w:r>
              <w:rPr>
                <w:rFonts w:cs="Arial"/>
                <w:b/>
                <w:szCs w:val="14"/>
              </w:rPr>
              <w:t>18</w:t>
            </w:r>
          </w:p>
        </w:tc>
        <w:tc>
          <w:tcPr>
            <w:tcW w:w="1412" w:type="dxa"/>
            <w:tcBorders>
              <w:bottom w:val="nil"/>
            </w:tcBorders>
            <w:shd w:val="clear" w:color="auto" w:fill="auto"/>
            <w:vAlign w:val="center"/>
          </w:tcPr>
          <w:p w14:paraId="7D336846" w14:textId="77777777" w:rsidR="00931938" w:rsidRPr="003F4B3F" w:rsidRDefault="00931938" w:rsidP="00E54AB3">
            <w:pPr>
              <w:pStyle w:val="08-Tabelageral"/>
              <w:rPr>
                <w:rFonts w:cs="Arial"/>
                <w:b/>
              </w:rPr>
            </w:pPr>
            <w:r>
              <w:rPr>
                <w:rFonts w:cs="Arial"/>
                <w:b/>
                <w:szCs w:val="14"/>
              </w:rPr>
              <w:t>(69)</w:t>
            </w:r>
          </w:p>
        </w:tc>
        <w:tc>
          <w:tcPr>
            <w:tcW w:w="283" w:type="dxa"/>
            <w:tcBorders>
              <w:bottom w:val="nil"/>
            </w:tcBorders>
            <w:shd w:val="clear" w:color="auto" w:fill="auto"/>
            <w:vAlign w:val="center"/>
          </w:tcPr>
          <w:p w14:paraId="383432E7" w14:textId="77777777" w:rsidR="00931938" w:rsidRPr="003F4B3F" w:rsidRDefault="00931938" w:rsidP="00E54AB3">
            <w:pPr>
              <w:pStyle w:val="08-Tabelageral"/>
              <w:rPr>
                <w:rFonts w:cs="Arial"/>
                <w:b/>
                <w:szCs w:val="14"/>
              </w:rPr>
            </w:pPr>
          </w:p>
        </w:tc>
        <w:tc>
          <w:tcPr>
            <w:tcW w:w="1417" w:type="dxa"/>
            <w:tcBorders>
              <w:bottom w:val="nil"/>
            </w:tcBorders>
            <w:shd w:val="clear" w:color="auto" w:fill="auto"/>
            <w:vAlign w:val="center"/>
          </w:tcPr>
          <w:p w14:paraId="459189EE" w14:textId="77777777" w:rsidR="00931938" w:rsidRPr="003F4B3F" w:rsidRDefault="00931938" w:rsidP="00E54AB3">
            <w:pPr>
              <w:pStyle w:val="08-Tabelageral"/>
              <w:rPr>
                <w:rFonts w:cs="Arial"/>
                <w:b/>
                <w:szCs w:val="14"/>
              </w:rPr>
            </w:pPr>
            <w:r>
              <w:rPr>
                <w:rFonts w:cs="Arial"/>
                <w:b/>
                <w:szCs w:val="14"/>
              </w:rPr>
              <w:t>(27,647)</w:t>
            </w:r>
          </w:p>
        </w:tc>
        <w:tc>
          <w:tcPr>
            <w:tcW w:w="1418" w:type="dxa"/>
            <w:tcBorders>
              <w:bottom w:val="nil"/>
            </w:tcBorders>
            <w:shd w:val="clear" w:color="auto" w:fill="auto"/>
            <w:vAlign w:val="center"/>
          </w:tcPr>
          <w:p w14:paraId="7B654A45" w14:textId="77777777" w:rsidR="00931938" w:rsidRPr="003F4B3F" w:rsidRDefault="00931938" w:rsidP="00E54AB3">
            <w:pPr>
              <w:pStyle w:val="08-Tabelageral"/>
              <w:rPr>
                <w:rFonts w:cs="Arial"/>
                <w:b/>
              </w:rPr>
            </w:pPr>
            <w:r>
              <w:rPr>
                <w:rFonts w:cs="Arial"/>
                <w:b/>
                <w:szCs w:val="14"/>
              </w:rPr>
              <w:t>19,012</w:t>
            </w:r>
          </w:p>
        </w:tc>
      </w:tr>
      <w:tr w:rsidR="00931938" w:rsidRPr="003F4B3F" w14:paraId="610860A0" w14:textId="77777777" w:rsidTr="00AB4D1D">
        <w:trPr>
          <w:trHeight w:val="238"/>
          <w:jc w:val="center"/>
        </w:trPr>
        <w:tc>
          <w:tcPr>
            <w:tcW w:w="3094" w:type="dxa"/>
            <w:shd w:val="clear" w:color="auto" w:fill="auto"/>
          </w:tcPr>
          <w:p w14:paraId="4A7F53FC" w14:textId="77777777" w:rsidR="00931938" w:rsidRPr="003F4B3F" w:rsidRDefault="00931938" w:rsidP="00E54AB3">
            <w:pPr>
              <w:pStyle w:val="08-Tabelageral"/>
              <w:jc w:val="left"/>
              <w:rPr>
                <w:rFonts w:cs="Arial"/>
                <w:b/>
                <w:szCs w:val="14"/>
              </w:rPr>
            </w:pPr>
            <w:r>
              <w:rPr>
                <w:b/>
                <w:lang w:val="en-US"/>
              </w:rPr>
              <w:t>Deferred t</w:t>
            </w:r>
            <w:r w:rsidRPr="00830A07">
              <w:rPr>
                <w:b/>
                <w:lang w:val="en-US"/>
              </w:rPr>
              <w:t xml:space="preserve">ax </w:t>
            </w:r>
            <w:r>
              <w:rPr>
                <w:b/>
                <w:lang w:val="en-US"/>
              </w:rPr>
              <w:t>a</w:t>
            </w:r>
            <w:r w:rsidRPr="00830A07">
              <w:rPr>
                <w:b/>
                <w:lang w:val="en-US"/>
              </w:rPr>
              <w:t>ssets</w:t>
            </w:r>
          </w:p>
        </w:tc>
        <w:tc>
          <w:tcPr>
            <w:tcW w:w="604" w:type="dxa"/>
            <w:shd w:val="clear" w:color="auto" w:fill="auto"/>
          </w:tcPr>
          <w:p w14:paraId="11C5C4B0" w14:textId="77777777" w:rsidR="00931938" w:rsidRPr="003F4B3F" w:rsidRDefault="00931938" w:rsidP="00E54AB3">
            <w:pPr>
              <w:pStyle w:val="08-Tabelageral"/>
              <w:jc w:val="center"/>
              <w:rPr>
                <w:rFonts w:cs="Arial"/>
                <w:b/>
                <w:szCs w:val="14"/>
              </w:rPr>
            </w:pPr>
          </w:p>
        </w:tc>
        <w:tc>
          <w:tcPr>
            <w:tcW w:w="1411" w:type="dxa"/>
            <w:shd w:val="clear" w:color="auto" w:fill="auto"/>
            <w:vAlign w:val="center"/>
          </w:tcPr>
          <w:p w14:paraId="6B175B1E" w14:textId="77777777" w:rsidR="00931938" w:rsidRPr="003F4B3F" w:rsidRDefault="00931938" w:rsidP="00E54AB3">
            <w:pPr>
              <w:pStyle w:val="08-Tabelageral"/>
              <w:rPr>
                <w:rFonts w:cs="Arial"/>
                <w:b/>
                <w:szCs w:val="14"/>
              </w:rPr>
            </w:pPr>
            <w:r>
              <w:rPr>
                <w:rFonts w:cs="Arial"/>
                <w:b/>
                <w:szCs w:val="14"/>
              </w:rPr>
              <w:t>18</w:t>
            </w:r>
          </w:p>
        </w:tc>
        <w:tc>
          <w:tcPr>
            <w:tcW w:w="1412" w:type="dxa"/>
            <w:shd w:val="clear" w:color="auto" w:fill="auto"/>
            <w:vAlign w:val="center"/>
          </w:tcPr>
          <w:p w14:paraId="7A0F7D2A" w14:textId="77777777" w:rsidR="00931938" w:rsidRPr="003F4B3F" w:rsidRDefault="00931938" w:rsidP="00E54AB3">
            <w:pPr>
              <w:pStyle w:val="08-Tabelageral"/>
              <w:rPr>
                <w:rFonts w:cs="Arial"/>
                <w:b/>
              </w:rPr>
            </w:pPr>
            <w:r>
              <w:rPr>
                <w:rFonts w:cs="Arial"/>
                <w:b/>
                <w:szCs w:val="14"/>
              </w:rPr>
              <w:t>(69)</w:t>
            </w:r>
          </w:p>
        </w:tc>
        <w:tc>
          <w:tcPr>
            <w:tcW w:w="283" w:type="dxa"/>
            <w:shd w:val="clear" w:color="auto" w:fill="auto"/>
            <w:vAlign w:val="center"/>
          </w:tcPr>
          <w:p w14:paraId="3F41AA6C" w14:textId="77777777" w:rsidR="00931938" w:rsidRPr="003F4B3F" w:rsidRDefault="00931938" w:rsidP="00E54AB3">
            <w:pPr>
              <w:pStyle w:val="08-Tabelageral"/>
              <w:rPr>
                <w:rFonts w:cs="Arial"/>
                <w:b/>
                <w:szCs w:val="14"/>
              </w:rPr>
            </w:pPr>
          </w:p>
        </w:tc>
        <w:tc>
          <w:tcPr>
            <w:tcW w:w="1417" w:type="dxa"/>
            <w:shd w:val="clear" w:color="auto" w:fill="auto"/>
            <w:vAlign w:val="center"/>
          </w:tcPr>
          <w:p w14:paraId="5533B5F1" w14:textId="77777777" w:rsidR="00931938" w:rsidRPr="003F4B3F" w:rsidRDefault="00931938" w:rsidP="00E54AB3">
            <w:pPr>
              <w:pStyle w:val="08-Tabelageral"/>
              <w:rPr>
                <w:rFonts w:cs="Arial"/>
                <w:b/>
                <w:szCs w:val="14"/>
              </w:rPr>
            </w:pPr>
            <w:r>
              <w:rPr>
                <w:rFonts w:cs="Arial"/>
                <w:b/>
                <w:szCs w:val="14"/>
              </w:rPr>
              <w:t>(27,647)</w:t>
            </w:r>
          </w:p>
        </w:tc>
        <w:tc>
          <w:tcPr>
            <w:tcW w:w="1418" w:type="dxa"/>
            <w:shd w:val="clear" w:color="auto" w:fill="auto"/>
            <w:vAlign w:val="center"/>
          </w:tcPr>
          <w:p w14:paraId="3BD7CE0B" w14:textId="77777777" w:rsidR="00931938" w:rsidRPr="003F4B3F" w:rsidRDefault="00931938" w:rsidP="00E54AB3">
            <w:pPr>
              <w:pStyle w:val="08-Tabelageral"/>
              <w:rPr>
                <w:rFonts w:cs="Arial"/>
                <w:b/>
              </w:rPr>
            </w:pPr>
            <w:r>
              <w:rPr>
                <w:rFonts w:cs="Arial"/>
                <w:b/>
                <w:szCs w:val="14"/>
              </w:rPr>
              <w:t>19,012</w:t>
            </w:r>
          </w:p>
        </w:tc>
      </w:tr>
      <w:tr w:rsidR="00931938" w:rsidRPr="001D6BE8" w14:paraId="725C92E5" w14:textId="77777777" w:rsidTr="00AB4D1D">
        <w:trPr>
          <w:trHeight w:val="238"/>
          <w:jc w:val="center"/>
        </w:trPr>
        <w:tc>
          <w:tcPr>
            <w:tcW w:w="3094" w:type="dxa"/>
            <w:tcBorders>
              <w:bottom w:val="nil"/>
            </w:tcBorders>
            <w:shd w:val="clear" w:color="auto" w:fill="auto"/>
          </w:tcPr>
          <w:p w14:paraId="196FB1CB" w14:textId="77777777" w:rsidR="00931938" w:rsidRPr="00C806B0" w:rsidRDefault="00931938" w:rsidP="00E54AB3">
            <w:pPr>
              <w:pStyle w:val="08-Tabelageral"/>
              <w:ind w:left="113"/>
              <w:jc w:val="left"/>
              <w:rPr>
                <w:rFonts w:cs="Arial"/>
                <w:b/>
                <w:szCs w:val="14"/>
              </w:rPr>
            </w:pPr>
            <w:r>
              <w:rPr>
                <w:rFonts w:ascii="ArialMT" w:hAnsi="ArialMT" w:cs="ArialMT"/>
                <w:szCs w:val="14"/>
              </w:rPr>
              <w:t>Temporary differences</w:t>
            </w:r>
          </w:p>
        </w:tc>
        <w:tc>
          <w:tcPr>
            <w:tcW w:w="604" w:type="dxa"/>
            <w:tcBorders>
              <w:bottom w:val="nil"/>
            </w:tcBorders>
            <w:shd w:val="clear" w:color="auto" w:fill="auto"/>
          </w:tcPr>
          <w:p w14:paraId="6D048026" w14:textId="77777777" w:rsidR="00931938" w:rsidRPr="00C806B0" w:rsidRDefault="00931938" w:rsidP="00E54AB3">
            <w:pPr>
              <w:pStyle w:val="08-Tabelageral"/>
              <w:ind w:left="113"/>
              <w:jc w:val="center"/>
              <w:rPr>
                <w:rFonts w:cs="Arial"/>
                <w:szCs w:val="14"/>
              </w:rPr>
            </w:pPr>
          </w:p>
        </w:tc>
        <w:tc>
          <w:tcPr>
            <w:tcW w:w="1411" w:type="dxa"/>
            <w:tcBorders>
              <w:bottom w:val="nil"/>
            </w:tcBorders>
            <w:shd w:val="clear" w:color="auto" w:fill="auto"/>
            <w:vAlign w:val="center"/>
          </w:tcPr>
          <w:p w14:paraId="60B535FA" w14:textId="77777777" w:rsidR="00931938" w:rsidRPr="00C806B0" w:rsidRDefault="00931938" w:rsidP="00E54AB3">
            <w:pPr>
              <w:pStyle w:val="08-Tabelageral"/>
              <w:ind w:left="113"/>
              <w:rPr>
                <w:rFonts w:cs="Arial"/>
                <w:szCs w:val="14"/>
              </w:rPr>
            </w:pPr>
            <w:r>
              <w:rPr>
                <w:rFonts w:cs="Arial"/>
                <w:szCs w:val="14"/>
              </w:rPr>
              <w:t>18</w:t>
            </w:r>
          </w:p>
        </w:tc>
        <w:tc>
          <w:tcPr>
            <w:tcW w:w="1412" w:type="dxa"/>
            <w:tcBorders>
              <w:bottom w:val="nil"/>
            </w:tcBorders>
            <w:shd w:val="clear" w:color="auto" w:fill="auto"/>
            <w:vAlign w:val="center"/>
          </w:tcPr>
          <w:p w14:paraId="22E4A18C" w14:textId="77777777" w:rsidR="00931938" w:rsidRPr="00C806B0" w:rsidRDefault="00931938" w:rsidP="00E54AB3">
            <w:pPr>
              <w:pStyle w:val="08-Tabelageral"/>
              <w:rPr>
                <w:rFonts w:cs="Arial"/>
              </w:rPr>
            </w:pPr>
            <w:r>
              <w:rPr>
                <w:rFonts w:cs="Arial"/>
                <w:szCs w:val="14"/>
              </w:rPr>
              <w:t>(69)</w:t>
            </w:r>
          </w:p>
        </w:tc>
        <w:tc>
          <w:tcPr>
            <w:tcW w:w="283" w:type="dxa"/>
            <w:tcBorders>
              <w:bottom w:val="nil"/>
            </w:tcBorders>
            <w:shd w:val="clear" w:color="auto" w:fill="auto"/>
            <w:vAlign w:val="center"/>
          </w:tcPr>
          <w:p w14:paraId="381636A6" w14:textId="77777777" w:rsidR="00931938" w:rsidRPr="00C806B0" w:rsidRDefault="00931938" w:rsidP="00E54AB3">
            <w:pPr>
              <w:pStyle w:val="08-Tabelageral"/>
              <w:ind w:left="113"/>
              <w:rPr>
                <w:rFonts w:cs="Arial"/>
                <w:szCs w:val="14"/>
              </w:rPr>
            </w:pPr>
          </w:p>
        </w:tc>
        <w:tc>
          <w:tcPr>
            <w:tcW w:w="1417" w:type="dxa"/>
            <w:tcBorders>
              <w:bottom w:val="nil"/>
            </w:tcBorders>
            <w:shd w:val="clear" w:color="auto" w:fill="auto"/>
            <w:vAlign w:val="center"/>
          </w:tcPr>
          <w:p w14:paraId="473B6063" w14:textId="77777777" w:rsidR="00931938" w:rsidRPr="00C806B0" w:rsidRDefault="00931938" w:rsidP="00E54AB3">
            <w:pPr>
              <w:pStyle w:val="08-Tabelageral"/>
              <w:ind w:left="113"/>
              <w:rPr>
                <w:rFonts w:cs="Arial"/>
                <w:szCs w:val="14"/>
              </w:rPr>
            </w:pPr>
            <w:r>
              <w:rPr>
                <w:rFonts w:cs="Arial"/>
                <w:szCs w:val="14"/>
              </w:rPr>
              <w:t>(27,647)</w:t>
            </w:r>
          </w:p>
        </w:tc>
        <w:tc>
          <w:tcPr>
            <w:tcW w:w="1418" w:type="dxa"/>
            <w:tcBorders>
              <w:bottom w:val="nil"/>
            </w:tcBorders>
            <w:shd w:val="clear" w:color="auto" w:fill="auto"/>
            <w:vAlign w:val="center"/>
          </w:tcPr>
          <w:p w14:paraId="4BED86E3" w14:textId="77777777" w:rsidR="00931938" w:rsidRPr="00C806B0" w:rsidRDefault="00931938" w:rsidP="00E54AB3">
            <w:pPr>
              <w:pStyle w:val="08-Tabelageral"/>
              <w:rPr>
                <w:rFonts w:cs="Arial"/>
              </w:rPr>
            </w:pPr>
            <w:r>
              <w:rPr>
                <w:rFonts w:cs="Arial"/>
                <w:szCs w:val="14"/>
              </w:rPr>
              <w:t>19,012</w:t>
            </w:r>
          </w:p>
        </w:tc>
      </w:tr>
      <w:tr w:rsidR="00931938" w:rsidRPr="003F4B3F" w14:paraId="7FD75025" w14:textId="77777777" w:rsidTr="00AB4D1D">
        <w:trPr>
          <w:trHeight w:val="238"/>
          <w:jc w:val="center"/>
        </w:trPr>
        <w:tc>
          <w:tcPr>
            <w:tcW w:w="3094" w:type="dxa"/>
            <w:tcBorders>
              <w:top w:val="nil"/>
              <w:bottom w:val="single" w:sz="2" w:space="0" w:color="1F4E79" w:themeColor="accent1" w:themeShade="80"/>
            </w:tcBorders>
            <w:shd w:val="clear" w:color="auto" w:fill="auto"/>
          </w:tcPr>
          <w:p w14:paraId="647C52A0" w14:textId="77777777" w:rsidR="00931938" w:rsidRPr="003F4B3F" w:rsidRDefault="00931938" w:rsidP="00E54AB3">
            <w:pPr>
              <w:pStyle w:val="08-Tabelageral"/>
              <w:jc w:val="left"/>
              <w:rPr>
                <w:rFonts w:cs="Arial"/>
                <w:b/>
                <w:szCs w:val="14"/>
              </w:rPr>
            </w:pPr>
            <w:r w:rsidRPr="003F4B3F">
              <w:rPr>
                <w:rFonts w:cs="Arial"/>
                <w:b/>
              </w:rPr>
              <w:t xml:space="preserve">Total </w:t>
            </w:r>
          </w:p>
        </w:tc>
        <w:tc>
          <w:tcPr>
            <w:tcW w:w="604" w:type="dxa"/>
            <w:tcBorders>
              <w:top w:val="nil"/>
              <w:bottom w:val="single" w:sz="2" w:space="0" w:color="1F4E79" w:themeColor="accent1" w:themeShade="80"/>
            </w:tcBorders>
            <w:shd w:val="clear" w:color="auto" w:fill="auto"/>
          </w:tcPr>
          <w:p w14:paraId="107AB2A6" w14:textId="77777777" w:rsidR="00931938" w:rsidRPr="003F4B3F" w:rsidRDefault="00931938" w:rsidP="00E54AB3">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4E243AB5" w14:textId="77777777" w:rsidR="00931938" w:rsidRPr="003F4B3F" w:rsidRDefault="00931938" w:rsidP="00E54AB3">
            <w:pPr>
              <w:pStyle w:val="08-Tabelageral"/>
              <w:rPr>
                <w:rFonts w:cs="Arial"/>
                <w:b/>
                <w:szCs w:val="14"/>
              </w:rPr>
            </w:pPr>
            <w:r>
              <w:rPr>
                <w:rFonts w:cs="Arial"/>
                <w:b/>
                <w:szCs w:val="14"/>
              </w:rPr>
              <w:t>(1,050)</w:t>
            </w:r>
          </w:p>
        </w:tc>
        <w:tc>
          <w:tcPr>
            <w:tcW w:w="1412" w:type="dxa"/>
            <w:tcBorders>
              <w:top w:val="nil"/>
              <w:bottom w:val="single" w:sz="2" w:space="0" w:color="1F4E79" w:themeColor="accent1" w:themeShade="80"/>
            </w:tcBorders>
            <w:shd w:val="clear" w:color="auto" w:fill="auto"/>
            <w:vAlign w:val="center"/>
          </w:tcPr>
          <w:p w14:paraId="5EED18A1" w14:textId="77777777" w:rsidR="00931938" w:rsidRPr="003F4B3F" w:rsidRDefault="00931938" w:rsidP="00E54AB3">
            <w:pPr>
              <w:pStyle w:val="08-Tabelageral"/>
              <w:rPr>
                <w:rFonts w:cs="Arial"/>
                <w:b/>
              </w:rPr>
            </w:pPr>
            <w:r>
              <w:rPr>
                <w:rFonts w:cs="Arial"/>
                <w:b/>
                <w:szCs w:val="14"/>
              </w:rPr>
              <w:t>(4,705)</w:t>
            </w:r>
          </w:p>
        </w:tc>
        <w:tc>
          <w:tcPr>
            <w:tcW w:w="283" w:type="dxa"/>
            <w:tcBorders>
              <w:top w:val="nil"/>
              <w:bottom w:val="single" w:sz="2" w:space="0" w:color="1F4E79" w:themeColor="accent1" w:themeShade="80"/>
            </w:tcBorders>
            <w:shd w:val="clear" w:color="auto" w:fill="auto"/>
            <w:vAlign w:val="center"/>
          </w:tcPr>
          <w:p w14:paraId="48D6C163" w14:textId="77777777" w:rsidR="00931938" w:rsidRPr="003F4B3F" w:rsidRDefault="00931938" w:rsidP="00E54AB3">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71C5D831" w14:textId="77777777" w:rsidR="00931938" w:rsidRPr="003F4B3F" w:rsidRDefault="00931938" w:rsidP="00E54AB3">
            <w:pPr>
              <w:pStyle w:val="08-Tabelageral"/>
              <w:rPr>
                <w:rFonts w:cs="Arial"/>
                <w:b/>
                <w:szCs w:val="14"/>
              </w:rPr>
            </w:pPr>
            <w:r>
              <w:rPr>
                <w:rFonts w:cs="Arial"/>
                <w:b/>
                <w:szCs w:val="14"/>
              </w:rPr>
              <w:t>(1,503,660)</w:t>
            </w:r>
          </w:p>
        </w:tc>
        <w:tc>
          <w:tcPr>
            <w:tcW w:w="1418" w:type="dxa"/>
            <w:tcBorders>
              <w:top w:val="nil"/>
              <w:bottom w:val="single" w:sz="2" w:space="0" w:color="1F4E79" w:themeColor="accent1" w:themeShade="80"/>
            </w:tcBorders>
            <w:shd w:val="clear" w:color="auto" w:fill="auto"/>
            <w:vAlign w:val="center"/>
          </w:tcPr>
          <w:p w14:paraId="4E03B8DA" w14:textId="77777777" w:rsidR="00931938" w:rsidRPr="003F4B3F" w:rsidRDefault="00931938" w:rsidP="00E54AB3">
            <w:pPr>
              <w:pStyle w:val="08-Tabelageral"/>
              <w:rPr>
                <w:rFonts w:cs="Arial"/>
                <w:b/>
              </w:rPr>
            </w:pPr>
            <w:r>
              <w:rPr>
                <w:rFonts w:cs="Arial"/>
                <w:b/>
                <w:szCs w:val="14"/>
              </w:rPr>
              <w:t>(1,146,207)</w:t>
            </w:r>
          </w:p>
        </w:tc>
      </w:tr>
    </w:tbl>
    <w:p w14:paraId="022A8A31" w14:textId="77777777" w:rsidR="00931938" w:rsidRDefault="00931938" w:rsidP="007227F6">
      <w:pPr>
        <w:spacing w:after="0"/>
        <w:jc w:val="right"/>
        <w:rPr>
          <w:rFonts w:cs="Arial"/>
          <w:b/>
          <w:sz w:val="14"/>
          <w:lang w:eastAsia="pt-BR"/>
        </w:rPr>
      </w:pPr>
    </w:p>
    <w:p w14:paraId="5E4D54AC" w14:textId="77777777" w:rsidR="00F12587" w:rsidRDefault="00F12587" w:rsidP="00581CEE">
      <w:pPr>
        <w:spacing w:after="40"/>
        <w:rPr>
          <w:rFonts w:cs="Arial"/>
          <w:b/>
          <w:color w:val="1F4E79" w:themeColor="accent1" w:themeShade="80"/>
          <w:szCs w:val="18"/>
          <w:lang w:val="en-US"/>
        </w:rPr>
      </w:pPr>
    </w:p>
    <w:p w14:paraId="3C0AE453" w14:textId="77777777" w:rsidR="001A2EC3" w:rsidRDefault="001A2EC3" w:rsidP="00581CEE">
      <w:pPr>
        <w:spacing w:after="40"/>
        <w:rPr>
          <w:rFonts w:cs="Arial"/>
          <w:b/>
          <w:color w:val="1F4E79" w:themeColor="accent1" w:themeShade="80"/>
          <w:szCs w:val="18"/>
          <w:lang w:val="en-US"/>
        </w:rPr>
      </w:pPr>
    </w:p>
    <w:p w14:paraId="7CF74384" w14:textId="77777777" w:rsidR="001A2EC3" w:rsidRDefault="001A2EC3" w:rsidP="00581CEE">
      <w:pPr>
        <w:spacing w:after="40"/>
        <w:rPr>
          <w:rFonts w:cs="Arial"/>
          <w:b/>
          <w:color w:val="1F4E79" w:themeColor="accent1" w:themeShade="80"/>
          <w:szCs w:val="18"/>
          <w:lang w:val="en-US"/>
        </w:rPr>
      </w:pPr>
    </w:p>
    <w:p w14:paraId="350418E6" w14:textId="08E60FC2" w:rsidR="00931938" w:rsidRPr="00E54AB3" w:rsidRDefault="00931938" w:rsidP="00581CEE">
      <w:pPr>
        <w:spacing w:after="40"/>
        <w:rPr>
          <w:rFonts w:cs="Arial"/>
          <w:b/>
          <w:color w:val="1F4E79" w:themeColor="accent1" w:themeShade="80"/>
          <w:szCs w:val="18"/>
          <w:lang w:val="en-US"/>
        </w:rPr>
      </w:pPr>
      <w:r w:rsidRPr="00E54AB3">
        <w:rPr>
          <w:rFonts w:cs="Arial"/>
          <w:b/>
          <w:color w:val="1F4E79" w:themeColor="accent1" w:themeShade="80"/>
          <w:szCs w:val="18"/>
          <w:lang w:val="en-US"/>
        </w:rPr>
        <w:lastRenderedPageBreak/>
        <w:t xml:space="preserve">b) </w:t>
      </w:r>
      <w:r w:rsidRPr="00662308">
        <w:rPr>
          <w:rFonts w:cs="Arial"/>
          <w:b/>
          <w:color w:val="1F4E79" w:themeColor="accent1" w:themeShade="80"/>
          <w:szCs w:val="18"/>
          <w:lang w:val="en-US"/>
        </w:rPr>
        <w:t>Reconciliation of Income Tax and Social Contribution Expenses</w:t>
      </w:r>
    </w:p>
    <w:p w14:paraId="793BF1A4" w14:textId="77777777" w:rsidR="00931938" w:rsidRPr="00FF3D4B" w:rsidRDefault="00931938" w:rsidP="007A0EE9">
      <w:pPr>
        <w:spacing w:after="0" w:line="240" w:lineRule="auto"/>
        <w:jc w:val="right"/>
        <w:rPr>
          <w:rFonts w:cs="Arial"/>
          <w:b/>
          <w:sz w:val="14"/>
          <w:lang w:eastAsia="pt-BR"/>
        </w:rPr>
      </w:pPr>
      <w:r w:rsidRPr="00FF3D4B">
        <w:rPr>
          <w:rFonts w:cs="Arial"/>
          <w:b/>
          <w:sz w:val="14"/>
          <w:lang w:eastAsia="pt-BR"/>
        </w:rPr>
        <w:t>R$</w:t>
      </w:r>
      <w:r w:rsidRPr="000F7914">
        <w:rPr>
          <w:rFonts w:cs="Arial"/>
          <w:b/>
          <w:sz w:val="14"/>
          <w:lang w:eastAsia="pt-BR"/>
        </w:rPr>
        <w:t xml:space="preserve">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402"/>
        <w:gridCol w:w="284"/>
        <w:gridCol w:w="1423"/>
        <w:gridCol w:w="1412"/>
        <w:gridCol w:w="283"/>
        <w:gridCol w:w="1417"/>
        <w:gridCol w:w="1418"/>
      </w:tblGrid>
      <w:tr w:rsidR="00931938" w:rsidRPr="0019344C" w14:paraId="11BB4E6D" w14:textId="77777777" w:rsidTr="00AB4D1D">
        <w:trPr>
          <w:trHeight w:val="238"/>
          <w:jc w:val="center"/>
        </w:trPr>
        <w:tc>
          <w:tcPr>
            <w:tcW w:w="3402" w:type="dxa"/>
            <w:tcBorders>
              <w:top w:val="single" w:sz="2" w:space="0" w:color="1F4E79" w:themeColor="accent1" w:themeShade="80"/>
              <w:bottom w:val="nil"/>
            </w:tcBorders>
            <w:shd w:val="clear" w:color="auto" w:fill="auto"/>
            <w:vAlign w:val="center"/>
          </w:tcPr>
          <w:p w14:paraId="0BB2195E" w14:textId="77777777" w:rsidR="00931938" w:rsidRPr="0019344C" w:rsidRDefault="00931938" w:rsidP="0019344C">
            <w:pPr>
              <w:spacing w:after="0"/>
              <w:jc w:val="center"/>
              <w:rPr>
                <w:rFonts w:cs="Arial"/>
                <w:b/>
                <w:szCs w:val="18"/>
              </w:rPr>
            </w:pPr>
          </w:p>
        </w:tc>
        <w:tc>
          <w:tcPr>
            <w:tcW w:w="284" w:type="dxa"/>
            <w:tcBorders>
              <w:top w:val="single" w:sz="2" w:space="0" w:color="1F4E79" w:themeColor="accent1" w:themeShade="80"/>
              <w:bottom w:val="nil"/>
            </w:tcBorders>
            <w:shd w:val="clear" w:color="auto" w:fill="auto"/>
            <w:vAlign w:val="center"/>
          </w:tcPr>
          <w:p w14:paraId="4A83D722" w14:textId="77777777" w:rsidR="00931938" w:rsidRPr="0019344C" w:rsidRDefault="00931938" w:rsidP="0019344C">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3EE0FEBB" w14:textId="77777777" w:rsidR="00931938" w:rsidRPr="0019344C" w:rsidRDefault="00931938" w:rsidP="0019344C">
            <w:pPr>
              <w:spacing w:after="0"/>
              <w:jc w:val="center"/>
              <w:rPr>
                <w:rFonts w:cs="Arial"/>
                <w:b/>
                <w:sz w:val="14"/>
                <w:szCs w:val="18"/>
              </w:rPr>
            </w:pPr>
            <w:r w:rsidRPr="00EC4649">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58991B6E" w14:textId="77777777" w:rsidR="00931938" w:rsidRPr="0019344C" w:rsidRDefault="00931938" w:rsidP="0019344C">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04BE4074" w14:textId="77777777" w:rsidR="00931938" w:rsidRPr="0019344C" w:rsidRDefault="00931938" w:rsidP="0019344C">
            <w:pPr>
              <w:spacing w:after="0"/>
              <w:jc w:val="center"/>
              <w:rPr>
                <w:rFonts w:cs="Arial"/>
                <w:b/>
                <w:szCs w:val="18"/>
              </w:rPr>
            </w:pPr>
            <w:r w:rsidRPr="00EC4649">
              <w:rPr>
                <w:rFonts w:cs="Arial"/>
                <w:b/>
                <w:sz w:val="14"/>
                <w:szCs w:val="18"/>
              </w:rPr>
              <w:t>Consolidated</w:t>
            </w:r>
          </w:p>
        </w:tc>
      </w:tr>
      <w:tr w:rsidR="00931938" w:rsidRPr="0019344C" w14:paraId="6830C033" w14:textId="77777777" w:rsidTr="00AB4D1D">
        <w:trPr>
          <w:trHeight w:val="238"/>
          <w:jc w:val="center"/>
        </w:trPr>
        <w:tc>
          <w:tcPr>
            <w:tcW w:w="3402" w:type="dxa"/>
            <w:tcBorders>
              <w:top w:val="nil"/>
              <w:bottom w:val="single" w:sz="2" w:space="0" w:color="1F4E79" w:themeColor="accent1" w:themeShade="80"/>
            </w:tcBorders>
            <w:shd w:val="clear" w:color="auto" w:fill="auto"/>
            <w:vAlign w:val="center"/>
          </w:tcPr>
          <w:p w14:paraId="59BC6C7C" w14:textId="77777777" w:rsidR="00931938" w:rsidRPr="0019344C" w:rsidRDefault="00931938" w:rsidP="00FA69AA">
            <w:pPr>
              <w:pStyle w:val="08-Tabelageral"/>
              <w:rPr>
                <w:rFonts w:cs="Arial"/>
                <w:b/>
              </w:rPr>
            </w:pPr>
          </w:p>
        </w:tc>
        <w:tc>
          <w:tcPr>
            <w:tcW w:w="284" w:type="dxa"/>
            <w:tcBorders>
              <w:top w:val="nil"/>
              <w:bottom w:val="single" w:sz="2" w:space="0" w:color="1F4E79" w:themeColor="accent1" w:themeShade="80"/>
            </w:tcBorders>
            <w:shd w:val="clear" w:color="auto" w:fill="auto"/>
            <w:vAlign w:val="center"/>
          </w:tcPr>
          <w:p w14:paraId="2C9AB66D" w14:textId="77777777" w:rsidR="00931938" w:rsidRPr="0019344C" w:rsidRDefault="00931938" w:rsidP="00FA69AA">
            <w:pPr>
              <w:pStyle w:val="08-Tabelageral"/>
              <w:rPr>
                <w:rFonts w:cs="Arial"/>
                <w:b/>
              </w:rPr>
            </w:pPr>
          </w:p>
        </w:tc>
        <w:tc>
          <w:tcPr>
            <w:tcW w:w="1423" w:type="dxa"/>
            <w:tcBorders>
              <w:top w:val="single" w:sz="2" w:space="0" w:color="1F4E79" w:themeColor="accent1" w:themeShade="80"/>
              <w:bottom w:val="single" w:sz="2" w:space="0" w:color="1F4E79" w:themeColor="accent1" w:themeShade="80"/>
            </w:tcBorders>
            <w:shd w:val="clear" w:color="auto" w:fill="auto"/>
          </w:tcPr>
          <w:p w14:paraId="46554438" w14:textId="77777777" w:rsidR="00931938" w:rsidRPr="0019344C" w:rsidRDefault="00931938" w:rsidP="00FA69AA">
            <w:pPr>
              <w:pStyle w:val="08-Tabelageral"/>
              <w:rPr>
                <w:rFonts w:cs="Arial"/>
                <w:b/>
              </w:rPr>
            </w:pPr>
            <w:r w:rsidRPr="00874161">
              <w:rPr>
                <w:b/>
              </w:rPr>
              <w:t>202</w:t>
            </w:r>
            <w:r>
              <w:rPr>
                <w:b/>
              </w:rPr>
              <w:t>2</w:t>
            </w:r>
          </w:p>
        </w:tc>
        <w:tc>
          <w:tcPr>
            <w:tcW w:w="1412" w:type="dxa"/>
            <w:tcBorders>
              <w:top w:val="single" w:sz="2" w:space="0" w:color="1F4E79" w:themeColor="accent1" w:themeShade="80"/>
              <w:bottom w:val="single" w:sz="2" w:space="0" w:color="1F4E79" w:themeColor="accent1" w:themeShade="80"/>
            </w:tcBorders>
            <w:shd w:val="clear" w:color="auto" w:fill="auto"/>
          </w:tcPr>
          <w:p w14:paraId="50270344" w14:textId="77777777" w:rsidR="00931938" w:rsidRPr="0019344C" w:rsidRDefault="00931938" w:rsidP="00FA69AA">
            <w:pPr>
              <w:pStyle w:val="08-Tabelageral"/>
              <w:rPr>
                <w:rFonts w:cs="Arial"/>
                <w:b/>
              </w:rPr>
            </w:pPr>
            <w:r w:rsidRPr="00874161">
              <w:rPr>
                <w:b/>
              </w:rPr>
              <w:t>202</w:t>
            </w:r>
            <w:r>
              <w:rPr>
                <w:b/>
              </w:rPr>
              <w:t>1</w:t>
            </w:r>
          </w:p>
        </w:tc>
        <w:tc>
          <w:tcPr>
            <w:tcW w:w="283" w:type="dxa"/>
            <w:tcBorders>
              <w:top w:val="nil"/>
              <w:bottom w:val="single" w:sz="2" w:space="0" w:color="1F4E79" w:themeColor="accent1" w:themeShade="80"/>
            </w:tcBorders>
            <w:shd w:val="clear" w:color="auto" w:fill="auto"/>
          </w:tcPr>
          <w:p w14:paraId="03B52944" w14:textId="77777777" w:rsidR="00931938" w:rsidRPr="0019344C" w:rsidRDefault="00931938" w:rsidP="00FA69AA">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57FCB5D9" w14:textId="77777777" w:rsidR="00931938" w:rsidRPr="0019344C" w:rsidRDefault="00931938" w:rsidP="00FA69AA">
            <w:pPr>
              <w:pStyle w:val="08-Tabelageral"/>
              <w:rPr>
                <w:rFonts w:cs="Arial"/>
                <w:b/>
              </w:rPr>
            </w:pPr>
            <w:r>
              <w:rPr>
                <w:rFonts w:cs="Arial"/>
                <w:b/>
              </w:rPr>
              <w:t>2022</w:t>
            </w:r>
          </w:p>
        </w:tc>
        <w:tc>
          <w:tcPr>
            <w:tcW w:w="1418" w:type="dxa"/>
            <w:tcBorders>
              <w:top w:val="single" w:sz="2" w:space="0" w:color="1F4E79" w:themeColor="accent1" w:themeShade="80"/>
              <w:bottom w:val="single" w:sz="2" w:space="0" w:color="1F4E79" w:themeColor="accent1" w:themeShade="80"/>
            </w:tcBorders>
            <w:shd w:val="clear" w:color="auto" w:fill="auto"/>
          </w:tcPr>
          <w:p w14:paraId="14D91CC0" w14:textId="77777777" w:rsidR="00931938" w:rsidRPr="0019344C" w:rsidRDefault="00931938" w:rsidP="00FA69AA">
            <w:pPr>
              <w:pStyle w:val="08-Tabelageral"/>
              <w:rPr>
                <w:rFonts w:cs="Arial"/>
                <w:b/>
              </w:rPr>
            </w:pPr>
            <w:r>
              <w:rPr>
                <w:b/>
              </w:rPr>
              <w:t>2021</w:t>
            </w:r>
          </w:p>
        </w:tc>
      </w:tr>
      <w:tr w:rsidR="00931938" w:rsidRPr="0019344C" w14:paraId="39D8C51F" w14:textId="77777777" w:rsidTr="00AB4D1D">
        <w:trPr>
          <w:trHeight w:val="238"/>
          <w:jc w:val="center"/>
        </w:trPr>
        <w:tc>
          <w:tcPr>
            <w:tcW w:w="3402" w:type="dxa"/>
            <w:tcBorders>
              <w:top w:val="single" w:sz="2" w:space="0" w:color="1F4E79" w:themeColor="accent1" w:themeShade="80"/>
            </w:tcBorders>
            <w:shd w:val="clear" w:color="auto" w:fill="auto"/>
            <w:vAlign w:val="center"/>
          </w:tcPr>
          <w:p w14:paraId="314A4530" w14:textId="77777777" w:rsidR="00931938" w:rsidRPr="00E54AB3" w:rsidRDefault="00931938" w:rsidP="001C1C12">
            <w:pPr>
              <w:pStyle w:val="08-Tabelageral"/>
              <w:jc w:val="left"/>
              <w:rPr>
                <w:rFonts w:cs="Arial"/>
                <w:b/>
                <w:bCs/>
                <w:szCs w:val="14"/>
                <w:lang w:val="en-US"/>
              </w:rPr>
            </w:pPr>
            <w:r>
              <w:rPr>
                <w:rFonts w:cs="Arial"/>
                <w:b/>
                <w:lang w:val="en-US"/>
              </w:rPr>
              <w:t>Profit before income tax and social contribution</w:t>
            </w:r>
            <w:r w:rsidRPr="00F81A67">
              <w:rPr>
                <w:rFonts w:cs="Arial"/>
                <w:sz w:val="16"/>
                <w:szCs w:val="16"/>
                <w:lang w:val="en-US"/>
              </w:rPr>
              <w:t> </w:t>
            </w:r>
            <w:r w:rsidRPr="00E54AB3">
              <w:rPr>
                <w:rFonts w:cs="Arial"/>
                <w:b/>
                <w:szCs w:val="14"/>
                <w:lang w:val="en-US"/>
              </w:rPr>
              <w:t xml:space="preserve"> </w:t>
            </w:r>
          </w:p>
        </w:tc>
        <w:tc>
          <w:tcPr>
            <w:tcW w:w="284" w:type="dxa"/>
            <w:tcBorders>
              <w:top w:val="single" w:sz="2" w:space="0" w:color="1F4E79" w:themeColor="accent1" w:themeShade="80"/>
            </w:tcBorders>
            <w:shd w:val="clear" w:color="auto" w:fill="auto"/>
          </w:tcPr>
          <w:p w14:paraId="094D020E" w14:textId="77777777" w:rsidR="00931938" w:rsidRPr="00E54AB3" w:rsidRDefault="00931938" w:rsidP="001C1C12">
            <w:pPr>
              <w:pStyle w:val="08-Tabelageral"/>
              <w:jc w:val="center"/>
              <w:rPr>
                <w:rFonts w:cs="Arial"/>
                <w:b/>
                <w:szCs w:val="14"/>
                <w:lang w:val="en-US"/>
              </w:rPr>
            </w:pPr>
          </w:p>
        </w:tc>
        <w:tc>
          <w:tcPr>
            <w:tcW w:w="1423" w:type="dxa"/>
            <w:tcBorders>
              <w:top w:val="single" w:sz="2" w:space="0" w:color="1F4E79" w:themeColor="accent1" w:themeShade="80"/>
            </w:tcBorders>
            <w:shd w:val="clear" w:color="auto" w:fill="auto"/>
            <w:vAlign w:val="center"/>
          </w:tcPr>
          <w:p w14:paraId="6A548EBA" w14:textId="77777777" w:rsidR="00931938" w:rsidRPr="0019344C" w:rsidRDefault="00931938" w:rsidP="001C1C12">
            <w:pPr>
              <w:pStyle w:val="08-Tabelageral"/>
              <w:rPr>
                <w:rFonts w:cs="Arial"/>
                <w:b/>
                <w:szCs w:val="14"/>
              </w:rPr>
            </w:pPr>
            <w:r>
              <w:rPr>
                <w:rFonts w:cs="Arial"/>
                <w:b/>
                <w:szCs w:val="14"/>
              </w:rPr>
              <w:t>6,045,621</w:t>
            </w:r>
          </w:p>
        </w:tc>
        <w:tc>
          <w:tcPr>
            <w:tcW w:w="1412" w:type="dxa"/>
            <w:tcBorders>
              <w:top w:val="single" w:sz="2" w:space="0" w:color="1F4E79" w:themeColor="accent1" w:themeShade="80"/>
            </w:tcBorders>
            <w:shd w:val="clear" w:color="auto" w:fill="auto"/>
            <w:vAlign w:val="center"/>
          </w:tcPr>
          <w:p w14:paraId="48F465E3" w14:textId="77777777" w:rsidR="00931938" w:rsidRPr="0019344C" w:rsidRDefault="00931938" w:rsidP="001C1C12">
            <w:pPr>
              <w:pStyle w:val="08-Tabelageral"/>
              <w:rPr>
                <w:rFonts w:cs="Arial"/>
                <w:b/>
                <w:szCs w:val="14"/>
              </w:rPr>
            </w:pPr>
            <w:r>
              <w:rPr>
                <w:rFonts w:cs="Arial"/>
                <w:b/>
                <w:szCs w:val="14"/>
              </w:rPr>
              <w:t>3,937,922</w:t>
            </w:r>
          </w:p>
        </w:tc>
        <w:tc>
          <w:tcPr>
            <w:tcW w:w="283" w:type="dxa"/>
            <w:tcBorders>
              <w:top w:val="single" w:sz="2" w:space="0" w:color="1F4E79" w:themeColor="accent1" w:themeShade="80"/>
            </w:tcBorders>
            <w:shd w:val="clear" w:color="auto" w:fill="auto"/>
            <w:vAlign w:val="center"/>
          </w:tcPr>
          <w:p w14:paraId="62F59A04" w14:textId="77777777" w:rsidR="00931938" w:rsidRPr="0019344C" w:rsidRDefault="00931938" w:rsidP="001C1C12">
            <w:pPr>
              <w:pStyle w:val="08-Tabelageral"/>
              <w:rPr>
                <w:rFonts w:cs="Arial"/>
                <w:b/>
                <w:szCs w:val="14"/>
              </w:rPr>
            </w:pPr>
          </w:p>
        </w:tc>
        <w:tc>
          <w:tcPr>
            <w:tcW w:w="1417" w:type="dxa"/>
            <w:tcBorders>
              <w:top w:val="single" w:sz="2" w:space="0" w:color="1F4E79" w:themeColor="accent1" w:themeShade="80"/>
            </w:tcBorders>
            <w:shd w:val="clear" w:color="auto" w:fill="auto"/>
            <w:vAlign w:val="center"/>
          </w:tcPr>
          <w:p w14:paraId="03228285" w14:textId="77777777" w:rsidR="00931938" w:rsidRPr="0019344C" w:rsidRDefault="00931938" w:rsidP="001C1C12">
            <w:pPr>
              <w:pStyle w:val="08-Tabelageral"/>
              <w:rPr>
                <w:rFonts w:cs="Arial"/>
                <w:b/>
                <w:szCs w:val="14"/>
              </w:rPr>
            </w:pPr>
            <w:r>
              <w:rPr>
                <w:rFonts w:cs="Arial"/>
                <w:b/>
                <w:szCs w:val="14"/>
              </w:rPr>
              <w:t>7,548,231</w:t>
            </w:r>
          </w:p>
        </w:tc>
        <w:tc>
          <w:tcPr>
            <w:tcW w:w="1418" w:type="dxa"/>
            <w:tcBorders>
              <w:top w:val="single" w:sz="2" w:space="0" w:color="1F4E79" w:themeColor="accent1" w:themeShade="80"/>
            </w:tcBorders>
            <w:shd w:val="clear" w:color="auto" w:fill="auto"/>
            <w:vAlign w:val="center"/>
          </w:tcPr>
          <w:p w14:paraId="5DF5CD7B" w14:textId="77777777" w:rsidR="00931938" w:rsidRPr="0019344C" w:rsidRDefault="00931938" w:rsidP="001C1C12">
            <w:pPr>
              <w:pStyle w:val="08-Tabelageral"/>
              <w:rPr>
                <w:rFonts w:cs="Arial"/>
                <w:b/>
              </w:rPr>
            </w:pPr>
            <w:r>
              <w:rPr>
                <w:rFonts w:cs="Arial"/>
                <w:b/>
                <w:szCs w:val="14"/>
              </w:rPr>
              <w:t>5,079,424</w:t>
            </w:r>
          </w:p>
        </w:tc>
      </w:tr>
      <w:tr w:rsidR="00931938" w:rsidRPr="0019344C" w14:paraId="536026F5" w14:textId="77777777" w:rsidTr="00AB4D1D">
        <w:trPr>
          <w:trHeight w:val="238"/>
          <w:jc w:val="center"/>
        </w:trPr>
        <w:tc>
          <w:tcPr>
            <w:tcW w:w="3402" w:type="dxa"/>
            <w:shd w:val="clear" w:color="auto" w:fill="auto"/>
            <w:vAlign w:val="center"/>
          </w:tcPr>
          <w:p w14:paraId="4C0F1425" w14:textId="77777777" w:rsidR="00931938" w:rsidRPr="00E54AB3" w:rsidRDefault="00931938" w:rsidP="001C1C12">
            <w:pPr>
              <w:pStyle w:val="08-Tabelageral"/>
              <w:ind w:left="113"/>
              <w:jc w:val="left"/>
              <w:rPr>
                <w:rFonts w:cs="Arial"/>
                <w:szCs w:val="14"/>
                <w:lang w:val="en-US"/>
              </w:rPr>
            </w:pPr>
            <w:r w:rsidRPr="00E54AB3">
              <w:rPr>
                <w:rFonts w:cs="Arial"/>
                <w:szCs w:val="14"/>
                <w:lang w:val="en-US"/>
              </w:rPr>
              <w:t xml:space="preserve">a) </w:t>
            </w:r>
            <w:r w:rsidRPr="006D1ED0">
              <w:rPr>
                <w:rFonts w:ascii="ArialMT" w:hAnsi="ArialMT" w:cs="ArialMT"/>
                <w:szCs w:val="14"/>
                <w:lang w:val="en-US"/>
              </w:rPr>
              <w:t>Total</w:t>
            </w:r>
            <w:r>
              <w:rPr>
                <w:rFonts w:ascii="ArialMT" w:hAnsi="ArialMT" w:cs="ArialMT"/>
                <w:szCs w:val="14"/>
                <w:lang w:val="en-US"/>
              </w:rPr>
              <w:t xml:space="preserve"> income tax (25%) and CSLL (9</w:t>
            </w:r>
            <w:r w:rsidRPr="006D1ED0">
              <w:rPr>
                <w:rFonts w:ascii="ArialMT" w:hAnsi="ArialMT" w:cs="ArialMT"/>
                <w:szCs w:val="14"/>
                <w:lang w:val="en-US"/>
              </w:rPr>
              <w:t>%)</w:t>
            </w:r>
            <w:r>
              <w:rPr>
                <w:rFonts w:ascii="ArialMT" w:hAnsi="ArialMT" w:cs="ArialMT"/>
                <w:szCs w:val="14"/>
                <w:lang w:val="en-US"/>
              </w:rPr>
              <w:t xml:space="preserve"> chages</w:t>
            </w:r>
            <w:r w:rsidRPr="00F81A67">
              <w:rPr>
                <w:rFonts w:cs="Arial"/>
                <w:sz w:val="16"/>
                <w:szCs w:val="16"/>
                <w:lang w:val="en-US"/>
              </w:rPr>
              <w:t> </w:t>
            </w:r>
          </w:p>
        </w:tc>
        <w:tc>
          <w:tcPr>
            <w:tcW w:w="284" w:type="dxa"/>
            <w:shd w:val="clear" w:color="auto" w:fill="auto"/>
          </w:tcPr>
          <w:p w14:paraId="7984C021" w14:textId="77777777" w:rsidR="00931938" w:rsidRPr="00E54AB3" w:rsidRDefault="00931938" w:rsidP="001C1C12">
            <w:pPr>
              <w:pStyle w:val="08-Tabelageral"/>
              <w:ind w:left="113"/>
              <w:jc w:val="center"/>
              <w:rPr>
                <w:rFonts w:cs="Arial"/>
                <w:szCs w:val="14"/>
                <w:lang w:val="en-US"/>
              </w:rPr>
            </w:pPr>
          </w:p>
        </w:tc>
        <w:tc>
          <w:tcPr>
            <w:tcW w:w="1423" w:type="dxa"/>
            <w:shd w:val="clear" w:color="auto" w:fill="auto"/>
            <w:vAlign w:val="center"/>
          </w:tcPr>
          <w:p w14:paraId="74CBB961" w14:textId="77777777" w:rsidR="00931938" w:rsidRPr="0019344C" w:rsidRDefault="00931938" w:rsidP="001C1C12">
            <w:pPr>
              <w:pStyle w:val="08-Tabelageral"/>
              <w:ind w:left="113"/>
              <w:rPr>
                <w:rFonts w:cs="Arial"/>
                <w:szCs w:val="14"/>
              </w:rPr>
            </w:pPr>
            <w:r>
              <w:rPr>
                <w:rFonts w:cs="Arial"/>
                <w:szCs w:val="14"/>
              </w:rPr>
              <w:t>(2,055,511)</w:t>
            </w:r>
          </w:p>
        </w:tc>
        <w:tc>
          <w:tcPr>
            <w:tcW w:w="1412" w:type="dxa"/>
            <w:shd w:val="clear" w:color="auto" w:fill="auto"/>
            <w:vAlign w:val="center"/>
          </w:tcPr>
          <w:p w14:paraId="4693C722" w14:textId="77777777" w:rsidR="00931938" w:rsidRPr="0019344C" w:rsidRDefault="00931938" w:rsidP="001C1C12">
            <w:pPr>
              <w:pStyle w:val="08-Tabelageral"/>
              <w:ind w:left="113"/>
              <w:rPr>
                <w:rFonts w:cs="Arial"/>
                <w:szCs w:val="14"/>
              </w:rPr>
            </w:pPr>
            <w:r>
              <w:rPr>
                <w:rFonts w:cs="Arial"/>
                <w:szCs w:val="14"/>
              </w:rPr>
              <w:t>(1,338,893)</w:t>
            </w:r>
          </w:p>
        </w:tc>
        <w:tc>
          <w:tcPr>
            <w:tcW w:w="283" w:type="dxa"/>
            <w:shd w:val="clear" w:color="auto" w:fill="auto"/>
            <w:vAlign w:val="center"/>
          </w:tcPr>
          <w:p w14:paraId="2E4B37CC" w14:textId="77777777" w:rsidR="00931938" w:rsidRPr="0019344C" w:rsidRDefault="00931938" w:rsidP="001C1C12">
            <w:pPr>
              <w:pStyle w:val="08-Tabelageral"/>
              <w:ind w:left="113"/>
              <w:rPr>
                <w:rFonts w:cs="Arial"/>
                <w:szCs w:val="14"/>
              </w:rPr>
            </w:pPr>
          </w:p>
        </w:tc>
        <w:tc>
          <w:tcPr>
            <w:tcW w:w="1417" w:type="dxa"/>
            <w:shd w:val="clear" w:color="auto" w:fill="auto"/>
            <w:vAlign w:val="center"/>
          </w:tcPr>
          <w:p w14:paraId="16A85BC9" w14:textId="77777777" w:rsidR="00931938" w:rsidRPr="0019344C" w:rsidRDefault="00931938" w:rsidP="001C1C12">
            <w:pPr>
              <w:pStyle w:val="08-Tabelageral"/>
              <w:ind w:left="113"/>
              <w:rPr>
                <w:rFonts w:cs="Arial"/>
                <w:szCs w:val="14"/>
              </w:rPr>
            </w:pPr>
            <w:r>
              <w:rPr>
                <w:rFonts w:cs="Arial"/>
                <w:szCs w:val="14"/>
              </w:rPr>
              <w:t>(2,566,399)</w:t>
            </w:r>
          </w:p>
        </w:tc>
        <w:tc>
          <w:tcPr>
            <w:tcW w:w="1418" w:type="dxa"/>
            <w:shd w:val="clear" w:color="auto" w:fill="auto"/>
            <w:vAlign w:val="center"/>
          </w:tcPr>
          <w:p w14:paraId="53D5FD38" w14:textId="77777777" w:rsidR="00931938" w:rsidRPr="0019344C" w:rsidRDefault="00931938" w:rsidP="001C1C12">
            <w:pPr>
              <w:pStyle w:val="08-Tabelageral"/>
              <w:rPr>
                <w:rFonts w:cs="Arial"/>
              </w:rPr>
            </w:pPr>
            <w:r>
              <w:rPr>
                <w:rFonts w:cs="Arial"/>
                <w:szCs w:val="14"/>
              </w:rPr>
              <w:t>(1,727,004)</w:t>
            </w:r>
          </w:p>
        </w:tc>
      </w:tr>
      <w:tr w:rsidR="00931938" w:rsidRPr="00960237" w14:paraId="05D35F98" w14:textId="77777777" w:rsidTr="00AB4D1D">
        <w:trPr>
          <w:trHeight w:val="238"/>
          <w:jc w:val="center"/>
        </w:trPr>
        <w:tc>
          <w:tcPr>
            <w:tcW w:w="3402" w:type="dxa"/>
            <w:shd w:val="clear" w:color="auto" w:fill="auto"/>
            <w:vAlign w:val="center"/>
          </w:tcPr>
          <w:p w14:paraId="2AC36823" w14:textId="77777777" w:rsidR="00931938" w:rsidRPr="00E54AB3" w:rsidRDefault="00931938" w:rsidP="001C1C12">
            <w:pPr>
              <w:pStyle w:val="08-Tabelageral"/>
              <w:jc w:val="left"/>
              <w:rPr>
                <w:rFonts w:cs="Arial"/>
                <w:b/>
                <w:szCs w:val="14"/>
                <w:lang w:val="en-US"/>
              </w:rPr>
            </w:pPr>
            <w:r w:rsidRPr="000F7914">
              <w:rPr>
                <w:rFonts w:cs="Arial"/>
                <w:b/>
                <w:szCs w:val="14"/>
                <w:lang w:val="en-US"/>
              </w:rPr>
              <w:t>Effect on the tax calculation:</w:t>
            </w:r>
          </w:p>
        </w:tc>
        <w:tc>
          <w:tcPr>
            <w:tcW w:w="284" w:type="dxa"/>
            <w:shd w:val="clear" w:color="auto" w:fill="auto"/>
          </w:tcPr>
          <w:p w14:paraId="257EC61B" w14:textId="77777777" w:rsidR="00931938" w:rsidRPr="00E54AB3" w:rsidRDefault="00931938" w:rsidP="001C1C12">
            <w:pPr>
              <w:pStyle w:val="08-Tabelageral"/>
              <w:jc w:val="center"/>
              <w:rPr>
                <w:rFonts w:cs="Arial"/>
                <w:b/>
                <w:szCs w:val="14"/>
                <w:lang w:val="en-US"/>
              </w:rPr>
            </w:pPr>
          </w:p>
        </w:tc>
        <w:tc>
          <w:tcPr>
            <w:tcW w:w="1423" w:type="dxa"/>
            <w:shd w:val="clear" w:color="auto" w:fill="auto"/>
            <w:vAlign w:val="center"/>
          </w:tcPr>
          <w:p w14:paraId="0B82C6EA" w14:textId="77777777" w:rsidR="00931938" w:rsidRPr="00E54AB3" w:rsidRDefault="00931938" w:rsidP="001C1C12">
            <w:pPr>
              <w:pStyle w:val="08-Tabelageral"/>
              <w:rPr>
                <w:rFonts w:cs="Arial"/>
                <w:b/>
                <w:szCs w:val="14"/>
                <w:lang w:val="en-US"/>
              </w:rPr>
            </w:pPr>
          </w:p>
        </w:tc>
        <w:tc>
          <w:tcPr>
            <w:tcW w:w="1412" w:type="dxa"/>
            <w:shd w:val="clear" w:color="auto" w:fill="auto"/>
            <w:vAlign w:val="center"/>
          </w:tcPr>
          <w:p w14:paraId="3315AEF7" w14:textId="77777777" w:rsidR="00931938" w:rsidRPr="00E54AB3" w:rsidRDefault="00931938" w:rsidP="001C1C12">
            <w:pPr>
              <w:pStyle w:val="08-Tabelageral"/>
              <w:rPr>
                <w:rFonts w:cs="Arial"/>
                <w:b/>
                <w:szCs w:val="14"/>
                <w:lang w:val="en-US"/>
              </w:rPr>
            </w:pPr>
          </w:p>
        </w:tc>
        <w:tc>
          <w:tcPr>
            <w:tcW w:w="283" w:type="dxa"/>
            <w:shd w:val="clear" w:color="auto" w:fill="auto"/>
            <w:vAlign w:val="center"/>
          </w:tcPr>
          <w:p w14:paraId="61E5F6CC" w14:textId="77777777" w:rsidR="00931938" w:rsidRPr="00E54AB3" w:rsidRDefault="00931938" w:rsidP="001C1C12">
            <w:pPr>
              <w:pStyle w:val="08-Tabelageral"/>
              <w:rPr>
                <w:rFonts w:cs="Arial"/>
                <w:b/>
                <w:szCs w:val="14"/>
                <w:lang w:val="en-US"/>
              </w:rPr>
            </w:pPr>
          </w:p>
        </w:tc>
        <w:tc>
          <w:tcPr>
            <w:tcW w:w="1417" w:type="dxa"/>
            <w:shd w:val="clear" w:color="auto" w:fill="auto"/>
            <w:vAlign w:val="center"/>
          </w:tcPr>
          <w:p w14:paraId="4E39CB5F" w14:textId="77777777" w:rsidR="00931938" w:rsidRPr="00E54AB3" w:rsidRDefault="00931938" w:rsidP="001C1C12">
            <w:pPr>
              <w:pStyle w:val="08-Tabelageral"/>
              <w:rPr>
                <w:rFonts w:cs="Arial"/>
                <w:b/>
                <w:szCs w:val="14"/>
                <w:lang w:val="en-US"/>
              </w:rPr>
            </w:pPr>
          </w:p>
        </w:tc>
        <w:tc>
          <w:tcPr>
            <w:tcW w:w="1418" w:type="dxa"/>
            <w:shd w:val="clear" w:color="auto" w:fill="auto"/>
            <w:vAlign w:val="center"/>
          </w:tcPr>
          <w:p w14:paraId="1A3BDE7F" w14:textId="77777777" w:rsidR="00931938" w:rsidRPr="00E54AB3" w:rsidRDefault="00931938" w:rsidP="001C1C12">
            <w:pPr>
              <w:pStyle w:val="08-Tabelageral"/>
              <w:rPr>
                <w:rFonts w:cs="Arial"/>
                <w:b/>
                <w:lang w:val="en-US"/>
              </w:rPr>
            </w:pPr>
          </w:p>
        </w:tc>
      </w:tr>
      <w:tr w:rsidR="00931938" w:rsidRPr="0019344C" w14:paraId="4166CD83" w14:textId="77777777" w:rsidTr="00AB4D1D">
        <w:trPr>
          <w:trHeight w:val="238"/>
          <w:jc w:val="center"/>
        </w:trPr>
        <w:tc>
          <w:tcPr>
            <w:tcW w:w="3402" w:type="dxa"/>
            <w:shd w:val="clear" w:color="auto" w:fill="auto"/>
            <w:vAlign w:val="center"/>
          </w:tcPr>
          <w:p w14:paraId="1906F934" w14:textId="77777777" w:rsidR="00931938" w:rsidRPr="00E54AB3" w:rsidRDefault="00931938" w:rsidP="001C1C12">
            <w:pPr>
              <w:pStyle w:val="08-Tabelageral"/>
              <w:ind w:left="283" w:hanging="170"/>
              <w:jc w:val="left"/>
              <w:rPr>
                <w:rFonts w:cs="Arial"/>
                <w:szCs w:val="14"/>
                <w:lang w:val="en-US"/>
              </w:rPr>
            </w:pPr>
            <w:r w:rsidRPr="00E54AB3">
              <w:rPr>
                <w:rFonts w:cs="Arial"/>
                <w:szCs w:val="14"/>
                <w:lang w:val="en-US"/>
              </w:rPr>
              <w:t xml:space="preserve">b) </w:t>
            </w:r>
            <w:r w:rsidRPr="003E2305">
              <w:rPr>
                <w:rFonts w:cs="Arial"/>
                <w:szCs w:val="14"/>
                <w:lang w:val="en-US"/>
              </w:rPr>
              <w:t>Nontaxable income - share of profit (loss) of subsidiaries associates and joint ventures (34%)</w:t>
            </w:r>
          </w:p>
        </w:tc>
        <w:tc>
          <w:tcPr>
            <w:tcW w:w="284" w:type="dxa"/>
            <w:shd w:val="clear" w:color="auto" w:fill="auto"/>
          </w:tcPr>
          <w:p w14:paraId="3B92EF19" w14:textId="77777777" w:rsidR="00931938" w:rsidRPr="00E54AB3" w:rsidRDefault="00931938" w:rsidP="001C1C12">
            <w:pPr>
              <w:pStyle w:val="08-Tabelageral"/>
              <w:ind w:left="113"/>
              <w:jc w:val="center"/>
              <w:rPr>
                <w:rFonts w:cs="Arial"/>
                <w:szCs w:val="14"/>
                <w:lang w:val="en-US"/>
              </w:rPr>
            </w:pPr>
          </w:p>
        </w:tc>
        <w:tc>
          <w:tcPr>
            <w:tcW w:w="1423" w:type="dxa"/>
            <w:shd w:val="clear" w:color="auto" w:fill="auto"/>
            <w:vAlign w:val="center"/>
          </w:tcPr>
          <w:p w14:paraId="0EEB5632" w14:textId="77777777" w:rsidR="00931938" w:rsidRPr="0019344C" w:rsidRDefault="00931938" w:rsidP="001C1C12">
            <w:pPr>
              <w:pStyle w:val="08-Tabelageral"/>
              <w:ind w:left="113"/>
              <w:rPr>
                <w:rFonts w:cs="Arial"/>
                <w:szCs w:val="14"/>
              </w:rPr>
            </w:pPr>
            <w:r>
              <w:rPr>
                <w:rFonts w:cs="Arial"/>
                <w:szCs w:val="14"/>
              </w:rPr>
              <w:t>2,054,548</w:t>
            </w:r>
          </w:p>
        </w:tc>
        <w:tc>
          <w:tcPr>
            <w:tcW w:w="1412" w:type="dxa"/>
            <w:shd w:val="clear" w:color="auto" w:fill="auto"/>
            <w:vAlign w:val="center"/>
          </w:tcPr>
          <w:p w14:paraId="755673E8" w14:textId="77777777" w:rsidR="00931938" w:rsidRPr="0019344C" w:rsidRDefault="00931938" w:rsidP="001C1C12">
            <w:pPr>
              <w:pStyle w:val="08-Tabelageral"/>
              <w:ind w:left="113"/>
              <w:rPr>
                <w:rFonts w:cs="Arial"/>
                <w:szCs w:val="14"/>
              </w:rPr>
            </w:pPr>
            <w:r>
              <w:rPr>
                <w:rFonts w:cs="Arial"/>
                <w:szCs w:val="14"/>
              </w:rPr>
              <w:t>1,334,022</w:t>
            </w:r>
          </w:p>
        </w:tc>
        <w:tc>
          <w:tcPr>
            <w:tcW w:w="283" w:type="dxa"/>
            <w:shd w:val="clear" w:color="auto" w:fill="auto"/>
            <w:vAlign w:val="center"/>
          </w:tcPr>
          <w:p w14:paraId="10A990E2" w14:textId="77777777" w:rsidR="00931938" w:rsidRPr="0019344C" w:rsidRDefault="00931938" w:rsidP="001C1C12">
            <w:pPr>
              <w:pStyle w:val="08-Tabelageral"/>
              <w:ind w:left="113"/>
              <w:rPr>
                <w:rFonts w:cs="Arial"/>
                <w:szCs w:val="14"/>
              </w:rPr>
            </w:pPr>
          </w:p>
        </w:tc>
        <w:tc>
          <w:tcPr>
            <w:tcW w:w="1417" w:type="dxa"/>
            <w:shd w:val="clear" w:color="auto" w:fill="auto"/>
            <w:vAlign w:val="center"/>
          </w:tcPr>
          <w:p w14:paraId="5427DC7B" w14:textId="77777777" w:rsidR="00931938" w:rsidRPr="0019344C" w:rsidRDefault="00931938" w:rsidP="001C1C12">
            <w:pPr>
              <w:pStyle w:val="08-Tabelageral"/>
              <w:ind w:left="113"/>
              <w:rPr>
                <w:rFonts w:cs="Arial"/>
                <w:szCs w:val="14"/>
              </w:rPr>
            </w:pPr>
            <w:r>
              <w:rPr>
                <w:rFonts w:cs="Arial"/>
                <w:szCs w:val="14"/>
              </w:rPr>
              <w:t>1,143,680</w:t>
            </w:r>
          </w:p>
        </w:tc>
        <w:tc>
          <w:tcPr>
            <w:tcW w:w="1418" w:type="dxa"/>
            <w:shd w:val="clear" w:color="auto" w:fill="auto"/>
            <w:vAlign w:val="center"/>
          </w:tcPr>
          <w:p w14:paraId="1842453C" w14:textId="77777777" w:rsidR="00931938" w:rsidRPr="0019344C" w:rsidRDefault="00931938" w:rsidP="001C1C12">
            <w:pPr>
              <w:pStyle w:val="08-Tabelageral"/>
              <w:rPr>
                <w:rFonts w:cs="Arial"/>
              </w:rPr>
            </w:pPr>
            <w:r>
              <w:rPr>
                <w:rFonts w:cs="Arial"/>
                <w:szCs w:val="14"/>
              </w:rPr>
              <w:t>622,321</w:t>
            </w:r>
          </w:p>
        </w:tc>
      </w:tr>
      <w:tr w:rsidR="00931938" w:rsidRPr="0019344C" w14:paraId="1B9C56DD" w14:textId="77777777" w:rsidTr="00AB4D1D">
        <w:trPr>
          <w:trHeight w:val="238"/>
          <w:jc w:val="center"/>
        </w:trPr>
        <w:tc>
          <w:tcPr>
            <w:tcW w:w="3402" w:type="dxa"/>
            <w:tcBorders>
              <w:bottom w:val="nil"/>
            </w:tcBorders>
            <w:shd w:val="clear" w:color="auto" w:fill="auto"/>
            <w:vAlign w:val="center"/>
          </w:tcPr>
          <w:p w14:paraId="1FE6F5B4" w14:textId="77777777" w:rsidR="00931938" w:rsidRPr="00E54AB3" w:rsidRDefault="00931938" w:rsidP="001C1C12">
            <w:pPr>
              <w:pStyle w:val="08-Tabelageral"/>
              <w:ind w:left="283" w:hanging="170"/>
              <w:jc w:val="left"/>
              <w:rPr>
                <w:rFonts w:cs="Arial"/>
                <w:szCs w:val="14"/>
                <w:lang w:val="en-US"/>
              </w:rPr>
            </w:pPr>
            <w:r w:rsidRPr="00E54AB3">
              <w:rPr>
                <w:rFonts w:cs="Arial"/>
                <w:szCs w:val="14"/>
                <w:lang w:val="en-US"/>
              </w:rPr>
              <w:t xml:space="preserve">c) </w:t>
            </w:r>
            <w:r w:rsidRPr="003E2305">
              <w:rPr>
                <w:rFonts w:cs="Arial"/>
                <w:szCs w:val="14"/>
                <w:lang w:val="en-US"/>
              </w:rPr>
              <w:t>Non-deductible expenses, net of nontaxable income (34%)</w:t>
            </w:r>
          </w:p>
        </w:tc>
        <w:tc>
          <w:tcPr>
            <w:tcW w:w="284" w:type="dxa"/>
            <w:tcBorders>
              <w:bottom w:val="nil"/>
            </w:tcBorders>
            <w:shd w:val="clear" w:color="auto" w:fill="auto"/>
          </w:tcPr>
          <w:p w14:paraId="7A6CCF6E" w14:textId="77777777" w:rsidR="00931938" w:rsidRPr="00E54AB3" w:rsidRDefault="00931938" w:rsidP="001C1C12">
            <w:pPr>
              <w:pStyle w:val="08-Tabelageral"/>
              <w:jc w:val="center"/>
              <w:rPr>
                <w:rFonts w:cs="Arial"/>
                <w:szCs w:val="14"/>
                <w:lang w:val="en-US"/>
              </w:rPr>
            </w:pPr>
          </w:p>
        </w:tc>
        <w:tc>
          <w:tcPr>
            <w:tcW w:w="1423" w:type="dxa"/>
            <w:tcBorders>
              <w:bottom w:val="nil"/>
            </w:tcBorders>
            <w:shd w:val="clear" w:color="auto" w:fill="auto"/>
            <w:vAlign w:val="center"/>
          </w:tcPr>
          <w:p w14:paraId="3B5EB562" w14:textId="77777777" w:rsidR="00931938" w:rsidRPr="0019344C" w:rsidRDefault="00931938" w:rsidP="001C1C12">
            <w:pPr>
              <w:pStyle w:val="08-Tabelageral"/>
              <w:rPr>
                <w:rFonts w:cs="Arial"/>
                <w:szCs w:val="14"/>
              </w:rPr>
            </w:pPr>
            <w:r>
              <w:rPr>
                <w:rFonts w:cs="Arial"/>
                <w:szCs w:val="14"/>
              </w:rPr>
              <w:t>(87)</w:t>
            </w:r>
          </w:p>
        </w:tc>
        <w:tc>
          <w:tcPr>
            <w:tcW w:w="1412" w:type="dxa"/>
            <w:tcBorders>
              <w:bottom w:val="nil"/>
            </w:tcBorders>
            <w:shd w:val="clear" w:color="auto" w:fill="auto"/>
            <w:vAlign w:val="center"/>
          </w:tcPr>
          <w:p w14:paraId="3B614559" w14:textId="77777777" w:rsidR="00931938" w:rsidRPr="0019344C" w:rsidRDefault="00931938" w:rsidP="001C1C12">
            <w:pPr>
              <w:pStyle w:val="08-Tabelageral"/>
              <w:rPr>
                <w:rFonts w:cs="Arial"/>
                <w:szCs w:val="14"/>
              </w:rPr>
            </w:pPr>
            <w:r>
              <w:rPr>
                <w:rFonts w:cs="Arial"/>
                <w:szCs w:val="14"/>
              </w:rPr>
              <w:t>166</w:t>
            </w:r>
          </w:p>
        </w:tc>
        <w:tc>
          <w:tcPr>
            <w:tcW w:w="283" w:type="dxa"/>
            <w:tcBorders>
              <w:bottom w:val="nil"/>
            </w:tcBorders>
            <w:shd w:val="clear" w:color="auto" w:fill="auto"/>
            <w:vAlign w:val="center"/>
          </w:tcPr>
          <w:p w14:paraId="1DAE2B85" w14:textId="77777777" w:rsidR="00931938" w:rsidRPr="0019344C" w:rsidRDefault="00931938" w:rsidP="001C1C12">
            <w:pPr>
              <w:pStyle w:val="08-Tabelageral"/>
              <w:rPr>
                <w:rFonts w:cs="Arial"/>
                <w:szCs w:val="14"/>
              </w:rPr>
            </w:pPr>
          </w:p>
        </w:tc>
        <w:tc>
          <w:tcPr>
            <w:tcW w:w="1417" w:type="dxa"/>
            <w:tcBorders>
              <w:bottom w:val="nil"/>
            </w:tcBorders>
            <w:shd w:val="clear" w:color="auto" w:fill="auto"/>
            <w:vAlign w:val="center"/>
          </w:tcPr>
          <w:p w14:paraId="3DC84C08" w14:textId="77777777" w:rsidR="00931938" w:rsidRPr="0019344C" w:rsidRDefault="00931938" w:rsidP="001C1C12">
            <w:pPr>
              <w:pStyle w:val="08-Tabelageral"/>
              <w:rPr>
                <w:rFonts w:cs="Arial"/>
                <w:szCs w:val="14"/>
              </w:rPr>
            </w:pPr>
            <w:r>
              <w:rPr>
                <w:rFonts w:cs="Arial"/>
                <w:szCs w:val="14"/>
              </w:rPr>
              <w:t>(80,941)</w:t>
            </w:r>
          </w:p>
        </w:tc>
        <w:tc>
          <w:tcPr>
            <w:tcW w:w="1418" w:type="dxa"/>
            <w:tcBorders>
              <w:bottom w:val="nil"/>
            </w:tcBorders>
            <w:shd w:val="clear" w:color="auto" w:fill="auto"/>
            <w:vAlign w:val="center"/>
          </w:tcPr>
          <w:p w14:paraId="4819AA05" w14:textId="77777777" w:rsidR="00931938" w:rsidRPr="0019344C" w:rsidRDefault="00931938" w:rsidP="001C1C12">
            <w:pPr>
              <w:pStyle w:val="08-Tabelageral"/>
              <w:rPr>
                <w:rFonts w:cs="Arial"/>
              </w:rPr>
            </w:pPr>
            <w:r>
              <w:rPr>
                <w:rFonts w:cs="Arial"/>
                <w:szCs w:val="14"/>
              </w:rPr>
              <w:t>(41,524)</w:t>
            </w:r>
          </w:p>
        </w:tc>
      </w:tr>
      <w:tr w:rsidR="00931938" w:rsidRPr="0019344C" w14:paraId="337189CD" w14:textId="77777777" w:rsidTr="00AB4D1D">
        <w:trPr>
          <w:trHeight w:val="238"/>
          <w:jc w:val="center"/>
        </w:trPr>
        <w:tc>
          <w:tcPr>
            <w:tcW w:w="3402" w:type="dxa"/>
            <w:tcBorders>
              <w:top w:val="nil"/>
              <w:bottom w:val="single" w:sz="2" w:space="0" w:color="1F4E79" w:themeColor="accent1" w:themeShade="80"/>
            </w:tcBorders>
            <w:shd w:val="clear" w:color="auto" w:fill="auto"/>
            <w:vAlign w:val="center"/>
          </w:tcPr>
          <w:p w14:paraId="57BD15FB" w14:textId="77777777" w:rsidR="00931938" w:rsidRPr="00E54AB3" w:rsidRDefault="00931938" w:rsidP="001C1C12">
            <w:pPr>
              <w:pStyle w:val="08-Tabelageral"/>
              <w:jc w:val="left"/>
              <w:rPr>
                <w:rFonts w:cs="Arial"/>
                <w:b/>
                <w:szCs w:val="14"/>
                <w:lang w:val="en-US"/>
              </w:rPr>
            </w:pPr>
            <w:r w:rsidRPr="000F7914">
              <w:rPr>
                <w:rFonts w:cs="Arial"/>
                <w:b/>
                <w:lang w:val="en-US"/>
              </w:rPr>
              <w:t>Income tax and social contribution</w:t>
            </w:r>
            <w:r w:rsidRPr="003E2305">
              <w:rPr>
                <w:rFonts w:cs="Arial"/>
                <w:lang w:val="en-US"/>
              </w:rPr>
              <w:t xml:space="preserve"> </w:t>
            </w:r>
            <w:r w:rsidRPr="00E54AB3">
              <w:rPr>
                <w:rFonts w:cs="Arial"/>
                <w:b/>
                <w:lang w:val="en-US"/>
              </w:rPr>
              <w:t>(a+b+c)</w:t>
            </w:r>
          </w:p>
        </w:tc>
        <w:tc>
          <w:tcPr>
            <w:tcW w:w="284" w:type="dxa"/>
            <w:tcBorders>
              <w:top w:val="nil"/>
              <w:bottom w:val="single" w:sz="2" w:space="0" w:color="1F4E79" w:themeColor="accent1" w:themeShade="80"/>
            </w:tcBorders>
            <w:shd w:val="clear" w:color="auto" w:fill="auto"/>
          </w:tcPr>
          <w:p w14:paraId="0C0112C8" w14:textId="77777777" w:rsidR="00931938" w:rsidRPr="00E54AB3" w:rsidRDefault="00931938" w:rsidP="001C1C12">
            <w:pPr>
              <w:pStyle w:val="08-Tabelageral"/>
              <w:rPr>
                <w:rFonts w:cs="Arial"/>
                <w:b/>
                <w:szCs w:val="14"/>
                <w:lang w:val="en-US"/>
              </w:rPr>
            </w:pPr>
          </w:p>
        </w:tc>
        <w:tc>
          <w:tcPr>
            <w:tcW w:w="1423" w:type="dxa"/>
            <w:tcBorders>
              <w:top w:val="nil"/>
              <w:bottom w:val="single" w:sz="2" w:space="0" w:color="1F4E79" w:themeColor="accent1" w:themeShade="80"/>
            </w:tcBorders>
            <w:shd w:val="clear" w:color="auto" w:fill="auto"/>
            <w:vAlign w:val="center"/>
          </w:tcPr>
          <w:p w14:paraId="203A38E8" w14:textId="77777777" w:rsidR="00931938" w:rsidRPr="0019344C" w:rsidRDefault="00931938" w:rsidP="001C1C12">
            <w:pPr>
              <w:pStyle w:val="08-Tabelageral"/>
              <w:rPr>
                <w:rFonts w:cs="Arial"/>
                <w:b/>
                <w:szCs w:val="14"/>
              </w:rPr>
            </w:pPr>
            <w:r>
              <w:rPr>
                <w:rFonts w:cs="Arial"/>
                <w:b/>
                <w:szCs w:val="14"/>
              </w:rPr>
              <w:t>(1,050)</w:t>
            </w:r>
          </w:p>
        </w:tc>
        <w:tc>
          <w:tcPr>
            <w:tcW w:w="1412" w:type="dxa"/>
            <w:tcBorders>
              <w:top w:val="nil"/>
              <w:bottom w:val="single" w:sz="2" w:space="0" w:color="1F4E79" w:themeColor="accent1" w:themeShade="80"/>
            </w:tcBorders>
            <w:shd w:val="clear" w:color="auto" w:fill="auto"/>
            <w:vAlign w:val="center"/>
          </w:tcPr>
          <w:p w14:paraId="74A5E33C" w14:textId="77777777" w:rsidR="00931938" w:rsidRPr="0019344C" w:rsidRDefault="00931938" w:rsidP="001C1C12">
            <w:pPr>
              <w:pStyle w:val="08-Tabelageral"/>
              <w:rPr>
                <w:rFonts w:cs="Arial"/>
                <w:b/>
                <w:szCs w:val="14"/>
              </w:rPr>
            </w:pPr>
            <w:r>
              <w:rPr>
                <w:rFonts w:cs="Arial"/>
                <w:b/>
                <w:szCs w:val="14"/>
              </w:rPr>
              <w:t>(4,705)</w:t>
            </w:r>
          </w:p>
        </w:tc>
        <w:tc>
          <w:tcPr>
            <w:tcW w:w="283" w:type="dxa"/>
            <w:tcBorders>
              <w:top w:val="nil"/>
              <w:bottom w:val="single" w:sz="2" w:space="0" w:color="1F4E79" w:themeColor="accent1" w:themeShade="80"/>
            </w:tcBorders>
            <w:shd w:val="clear" w:color="auto" w:fill="auto"/>
            <w:vAlign w:val="center"/>
          </w:tcPr>
          <w:p w14:paraId="1B0B7587" w14:textId="77777777" w:rsidR="00931938" w:rsidRPr="0019344C" w:rsidRDefault="00931938" w:rsidP="001C1C12">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21A871EB" w14:textId="77777777" w:rsidR="00931938" w:rsidRPr="0019344C" w:rsidRDefault="00931938" w:rsidP="001C1C12">
            <w:pPr>
              <w:pStyle w:val="08-Tabelageral"/>
              <w:rPr>
                <w:rFonts w:cs="Arial"/>
                <w:b/>
                <w:szCs w:val="14"/>
              </w:rPr>
            </w:pPr>
            <w:r>
              <w:rPr>
                <w:rFonts w:cs="Arial"/>
                <w:b/>
                <w:szCs w:val="14"/>
              </w:rPr>
              <w:t>(1,503,660)</w:t>
            </w:r>
          </w:p>
        </w:tc>
        <w:tc>
          <w:tcPr>
            <w:tcW w:w="1418" w:type="dxa"/>
            <w:tcBorders>
              <w:top w:val="nil"/>
              <w:bottom w:val="single" w:sz="2" w:space="0" w:color="1F4E79" w:themeColor="accent1" w:themeShade="80"/>
            </w:tcBorders>
            <w:shd w:val="clear" w:color="auto" w:fill="auto"/>
            <w:vAlign w:val="center"/>
          </w:tcPr>
          <w:p w14:paraId="56270ED9" w14:textId="77777777" w:rsidR="00931938" w:rsidRPr="0019344C" w:rsidRDefault="00931938" w:rsidP="001C1C12">
            <w:pPr>
              <w:pStyle w:val="08-Tabelageral"/>
              <w:rPr>
                <w:rFonts w:cs="Arial"/>
                <w:b/>
              </w:rPr>
            </w:pPr>
            <w:r>
              <w:rPr>
                <w:rFonts w:cs="Arial"/>
                <w:b/>
                <w:szCs w:val="14"/>
              </w:rPr>
              <w:t>(1,146,207)</w:t>
            </w:r>
          </w:p>
        </w:tc>
      </w:tr>
    </w:tbl>
    <w:p w14:paraId="25C057B0" w14:textId="77777777" w:rsidR="00931938" w:rsidRDefault="00931938" w:rsidP="00C83770">
      <w:pPr>
        <w:spacing w:after="0"/>
        <w:jc w:val="right"/>
        <w:rPr>
          <w:rFonts w:cs="Arial"/>
          <w:b/>
          <w:sz w:val="14"/>
          <w:lang w:eastAsia="pt-BR"/>
        </w:rPr>
      </w:pPr>
    </w:p>
    <w:p w14:paraId="5EF0C916" w14:textId="77777777" w:rsidR="00931938" w:rsidRPr="00662308" w:rsidRDefault="00931938" w:rsidP="00581CEE">
      <w:pPr>
        <w:keepNext/>
        <w:keepLines/>
        <w:spacing w:after="40"/>
        <w:rPr>
          <w:rFonts w:cs="Arial"/>
          <w:b/>
          <w:color w:val="1F4E79" w:themeColor="accent1" w:themeShade="80"/>
          <w:szCs w:val="18"/>
        </w:rPr>
      </w:pPr>
      <w:r w:rsidRPr="00662308">
        <w:rPr>
          <w:rFonts w:cs="Arial"/>
          <w:b/>
          <w:color w:val="1F4E79" w:themeColor="accent1" w:themeShade="80"/>
          <w:szCs w:val="18"/>
        </w:rPr>
        <w:t>c) Tax Expenses</w:t>
      </w:r>
    </w:p>
    <w:p w14:paraId="565F3C23" w14:textId="77777777" w:rsidR="00931938" w:rsidRPr="00FF3D4B" w:rsidRDefault="00931938" w:rsidP="005B40B4">
      <w:pPr>
        <w:keepNext/>
        <w:keepLines/>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931938" w:rsidRPr="0019344C" w14:paraId="7A4DAAB9" w14:textId="77777777" w:rsidTr="00AB4D1D">
        <w:trPr>
          <w:trHeight w:val="238"/>
          <w:jc w:val="center"/>
        </w:trPr>
        <w:tc>
          <w:tcPr>
            <w:tcW w:w="3094" w:type="dxa"/>
            <w:tcBorders>
              <w:top w:val="single" w:sz="2" w:space="0" w:color="1F4E79" w:themeColor="accent1" w:themeShade="80"/>
              <w:bottom w:val="nil"/>
            </w:tcBorders>
            <w:shd w:val="clear" w:color="auto" w:fill="auto"/>
            <w:vAlign w:val="center"/>
          </w:tcPr>
          <w:p w14:paraId="1E93012E" w14:textId="77777777" w:rsidR="00931938" w:rsidRPr="0019344C" w:rsidRDefault="00931938" w:rsidP="00EC7CE3">
            <w:pPr>
              <w:keepNext/>
              <w:keepLines/>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08A0FBDC" w14:textId="77777777" w:rsidR="00931938" w:rsidRPr="0019344C" w:rsidRDefault="00931938" w:rsidP="00EC7CE3">
            <w:pPr>
              <w:keepNext/>
              <w:keepLines/>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22EAD89A" w14:textId="77777777" w:rsidR="00931938" w:rsidRPr="0019344C" w:rsidRDefault="00931938" w:rsidP="00EC7CE3">
            <w:pPr>
              <w:keepNext/>
              <w:keepLines/>
              <w:spacing w:after="0"/>
              <w:jc w:val="center"/>
              <w:rPr>
                <w:rFonts w:cs="Arial"/>
                <w:b/>
                <w:sz w:val="14"/>
                <w:szCs w:val="18"/>
              </w:rPr>
            </w:pPr>
            <w:r w:rsidRPr="00EC4649">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26844FD5" w14:textId="77777777" w:rsidR="00931938" w:rsidRPr="0019344C" w:rsidRDefault="00931938" w:rsidP="00EC7CE3">
            <w:pPr>
              <w:keepNext/>
              <w:keepLines/>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3CF76796" w14:textId="77777777" w:rsidR="00931938" w:rsidRPr="0019344C" w:rsidRDefault="00931938" w:rsidP="00EC7CE3">
            <w:pPr>
              <w:keepNext/>
              <w:keepLines/>
              <w:spacing w:after="0"/>
              <w:jc w:val="center"/>
              <w:rPr>
                <w:rFonts w:cs="Arial"/>
                <w:b/>
                <w:szCs w:val="18"/>
              </w:rPr>
            </w:pPr>
            <w:r w:rsidRPr="00EC4649">
              <w:rPr>
                <w:rFonts w:cs="Arial"/>
                <w:b/>
                <w:sz w:val="14"/>
                <w:szCs w:val="18"/>
              </w:rPr>
              <w:t>Consolidated</w:t>
            </w:r>
          </w:p>
        </w:tc>
      </w:tr>
      <w:tr w:rsidR="00931938" w:rsidRPr="0019344C" w14:paraId="1136B6A3" w14:textId="77777777" w:rsidTr="00AB4D1D">
        <w:trPr>
          <w:trHeight w:val="238"/>
          <w:jc w:val="center"/>
        </w:trPr>
        <w:tc>
          <w:tcPr>
            <w:tcW w:w="3094" w:type="dxa"/>
            <w:tcBorders>
              <w:top w:val="nil"/>
              <w:bottom w:val="single" w:sz="2" w:space="0" w:color="1F4E79" w:themeColor="accent1" w:themeShade="80"/>
            </w:tcBorders>
            <w:shd w:val="clear" w:color="auto" w:fill="auto"/>
            <w:vAlign w:val="center"/>
          </w:tcPr>
          <w:p w14:paraId="109B751E" w14:textId="77777777" w:rsidR="00931938" w:rsidRPr="0019344C" w:rsidRDefault="00931938" w:rsidP="006851E7">
            <w:pPr>
              <w:pStyle w:val="08-Tabelageral"/>
              <w:jc w:val="center"/>
              <w:rPr>
                <w:rFonts w:cs="Arial"/>
                <w:b/>
              </w:rPr>
            </w:pPr>
          </w:p>
        </w:tc>
        <w:tc>
          <w:tcPr>
            <w:tcW w:w="604" w:type="dxa"/>
            <w:tcBorders>
              <w:top w:val="nil"/>
              <w:bottom w:val="single" w:sz="2" w:space="0" w:color="1F4E79" w:themeColor="accent1" w:themeShade="80"/>
            </w:tcBorders>
            <w:shd w:val="clear" w:color="auto" w:fill="auto"/>
            <w:vAlign w:val="center"/>
          </w:tcPr>
          <w:p w14:paraId="36E8C7C1" w14:textId="77777777" w:rsidR="00931938" w:rsidRPr="0019344C" w:rsidRDefault="00931938" w:rsidP="006851E7">
            <w:pPr>
              <w:pStyle w:val="08-Tabelageral"/>
              <w:jc w:val="center"/>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1B44185F" w14:textId="77777777" w:rsidR="00931938" w:rsidRPr="0019344C" w:rsidRDefault="00931938" w:rsidP="006851E7">
            <w:pPr>
              <w:pStyle w:val="08-Tabelageral"/>
              <w:rPr>
                <w:rFonts w:cs="Arial"/>
                <w:b/>
              </w:rPr>
            </w:pPr>
            <w:r>
              <w:rPr>
                <w:b/>
              </w:rPr>
              <w:t>2022</w:t>
            </w:r>
          </w:p>
        </w:tc>
        <w:tc>
          <w:tcPr>
            <w:tcW w:w="1412" w:type="dxa"/>
            <w:tcBorders>
              <w:top w:val="single" w:sz="2" w:space="0" w:color="1F4E79" w:themeColor="accent1" w:themeShade="80"/>
              <w:bottom w:val="single" w:sz="2" w:space="0" w:color="1F4E79" w:themeColor="accent1" w:themeShade="80"/>
            </w:tcBorders>
            <w:shd w:val="clear" w:color="auto" w:fill="auto"/>
          </w:tcPr>
          <w:p w14:paraId="1E67C583" w14:textId="77777777" w:rsidR="00931938" w:rsidRPr="0019344C" w:rsidRDefault="00931938" w:rsidP="006851E7">
            <w:pPr>
              <w:pStyle w:val="08-Tabelageral"/>
              <w:rPr>
                <w:rFonts w:cs="Arial"/>
                <w:b/>
              </w:rPr>
            </w:pPr>
            <w:r>
              <w:rPr>
                <w:b/>
              </w:rPr>
              <w:t>2021</w:t>
            </w:r>
          </w:p>
        </w:tc>
        <w:tc>
          <w:tcPr>
            <w:tcW w:w="283" w:type="dxa"/>
            <w:tcBorders>
              <w:top w:val="nil"/>
              <w:bottom w:val="single" w:sz="2" w:space="0" w:color="1F4E79" w:themeColor="accent1" w:themeShade="80"/>
            </w:tcBorders>
            <w:shd w:val="clear" w:color="auto" w:fill="auto"/>
          </w:tcPr>
          <w:p w14:paraId="0E10F3A2" w14:textId="77777777" w:rsidR="00931938" w:rsidRPr="0019344C" w:rsidRDefault="00931938" w:rsidP="006851E7">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3B5F3471" w14:textId="77777777" w:rsidR="00931938" w:rsidRPr="0019344C" w:rsidRDefault="00931938" w:rsidP="006851E7">
            <w:pPr>
              <w:pStyle w:val="08-Tabelageral"/>
              <w:rPr>
                <w:rFonts w:cs="Arial"/>
                <w:b/>
              </w:rPr>
            </w:pPr>
            <w:r>
              <w:rPr>
                <w:b/>
              </w:rPr>
              <w:t>2022</w:t>
            </w:r>
          </w:p>
        </w:tc>
        <w:tc>
          <w:tcPr>
            <w:tcW w:w="1418" w:type="dxa"/>
            <w:tcBorders>
              <w:top w:val="single" w:sz="2" w:space="0" w:color="1F4E79" w:themeColor="accent1" w:themeShade="80"/>
              <w:bottom w:val="single" w:sz="2" w:space="0" w:color="1F4E79" w:themeColor="accent1" w:themeShade="80"/>
            </w:tcBorders>
            <w:shd w:val="clear" w:color="auto" w:fill="auto"/>
          </w:tcPr>
          <w:p w14:paraId="4E6B9B6E" w14:textId="77777777" w:rsidR="00931938" w:rsidRPr="0019344C" w:rsidRDefault="00931938" w:rsidP="006851E7">
            <w:pPr>
              <w:pStyle w:val="08-Tabelageral"/>
              <w:rPr>
                <w:rFonts w:cs="Arial"/>
                <w:b/>
              </w:rPr>
            </w:pPr>
            <w:r>
              <w:rPr>
                <w:b/>
              </w:rPr>
              <w:t>2021</w:t>
            </w:r>
          </w:p>
        </w:tc>
      </w:tr>
      <w:tr w:rsidR="00931938" w:rsidRPr="00960237" w14:paraId="697E4823" w14:textId="77777777" w:rsidTr="00AB4D1D">
        <w:trPr>
          <w:trHeight w:val="238"/>
          <w:jc w:val="center"/>
        </w:trPr>
        <w:tc>
          <w:tcPr>
            <w:tcW w:w="3094" w:type="dxa"/>
            <w:tcBorders>
              <w:top w:val="single" w:sz="2" w:space="0" w:color="1F4E79" w:themeColor="accent1" w:themeShade="80"/>
            </w:tcBorders>
            <w:shd w:val="clear" w:color="auto" w:fill="auto"/>
            <w:vAlign w:val="center"/>
          </w:tcPr>
          <w:p w14:paraId="7B093F5D" w14:textId="77777777" w:rsidR="00931938" w:rsidRPr="00E54AB3" w:rsidRDefault="00931938" w:rsidP="007E2F51">
            <w:pPr>
              <w:pStyle w:val="08-Tabelageral"/>
              <w:jc w:val="left"/>
              <w:rPr>
                <w:rFonts w:cs="Arial"/>
                <w:b/>
                <w:bCs/>
                <w:szCs w:val="14"/>
                <w:lang w:val="en-US"/>
              </w:rPr>
            </w:pPr>
            <w:r w:rsidRPr="00837F1F">
              <w:rPr>
                <w:rFonts w:cs="Arial"/>
                <w:b/>
                <w:szCs w:val="14"/>
                <w:lang w:val="en-US"/>
              </w:rPr>
              <w:t>On financial income and other</w:t>
            </w:r>
          </w:p>
        </w:tc>
        <w:tc>
          <w:tcPr>
            <w:tcW w:w="604" w:type="dxa"/>
            <w:tcBorders>
              <w:top w:val="single" w:sz="2" w:space="0" w:color="1F4E79" w:themeColor="accent1" w:themeShade="80"/>
            </w:tcBorders>
            <w:shd w:val="clear" w:color="auto" w:fill="auto"/>
            <w:vAlign w:val="center"/>
          </w:tcPr>
          <w:p w14:paraId="2CD0BCCF" w14:textId="77777777" w:rsidR="00931938" w:rsidRPr="00E54AB3" w:rsidRDefault="00931938" w:rsidP="007E2F51">
            <w:pPr>
              <w:pStyle w:val="08-Tabelageral"/>
              <w:jc w:val="center"/>
              <w:rPr>
                <w:rFonts w:cs="Arial"/>
                <w:b/>
                <w:szCs w:val="14"/>
                <w:lang w:val="en-US"/>
              </w:rPr>
            </w:pPr>
          </w:p>
        </w:tc>
        <w:tc>
          <w:tcPr>
            <w:tcW w:w="1411" w:type="dxa"/>
            <w:tcBorders>
              <w:top w:val="single" w:sz="2" w:space="0" w:color="1F4E79" w:themeColor="accent1" w:themeShade="80"/>
            </w:tcBorders>
            <w:shd w:val="clear" w:color="auto" w:fill="auto"/>
            <w:vAlign w:val="center"/>
          </w:tcPr>
          <w:p w14:paraId="5EE82BF0" w14:textId="77777777" w:rsidR="00931938" w:rsidRPr="00E54AB3" w:rsidRDefault="00931938" w:rsidP="0019344C">
            <w:pPr>
              <w:pStyle w:val="08-Tabelageral"/>
              <w:rPr>
                <w:rFonts w:cs="Arial"/>
                <w:b/>
                <w:szCs w:val="14"/>
                <w:lang w:val="en-US"/>
              </w:rPr>
            </w:pPr>
          </w:p>
        </w:tc>
        <w:tc>
          <w:tcPr>
            <w:tcW w:w="1412" w:type="dxa"/>
            <w:tcBorders>
              <w:top w:val="single" w:sz="2" w:space="0" w:color="1F4E79" w:themeColor="accent1" w:themeShade="80"/>
            </w:tcBorders>
            <w:shd w:val="clear" w:color="auto" w:fill="auto"/>
            <w:vAlign w:val="center"/>
          </w:tcPr>
          <w:p w14:paraId="0BEA6EC2" w14:textId="77777777" w:rsidR="00931938" w:rsidRPr="00E54AB3" w:rsidRDefault="00931938" w:rsidP="0019344C">
            <w:pPr>
              <w:pStyle w:val="08-Tabelageral"/>
              <w:rPr>
                <w:rFonts w:cs="Arial"/>
                <w:b/>
                <w:lang w:val="en-US"/>
              </w:rPr>
            </w:pPr>
          </w:p>
        </w:tc>
        <w:tc>
          <w:tcPr>
            <w:tcW w:w="283" w:type="dxa"/>
            <w:tcBorders>
              <w:top w:val="single" w:sz="2" w:space="0" w:color="1F4E79" w:themeColor="accent1" w:themeShade="80"/>
            </w:tcBorders>
            <w:shd w:val="clear" w:color="auto" w:fill="auto"/>
            <w:vAlign w:val="center"/>
          </w:tcPr>
          <w:p w14:paraId="3BA7B06A" w14:textId="77777777" w:rsidR="00931938" w:rsidRPr="00E54AB3" w:rsidRDefault="00931938" w:rsidP="0019344C">
            <w:pPr>
              <w:pStyle w:val="08-Tabelageral"/>
              <w:rPr>
                <w:rFonts w:cs="Arial"/>
                <w:b/>
                <w:szCs w:val="14"/>
                <w:lang w:val="en-US"/>
              </w:rPr>
            </w:pPr>
          </w:p>
        </w:tc>
        <w:tc>
          <w:tcPr>
            <w:tcW w:w="1417" w:type="dxa"/>
            <w:tcBorders>
              <w:top w:val="single" w:sz="2" w:space="0" w:color="1F4E79" w:themeColor="accent1" w:themeShade="80"/>
            </w:tcBorders>
            <w:shd w:val="clear" w:color="auto" w:fill="auto"/>
            <w:vAlign w:val="center"/>
          </w:tcPr>
          <w:p w14:paraId="2B27A53B" w14:textId="77777777" w:rsidR="00931938" w:rsidRPr="00E54AB3" w:rsidRDefault="00931938" w:rsidP="0019344C">
            <w:pPr>
              <w:pStyle w:val="08-Tabelageral"/>
              <w:rPr>
                <w:rFonts w:cs="Arial"/>
                <w:b/>
                <w:szCs w:val="14"/>
                <w:lang w:val="en-US"/>
              </w:rPr>
            </w:pPr>
          </w:p>
        </w:tc>
        <w:tc>
          <w:tcPr>
            <w:tcW w:w="1418" w:type="dxa"/>
            <w:tcBorders>
              <w:top w:val="single" w:sz="2" w:space="0" w:color="1F4E79" w:themeColor="accent1" w:themeShade="80"/>
            </w:tcBorders>
            <w:shd w:val="clear" w:color="auto" w:fill="auto"/>
            <w:vAlign w:val="center"/>
          </w:tcPr>
          <w:p w14:paraId="2AFA904B" w14:textId="77777777" w:rsidR="00931938" w:rsidRPr="00E54AB3" w:rsidRDefault="00931938" w:rsidP="0019344C">
            <w:pPr>
              <w:pStyle w:val="08-Tabelageral"/>
              <w:rPr>
                <w:rFonts w:cs="Arial"/>
                <w:b/>
                <w:lang w:val="en-US"/>
              </w:rPr>
            </w:pPr>
          </w:p>
        </w:tc>
      </w:tr>
      <w:tr w:rsidR="00931938" w:rsidRPr="0019344C" w14:paraId="26EC4621" w14:textId="77777777" w:rsidTr="00AB4D1D">
        <w:trPr>
          <w:trHeight w:val="238"/>
          <w:jc w:val="center"/>
        </w:trPr>
        <w:tc>
          <w:tcPr>
            <w:tcW w:w="3094" w:type="dxa"/>
            <w:shd w:val="clear" w:color="auto" w:fill="auto"/>
            <w:vAlign w:val="center"/>
          </w:tcPr>
          <w:p w14:paraId="2CA25E14" w14:textId="77777777" w:rsidR="00931938" w:rsidRPr="0019344C" w:rsidRDefault="00931938" w:rsidP="00FB3A11">
            <w:pPr>
              <w:pStyle w:val="08-Tabelageral"/>
              <w:ind w:left="113"/>
              <w:jc w:val="left"/>
              <w:rPr>
                <w:rFonts w:cs="Arial"/>
                <w:szCs w:val="14"/>
              </w:rPr>
            </w:pPr>
            <w:r w:rsidRPr="0019344C">
              <w:rPr>
                <w:rFonts w:cs="Arial"/>
                <w:szCs w:val="14"/>
              </w:rPr>
              <w:t>Cofins</w:t>
            </w:r>
          </w:p>
        </w:tc>
        <w:tc>
          <w:tcPr>
            <w:tcW w:w="604" w:type="dxa"/>
            <w:shd w:val="clear" w:color="auto" w:fill="auto"/>
            <w:vAlign w:val="center"/>
          </w:tcPr>
          <w:p w14:paraId="6BFFE64D" w14:textId="77777777" w:rsidR="00931938" w:rsidRPr="0019344C" w:rsidRDefault="00931938" w:rsidP="00FB3A11">
            <w:pPr>
              <w:pStyle w:val="08-Tabelageral"/>
              <w:ind w:left="113"/>
              <w:jc w:val="center"/>
              <w:rPr>
                <w:rFonts w:cs="Arial"/>
                <w:szCs w:val="14"/>
              </w:rPr>
            </w:pPr>
          </w:p>
        </w:tc>
        <w:tc>
          <w:tcPr>
            <w:tcW w:w="1411" w:type="dxa"/>
            <w:tcBorders>
              <w:top w:val="nil"/>
            </w:tcBorders>
            <w:shd w:val="clear" w:color="auto" w:fill="auto"/>
            <w:vAlign w:val="center"/>
          </w:tcPr>
          <w:p w14:paraId="53330B49" w14:textId="77777777" w:rsidR="00931938" w:rsidRPr="0019344C" w:rsidRDefault="00931938" w:rsidP="00FB3A11">
            <w:pPr>
              <w:pStyle w:val="08-Tabelageral"/>
              <w:ind w:left="113"/>
              <w:rPr>
                <w:rFonts w:cs="Arial"/>
                <w:szCs w:val="14"/>
              </w:rPr>
            </w:pPr>
            <w:r>
              <w:rPr>
                <w:rFonts w:cs="Arial"/>
                <w:szCs w:val="14"/>
              </w:rPr>
              <w:t>(2,359)</w:t>
            </w:r>
          </w:p>
        </w:tc>
        <w:tc>
          <w:tcPr>
            <w:tcW w:w="1412" w:type="dxa"/>
            <w:tcBorders>
              <w:top w:val="nil"/>
            </w:tcBorders>
            <w:shd w:val="clear" w:color="auto" w:fill="auto"/>
            <w:vAlign w:val="center"/>
          </w:tcPr>
          <w:p w14:paraId="6844DE56" w14:textId="77777777" w:rsidR="00931938" w:rsidRPr="0019344C" w:rsidRDefault="00931938" w:rsidP="00FB3A11">
            <w:pPr>
              <w:pStyle w:val="08-Tabelageral"/>
              <w:ind w:left="113"/>
              <w:rPr>
                <w:rFonts w:cs="Arial"/>
              </w:rPr>
            </w:pPr>
            <w:r>
              <w:rPr>
                <w:rFonts w:cs="Arial"/>
                <w:szCs w:val="14"/>
              </w:rPr>
              <w:t>(1,681)</w:t>
            </w:r>
          </w:p>
        </w:tc>
        <w:tc>
          <w:tcPr>
            <w:tcW w:w="283" w:type="dxa"/>
            <w:tcBorders>
              <w:top w:val="nil"/>
            </w:tcBorders>
            <w:shd w:val="clear" w:color="auto" w:fill="auto"/>
            <w:vAlign w:val="center"/>
          </w:tcPr>
          <w:p w14:paraId="35127BE2" w14:textId="77777777" w:rsidR="00931938" w:rsidRPr="0019344C" w:rsidRDefault="00931938" w:rsidP="00FB3A11">
            <w:pPr>
              <w:pStyle w:val="08-Tabelageral"/>
              <w:ind w:left="113"/>
              <w:rPr>
                <w:rFonts w:cs="Arial"/>
                <w:szCs w:val="14"/>
              </w:rPr>
            </w:pPr>
          </w:p>
        </w:tc>
        <w:tc>
          <w:tcPr>
            <w:tcW w:w="1417" w:type="dxa"/>
            <w:tcBorders>
              <w:top w:val="nil"/>
            </w:tcBorders>
            <w:shd w:val="clear" w:color="auto" w:fill="auto"/>
            <w:vAlign w:val="center"/>
          </w:tcPr>
          <w:p w14:paraId="2127637F" w14:textId="77777777" w:rsidR="00931938" w:rsidRPr="0019344C" w:rsidRDefault="00931938" w:rsidP="00FB3A11">
            <w:pPr>
              <w:pStyle w:val="08-Tabelageral"/>
              <w:ind w:left="113"/>
              <w:rPr>
                <w:rFonts w:cs="Arial"/>
                <w:szCs w:val="14"/>
              </w:rPr>
            </w:pPr>
            <w:r>
              <w:rPr>
                <w:rFonts w:cs="Arial"/>
                <w:szCs w:val="14"/>
              </w:rPr>
              <w:t>(42,084)</w:t>
            </w:r>
          </w:p>
        </w:tc>
        <w:tc>
          <w:tcPr>
            <w:tcW w:w="1418" w:type="dxa"/>
            <w:tcBorders>
              <w:top w:val="nil"/>
            </w:tcBorders>
            <w:shd w:val="clear" w:color="auto" w:fill="auto"/>
            <w:vAlign w:val="center"/>
          </w:tcPr>
          <w:p w14:paraId="7F20C32B" w14:textId="77777777" w:rsidR="00931938" w:rsidRPr="0019344C" w:rsidRDefault="00931938" w:rsidP="00FB3A11">
            <w:pPr>
              <w:pStyle w:val="08-Tabelageral"/>
              <w:ind w:left="113"/>
              <w:rPr>
                <w:rFonts w:cs="Arial"/>
              </w:rPr>
            </w:pPr>
            <w:r>
              <w:rPr>
                <w:rFonts w:cs="Arial"/>
                <w:szCs w:val="14"/>
              </w:rPr>
              <w:t>(18,728)</w:t>
            </w:r>
          </w:p>
        </w:tc>
      </w:tr>
      <w:tr w:rsidR="00931938" w:rsidRPr="0019344C" w14:paraId="0270F554" w14:textId="77777777" w:rsidTr="00AB4D1D">
        <w:trPr>
          <w:trHeight w:val="238"/>
          <w:jc w:val="center"/>
        </w:trPr>
        <w:tc>
          <w:tcPr>
            <w:tcW w:w="3094" w:type="dxa"/>
            <w:shd w:val="clear" w:color="auto" w:fill="auto"/>
            <w:vAlign w:val="center"/>
          </w:tcPr>
          <w:p w14:paraId="514B1D0E" w14:textId="77777777" w:rsidR="00931938" w:rsidRPr="0019344C" w:rsidRDefault="00931938" w:rsidP="00FB3A11">
            <w:pPr>
              <w:pStyle w:val="08-Tabelageral"/>
              <w:ind w:left="113"/>
              <w:jc w:val="left"/>
              <w:rPr>
                <w:rFonts w:cs="Arial"/>
                <w:szCs w:val="14"/>
              </w:rPr>
            </w:pPr>
            <w:r w:rsidRPr="0019344C">
              <w:rPr>
                <w:rFonts w:cs="Arial"/>
                <w:szCs w:val="14"/>
              </w:rPr>
              <w:t>PIS/Pasep</w:t>
            </w:r>
          </w:p>
        </w:tc>
        <w:tc>
          <w:tcPr>
            <w:tcW w:w="604" w:type="dxa"/>
            <w:shd w:val="clear" w:color="auto" w:fill="auto"/>
            <w:vAlign w:val="center"/>
          </w:tcPr>
          <w:p w14:paraId="49A67D59" w14:textId="77777777" w:rsidR="00931938" w:rsidRPr="0019344C" w:rsidRDefault="00931938" w:rsidP="00FB3A11">
            <w:pPr>
              <w:pStyle w:val="08-Tabelageral"/>
              <w:ind w:left="113"/>
              <w:jc w:val="center"/>
              <w:rPr>
                <w:rFonts w:cs="Arial"/>
                <w:szCs w:val="14"/>
              </w:rPr>
            </w:pPr>
          </w:p>
        </w:tc>
        <w:tc>
          <w:tcPr>
            <w:tcW w:w="1411" w:type="dxa"/>
            <w:shd w:val="clear" w:color="auto" w:fill="auto"/>
            <w:vAlign w:val="center"/>
          </w:tcPr>
          <w:p w14:paraId="1323A251" w14:textId="77777777" w:rsidR="00931938" w:rsidRPr="0019344C" w:rsidRDefault="00931938" w:rsidP="00FB3A11">
            <w:pPr>
              <w:pStyle w:val="08-Tabelageral"/>
              <w:ind w:left="113"/>
              <w:rPr>
                <w:rFonts w:cs="Arial"/>
                <w:szCs w:val="14"/>
              </w:rPr>
            </w:pPr>
            <w:r>
              <w:rPr>
                <w:rFonts w:cs="Arial"/>
                <w:szCs w:val="14"/>
              </w:rPr>
              <w:t>(415)</w:t>
            </w:r>
          </w:p>
        </w:tc>
        <w:tc>
          <w:tcPr>
            <w:tcW w:w="1412" w:type="dxa"/>
            <w:shd w:val="clear" w:color="auto" w:fill="auto"/>
            <w:vAlign w:val="center"/>
          </w:tcPr>
          <w:p w14:paraId="5916AEE1" w14:textId="77777777" w:rsidR="00931938" w:rsidRPr="0019344C" w:rsidRDefault="00931938" w:rsidP="00FB3A11">
            <w:pPr>
              <w:pStyle w:val="08-Tabelageral"/>
              <w:rPr>
                <w:rFonts w:cs="Arial"/>
              </w:rPr>
            </w:pPr>
            <w:r>
              <w:rPr>
                <w:rFonts w:cs="Arial"/>
                <w:szCs w:val="14"/>
              </w:rPr>
              <w:t>(306)</w:t>
            </w:r>
          </w:p>
        </w:tc>
        <w:tc>
          <w:tcPr>
            <w:tcW w:w="283" w:type="dxa"/>
            <w:shd w:val="clear" w:color="auto" w:fill="auto"/>
            <w:vAlign w:val="center"/>
          </w:tcPr>
          <w:p w14:paraId="563FC315" w14:textId="77777777" w:rsidR="00931938" w:rsidRPr="0019344C" w:rsidRDefault="00931938" w:rsidP="00FB3A11">
            <w:pPr>
              <w:pStyle w:val="08-Tabelageral"/>
              <w:ind w:left="113"/>
              <w:rPr>
                <w:rFonts w:cs="Arial"/>
                <w:szCs w:val="14"/>
              </w:rPr>
            </w:pPr>
          </w:p>
        </w:tc>
        <w:tc>
          <w:tcPr>
            <w:tcW w:w="1417" w:type="dxa"/>
            <w:shd w:val="clear" w:color="auto" w:fill="auto"/>
            <w:vAlign w:val="center"/>
          </w:tcPr>
          <w:p w14:paraId="672BD232" w14:textId="77777777" w:rsidR="00931938" w:rsidRPr="0019344C" w:rsidRDefault="00931938" w:rsidP="00FB3A11">
            <w:pPr>
              <w:pStyle w:val="08-Tabelageral"/>
              <w:ind w:left="113"/>
              <w:rPr>
                <w:rFonts w:cs="Arial"/>
                <w:szCs w:val="14"/>
              </w:rPr>
            </w:pPr>
            <w:r>
              <w:rPr>
                <w:rFonts w:cs="Arial"/>
                <w:szCs w:val="14"/>
              </w:rPr>
              <w:t>(7,926)</w:t>
            </w:r>
          </w:p>
        </w:tc>
        <w:tc>
          <w:tcPr>
            <w:tcW w:w="1418" w:type="dxa"/>
            <w:shd w:val="clear" w:color="auto" w:fill="auto"/>
            <w:vAlign w:val="center"/>
          </w:tcPr>
          <w:p w14:paraId="172BB2A4" w14:textId="77777777" w:rsidR="00931938" w:rsidRPr="0019344C" w:rsidRDefault="00931938" w:rsidP="00FB3A11">
            <w:pPr>
              <w:pStyle w:val="08-Tabelageral"/>
              <w:rPr>
                <w:rFonts w:cs="Arial"/>
              </w:rPr>
            </w:pPr>
            <w:r>
              <w:rPr>
                <w:rFonts w:cs="Arial"/>
                <w:szCs w:val="14"/>
              </w:rPr>
              <w:t>(3,728)</w:t>
            </w:r>
          </w:p>
        </w:tc>
      </w:tr>
      <w:tr w:rsidR="00931938" w:rsidRPr="0019344C" w14:paraId="01A594FD" w14:textId="77777777" w:rsidTr="00AB4D1D">
        <w:trPr>
          <w:trHeight w:val="238"/>
          <w:jc w:val="center"/>
        </w:trPr>
        <w:tc>
          <w:tcPr>
            <w:tcW w:w="3094" w:type="dxa"/>
            <w:shd w:val="clear" w:color="auto" w:fill="auto"/>
            <w:vAlign w:val="center"/>
          </w:tcPr>
          <w:p w14:paraId="42805063" w14:textId="77777777" w:rsidR="00931938" w:rsidRPr="0019344C" w:rsidRDefault="00931938" w:rsidP="00FB3A11">
            <w:pPr>
              <w:pStyle w:val="08-Tabelageral"/>
              <w:ind w:left="113"/>
              <w:jc w:val="left"/>
              <w:rPr>
                <w:rFonts w:cs="Arial"/>
                <w:szCs w:val="14"/>
              </w:rPr>
            </w:pPr>
            <w:r w:rsidRPr="0019344C">
              <w:rPr>
                <w:rFonts w:cs="Arial"/>
                <w:szCs w:val="14"/>
              </w:rPr>
              <w:t>IOF</w:t>
            </w:r>
          </w:p>
        </w:tc>
        <w:tc>
          <w:tcPr>
            <w:tcW w:w="604" w:type="dxa"/>
            <w:shd w:val="clear" w:color="auto" w:fill="auto"/>
            <w:vAlign w:val="center"/>
          </w:tcPr>
          <w:p w14:paraId="4F98BAA3" w14:textId="77777777" w:rsidR="00931938" w:rsidRPr="0019344C" w:rsidRDefault="00931938" w:rsidP="00FB3A11">
            <w:pPr>
              <w:pStyle w:val="08-Tabelageral"/>
              <w:jc w:val="center"/>
              <w:rPr>
                <w:rFonts w:cs="Arial"/>
                <w:szCs w:val="14"/>
              </w:rPr>
            </w:pPr>
          </w:p>
        </w:tc>
        <w:tc>
          <w:tcPr>
            <w:tcW w:w="1411" w:type="dxa"/>
            <w:shd w:val="clear" w:color="auto" w:fill="auto"/>
            <w:vAlign w:val="center"/>
          </w:tcPr>
          <w:p w14:paraId="313CD36F" w14:textId="77777777" w:rsidR="00931938" w:rsidRPr="0019344C" w:rsidRDefault="00931938" w:rsidP="00FB3A11">
            <w:pPr>
              <w:pStyle w:val="08-Tabelageral"/>
              <w:rPr>
                <w:rFonts w:cs="Arial"/>
                <w:szCs w:val="14"/>
              </w:rPr>
            </w:pPr>
            <w:r>
              <w:rPr>
                <w:rFonts w:cs="Arial"/>
                <w:szCs w:val="14"/>
              </w:rPr>
              <w:t>(45)</w:t>
            </w:r>
          </w:p>
        </w:tc>
        <w:tc>
          <w:tcPr>
            <w:tcW w:w="1412" w:type="dxa"/>
            <w:shd w:val="clear" w:color="auto" w:fill="auto"/>
            <w:vAlign w:val="center"/>
          </w:tcPr>
          <w:p w14:paraId="05882976" w14:textId="77777777" w:rsidR="00931938" w:rsidRPr="0019344C" w:rsidRDefault="00931938" w:rsidP="00FB3A11">
            <w:pPr>
              <w:pStyle w:val="08-Tabelageral"/>
              <w:rPr>
                <w:rFonts w:cs="Arial"/>
              </w:rPr>
            </w:pPr>
            <w:r>
              <w:rPr>
                <w:rFonts w:cs="Arial"/>
                <w:szCs w:val="14"/>
              </w:rPr>
              <w:t>(24)</w:t>
            </w:r>
          </w:p>
        </w:tc>
        <w:tc>
          <w:tcPr>
            <w:tcW w:w="283" w:type="dxa"/>
            <w:shd w:val="clear" w:color="auto" w:fill="auto"/>
            <w:vAlign w:val="center"/>
          </w:tcPr>
          <w:p w14:paraId="53AB4911" w14:textId="77777777" w:rsidR="00931938" w:rsidRPr="0019344C" w:rsidRDefault="00931938" w:rsidP="00FB3A11">
            <w:pPr>
              <w:pStyle w:val="08-Tabelageral"/>
              <w:rPr>
                <w:rFonts w:cs="Arial"/>
                <w:szCs w:val="14"/>
              </w:rPr>
            </w:pPr>
          </w:p>
        </w:tc>
        <w:tc>
          <w:tcPr>
            <w:tcW w:w="1417" w:type="dxa"/>
            <w:shd w:val="clear" w:color="auto" w:fill="auto"/>
            <w:vAlign w:val="center"/>
          </w:tcPr>
          <w:p w14:paraId="6D1EE9AA" w14:textId="77777777" w:rsidR="00931938" w:rsidRPr="0019344C" w:rsidRDefault="00931938" w:rsidP="00FB3A11">
            <w:pPr>
              <w:pStyle w:val="08-Tabelageral"/>
              <w:rPr>
                <w:rFonts w:cs="Arial"/>
                <w:szCs w:val="14"/>
              </w:rPr>
            </w:pPr>
            <w:r>
              <w:rPr>
                <w:rFonts w:cs="Arial"/>
                <w:szCs w:val="14"/>
              </w:rPr>
              <w:t>(45)</w:t>
            </w:r>
          </w:p>
        </w:tc>
        <w:tc>
          <w:tcPr>
            <w:tcW w:w="1418" w:type="dxa"/>
            <w:shd w:val="clear" w:color="auto" w:fill="auto"/>
            <w:vAlign w:val="center"/>
          </w:tcPr>
          <w:p w14:paraId="55F70C74" w14:textId="77777777" w:rsidR="00931938" w:rsidRPr="0019344C" w:rsidRDefault="00931938" w:rsidP="00FB3A11">
            <w:pPr>
              <w:pStyle w:val="08-Tabelageral"/>
              <w:rPr>
                <w:rFonts w:cs="Arial"/>
              </w:rPr>
            </w:pPr>
            <w:r>
              <w:rPr>
                <w:rFonts w:cs="Arial"/>
                <w:szCs w:val="14"/>
              </w:rPr>
              <w:t>(57)</w:t>
            </w:r>
          </w:p>
        </w:tc>
      </w:tr>
      <w:tr w:rsidR="00931938" w:rsidRPr="0019344C" w14:paraId="67E90D6B" w14:textId="77777777" w:rsidTr="00AB4D1D">
        <w:trPr>
          <w:trHeight w:val="238"/>
          <w:jc w:val="center"/>
        </w:trPr>
        <w:tc>
          <w:tcPr>
            <w:tcW w:w="3094" w:type="dxa"/>
            <w:tcBorders>
              <w:bottom w:val="nil"/>
            </w:tcBorders>
            <w:shd w:val="clear" w:color="auto" w:fill="auto"/>
            <w:vAlign w:val="center"/>
          </w:tcPr>
          <w:p w14:paraId="48514F07" w14:textId="77777777" w:rsidR="00931938" w:rsidRPr="0019344C" w:rsidRDefault="00931938" w:rsidP="00FB3A11">
            <w:pPr>
              <w:pStyle w:val="08-Tabelageral"/>
              <w:ind w:left="113"/>
              <w:jc w:val="left"/>
              <w:rPr>
                <w:rFonts w:cs="Arial"/>
                <w:szCs w:val="14"/>
              </w:rPr>
            </w:pPr>
            <w:r>
              <w:rPr>
                <w:rFonts w:cs="Arial"/>
                <w:szCs w:val="14"/>
              </w:rPr>
              <w:t>Other</w:t>
            </w:r>
          </w:p>
        </w:tc>
        <w:tc>
          <w:tcPr>
            <w:tcW w:w="604" w:type="dxa"/>
            <w:tcBorders>
              <w:bottom w:val="nil"/>
            </w:tcBorders>
            <w:shd w:val="clear" w:color="auto" w:fill="auto"/>
            <w:vAlign w:val="center"/>
          </w:tcPr>
          <w:p w14:paraId="7251A452" w14:textId="77777777" w:rsidR="00931938" w:rsidRPr="0019344C" w:rsidRDefault="00931938" w:rsidP="00FB3A11">
            <w:pPr>
              <w:pStyle w:val="08-Tabelageral"/>
              <w:jc w:val="center"/>
              <w:rPr>
                <w:rFonts w:cs="Arial"/>
                <w:szCs w:val="14"/>
              </w:rPr>
            </w:pPr>
          </w:p>
        </w:tc>
        <w:tc>
          <w:tcPr>
            <w:tcW w:w="1411" w:type="dxa"/>
            <w:tcBorders>
              <w:bottom w:val="nil"/>
            </w:tcBorders>
            <w:shd w:val="clear" w:color="auto" w:fill="auto"/>
            <w:vAlign w:val="center"/>
          </w:tcPr>
          <w:p w14:paraId="4119CEDB" w14:textId="77777777" w:rsidR="00931938" w:rsidRPr="0019344C" w:rsidRDefault="00931938" w:rsidP="00FB3A11">
            <w:pPr>
              <w:pStyle w:val="08-Tabelageral"/>
              <w:rPr>
                <w:rFonts w:cs="Arial"/>
                <w:szCs w:val="14"/>
              </w:rPr>
            </w:pPr>
            <w:r>
              <w:rPr>
                <w:rFonts w:cs="Arial"/>
                <w:szCs w:val="14"/>
              </w:rPr>
              <w:t>(95)</w:t>
            </w:r>
          </w:p>
        </w:tc>
        <w:tc>
          <w:tcPr>
            <w:tcW w:w="1412" w:type="dxa"/>
            <w:tcBorders>
              <w:bottom w:val="nil"/>
            </w:tcBorders>
            <w:shd w:val="clear" w:color="auto" w:fill="auto"/>
            <w:vAlign w:val="center"/>
          </w:tcPr>
          <w:p w14:paraId="16218526" w14:textId="77777777" w:rsidR="00931938" w:rsidRPr="0019344C" w:rsidRDefault="00931938" w:rsidP="00FB3A11">
            <w:pPr>
              <w:pStyle w:val="08-Tabelageral"/>
              <w:rPr>
                <w:rFonts w:cs="Arial"/>
              </w:rPr>
            </w:pPr>
            <w:r>
              <w:rPr>
                <w:rFonts w:cs="Arial"/>
                <w:szCs w:val="14"/>
              </w:rPr>
              <w:t>(72)</w:t>
            </w:r>
          </w:p>
        </w:tc>
        <w:tc>
          <w:tcPr>
            <w:tcW w:w="283" w:type="dxa"/>
            <w:tcBorders>
              <w:bottom w:val="nil"/>
            </w:tcBorders>
            <w:shd w:val="clear" w:color="auto" w:fill="auto"/>
            <w:vAlign w:val="center"/>
          </w:tcPr>
          <w:p w14:paraId="1EFDB143" w14:textId="77777777" w:rsidR="00931938" w:rsidRPr="0019344C" w:rsidRDefault="00931938" w:rsidP="00FB3A11">
            <w:pPr>
              <w:pStyle w:val="08-Tabelageral"/>
              <w:rPr>
                <w:rFonts w:cs="Arial"/>
                <w:szCs w:val="14"/>
              </w:rPr>
            </w:pPr>
          </w:p>
        </w:tc>
        <w:tc>
          <w:tcPr>
            <w:tcW w:w="1417" w:type="dxa"/>
            <w:tcBorders>
              <w:bottom w:val="nil"/>
            </w:tcBorders>
            <w:shd w:val="clear" w:color="auto" w:fill="auto"/>
            <w:vAlign w:val="center"/>
          </w:tcPr>
          <w:p w14:paraId="0586227F" w14:textId="77777777" w:rsidR="00931938" w:rsidRPr="0019344C" w:rsidRDefault="00931938" w:rsidP="00FB3A11">
            <w:pPr>
              <w:pStyle w:val="08-Tabelageral"/>
              <w:rPr>
                <w:rFonts w:cs="Arial"/>
                <w:szCs w:val="14"/>
              </w:rPr>
            </w:pPr>
            <w:r>
              <w:rPr>
                <w:rFonts w:cs="Arial"/>
                <w:szCs w:val="14"/>
              </w:rPr>
              <w:t>(285)</w:t>
            </w:r>
          </w:p>
        </w:tc>
        <w:tc>
          <w:tcPr>
            <w:tcW w:w="1418" w:type="dxa"/>
            <w:tcBorders>
              <w:bottom w:val="nil"/>
            </w:tcBorders>
            <w:shd w:val="clear" w:color="auto" w:fill="auto"/>
            <w:vAlign w:val="center"/>
          </w:tcPr>
          <w:p w14:paraId="05E61CBC" w14:textId="77777777" w:rsidR="00931938" w:rsidRPr="0019344C" w:rsidRDefault="00931938" w:rsidP="00FB3A11">
            <w:pPr>
              <w:pStyle w:val="08-Tabelageral"/>
              <w:rPr>
                <w:rFonts w:cs="Arial"/>
              </w:rPr>
            </w:pPr>
            <w:r>
              <w:rPr>
                <w:rFonts w:cs="Arial"/>
                <w:szCs w:val="14"/>
              </w:rPr>
              <w:t>(138)</w:t>
            </w:r>
          </w:p>
        </w:tc>
      </w:tr>
      <w:tr w:rsidR="00931938" w:rsidRPr="0019344C" w14:paraId="5BC23E68" w14:textId="77777777" w:rsidTr="00AB4D1D">
        <w:trPr>
          <w:trHeight w:val="238"/>
          <w:jc w:val="center"/>
        </w:trPr>
        <w:tc>
          <w:tcPr>
            <w:tcW w:w="3094" w:type="dxa"/>
            <w:tcBorders>
              <w:top w:val="nil"/>
              <w:bottom w:val="single" w:sz="2" w:space="0" w:color="1F4E79" w:themeColor="accent1" w:themeShade="80"/>
            </w:tcBorders>
            <w:shd w:val="clear" w:color="auto" w:fill="auto"/>
            <w:vAlign w:val="center"/>
          </w:tcPr>
          <w:p w14:paraId="72B4B9C1" w14:textId="77777777" w:rsidR="00931938" w:rsidRPr="0019344C" w:rsidRDefault="00931938" w:rsidP="00FB3A11">
            <w:pPr>
              <w:pStyle w:val="08-Tabelageral"/>
              <w:jc w:val="left"/>
              <w:rPr>
                <w:rFonts w:cs="Arial"/>
                <w:b/>
                <w:szCs w:val="14"/>
              </w:rPr>
            </w:pPr>
            <w:r w:rsidRPr="0019344C">
              <w:rPr>
                <w:rFonts w:cs="Arial"/>
                <w:b/>
              </w:rPr>
              <w:t>Total</w:t>
            </w:r>
          </w:p>
        </w:tc>
        <w:tc>
          <w:tcPr>
            <w:tcW w:w="604" w:type="dxa"/>
            <w:tcBorders>
              <w:top w:val="nil"/>
              <w:bottom w:val="single" w:sz="2" w:space="0" w:color="1F4E79" w:themeColor="accent1" w:themeShade="80"/>
            </w:tcBorders>
            <w:shd w:val="clear" w:color="auto" w:fill="auto"/>
            <w:vAlign w:val="center"/>
          </w:tcPr>
          <w:p w14:paraId="1A4712EF" w14:textId="77777777" w:rsidR="00931938" w:rsidRPr="0019344C" w:rsidRDefault="00931938" w:rsidP="00FB3A11">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33AE0B01" w14:textId="77777777" w:rsidR="00931938" w:rsidRPr="0019344C" w:rsidRDefault="00931938" w:rsidP="00FB3A11">
            <w:pPr>
              <w:pStyle w:val="08-Tabelageral"/>
              <w:rPr>
                <w:rFonts w:cs="Arial"/>
                <w:b/>
                <w:szCs w:val="14"/>
              </w:rPr>
            </w:pPr>
            <w:r>
              <w:rPr>
                <w:rFonts w:cs="Arial"/>
                <w:b/>
                <w:szCs w:val="14"/>
              </w:rPr>
              <w:t>(2,914)</w:t>
            </w:r>
          </w:p>
        </w:tc>
        <w:tc>
          <w:tcPr>
            <w:tcW w:w="1412" w:type="dxa"/>
            <w:tcBorders>
              <w:top w:val="nil"/>
              <w:bottom w:val="single" w:sz="2" w:space="0" w:color="1F4E79" w:themeColor="accent1" w:themeShade="80"/>
            </w:tcBorders>
            <w:shd w:val="clear" w:color="auto" w:fill="auto"/>
            <w:vAlign w:val="center"/>
          </w:tcPr>
          <w:p w14:paraId="36E8F756" w14:textId="77777777" w:rsidR="00931938" w:rsidRPr="0019344C" w:rsidRDefault="00931938" w:rsidP="00FB3A11">
            <w:pPr>
              <w:pStyle w:val="08-Tabelageral"/>
              <w:rPr>
                <w:rFonts w:cs="Arial"/>
                <w:b/>
              </w:rPr>
            </w:pPr>
            <w:r>
              <w:rPr>
                <w:rFonts w:cs="Arial"/>
                <w:b/>
                <w:szCs w:val="14"/>
              </w:rPr>
              <w:t>(2,083)</w:t>
            </w:r>
          </w:p>
        </w:tc>
        <w:tc>
          <w:tcPr>
            <w:tcW w:w="283" w:type="dxa"/>
            <w:tcBorders>
              <w:top w:val="nil"/>
              <w:bottom w:val="single" w:sz="2" w:space="0" w:color="1F4E79" w:themeColor="accent1" w:themeShade="80"/>
            </w:tcBorders>
            <w:shd w:val="clear" w:color="auto" w:fill="auto"/>
            <w:vAlign w:val="center"/>
          </w:tcPr>
          <w:p w14:paraId="22656D25" w14:textId="77777777" w:rsidR="00931938" w:rsidRPr="0019344C" w:rsidRDefault="00931938" w:rsidP="00FB3A11">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2818E22F" w14:textId="77777777" w:rsidR="00931938" w:rsidRPr="0019344C" w:rsidRDefault="00931938" w:rsidP="00FB3A11">
            <w:pPr>
              <w:pStyle w:val="08-Tabelageral"/>
              <w:rPr>
                <w:rFonts w:cs="Arial"/>
                <w:b/>
                <w:szCs w:val="14"/>
              </w:rPr>
            </w:pPr>
            <w:r>
              <w:rPr>
                <w:rFonts w:cs="Arial"/>
                <w:b/>
                <w:szCs w:val="14"/>
              </w:rPr>
              <w:t>(50,340)</w:t>
            </w:r>
          </w:p>
        </w:tc>
        <w:tc>
          <w:tcPr>
            <w:tcW w:w="1418" w:type="dxa"/>
            <w:tcBorders>
              <w:top w:val="nil"/>
              <w:bottom w:val="single" w:sz="2" w:space="0" w:color="1F4E79" w:themeColor="accent1" w:themeShade="80"/>
            </w:tcBorders>
            <w:shd w:val="clear" w:color="auto" w:fill="auto"/>
            <w:vAlign w:val="center"/>
          </w:tcPr>
          <w:p w14:paraId="5DA9F253" w14:textId="77777777" w:rsidR="00931938" w:rsidRPr="0019344C" w:rsidRDefault="00931938" w:rsidP="00FB3A11">
            <w:pPr>
              <w:pStyle w:val="08-Tabelageral"/>
              <w:rPr>
                <w:rFonts w:cs="Arial"/>
                <w:b/>
              </w:rPr>
            </w:pPr>
            <w:r>
              <w:rPr>
                <w:rFonts w:cs="Arial"/>
                <w:b/>
                <w:szCs w:val="14"/>
              </w:rPr>
              <w:t>(22,651)</w:t>
            </w:r>
          </w:p>
        </w:tc>
      </w:tr>
    </w:tbl>
    <w:p w14:paraId="45E0F6F8" w14:textId="77777777" w:rsidR="00931938" w:rsidRDefault="00931938">
      <w:pPr>
        <w:rPr>
          <w:rFonts w:cs="Arial"/>
          <w:b/>
          <w:color w:val="1F4E79" w:themeColor="accent1" w:themeShade="80"/>
          <w:szCs w:val="18"/>
        </w:rPr>
      </w:pPr>
    </w:p>
    <w:p w14:paraId="626F641B" w14:textId="77777777" w:rsidR="00931938" w:rsidRPr="00BF657D" w:rsidRDefault="00931938" w:rsidP="00581CEE">
      <w:pPr>
        <w:spacing w:after="40"/>
        <w:rPr>
          <w:rFonts w:cs="Arial"/>
          <w:b/>
          <w:color w:val="1F4E79" w:themeColor="accent1" w:themeShade="80"/>
          <w:szCs w:val="18"/>
          <w:lang w:val="en-US"/>
        </w:rPr>
      </w:pPr>
      <w:r w:rsidRPr="00BF657D">
        <w:rPr>
          <w:rFonts w:cs="Arial"/>
          <w:b/>
          <w:color w:val="1F4E79" w:themeColor="accent1" w:themeShade="80"/>
          <w:szCs w:val="18"/>
          <w:lang w:val="en-US"/>
        </w:rPr>
        <w:t>d) Current tax assets</w:t>
      </w:r>
    </w:p>
    <w:p w14:paraId="66603BBE" w14:textId="77777777" w:rsidR="00931938" w:rsidRPr="00BF657D" w:rsidRDefault="00931938" w:rsidP="005B40B4">
      <w:pPr>
        <w:spacing w:after="0" w:line="240" w:lineRule="auto"/>
        <w:jc w:val="right"/>
        <w:rPr>
          <w:rFonts w:cs="Arial"/>
          <w:b/>
          <w:sz w:val="14"/>
          <w:lang w:val="en-US" w:eastAsia="pt-BR"/>
        </w:rPr>
      </w:pPr>
      <w:r w:rsidRPr="00BF657D">
        <w:rPr>
          <w:rFonts w:cs="Arial"/>
          <w:b/>
          <w:sz w:val="14"/>
          <w:lang w:val="en-US" w:eastAsia="pt-BR"/>
        </w:rPr>
        <w:t xml:space="preserve">R$ thousand </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261"/>
        <w:gridCol w:w="437"/>
        <w:gridCol w:w="1411"/>
        <w:gridCol w:w="1412"/>
        <w:gridCol w:w="283"/>
        <w:gridCol w:w="1417"/>
        <w:gridCol w:w="1418"/>
      </w:tblGrid>
      <w:tr w:rsidR="00931938" w:rsidRPr="00BC7DA5" w14:paraId="0B928DC9" w14:textId="77777777" w:rsidTr="00AB4D1D">
        <w:trPr>
          <w:trHeight w:val="238"/>
          <w:jc w:val="center"/>
        </w:trPr>
        <w:tc>
          <w:tcPr>
            <w:tcW w:w="3261" w:type="dxa"/>
            <w:tcBorders>
              <w:top w:val="single" w:sz="2" w:space="0" w:color="1F4E79" w:themeColor="accent1" w:themeShade="80"/>
              <w:bottom w:val="nil"/>
            </w:tcBorders>
            <w:shd w:val="clear" w:color="auto" w:fill="auto"/>
          </w:tcPr>
          <w:p w14:paraId="14E0E35C" w14:textId="77777777" w:rsidR="00931938" w:rsidRPr="00BF657D" w:rsidRDefault="00931938" w:rsidP="00EC7CE3">
            <w:pPr>
              <w:spacing w:after="0"/>
              <w:jc w:val="center"/>
              <w:rPr>
                <w:rFonts w:cs="Arial"/>
                <w:b/>
                <w:szCs w:val="18"/>
                <w:lang w:val="en-US"/>
              </w:rPr>
            </w:pPr>
          </w:p>
        </w:tc>
        <w:tc>
          <w:tcPr>
            <w:tcW w:w="437" w:type="dxa"/>
            <w:tcBorders>
              <w:top w:val="single" w:sz="2" w:space="0" w:color="1F4E79" w:themeColor="accent1" w:themeShade="80"/>
              <w:bottom w:val="nil"/>
            </w:tcBorders>
            <w:shd w:val="clear" w:color="auto" w:fill="auto"/>
          </w:tcPr>
          <w:p w14:paraId="127EF327" w14:textId="77777777" w:rsidR="00931938" w:rsidRPr="00BF657D" w:rsidRDefault="00931938" w:rsidP="00EC7CE3">
            <w:pPr>
              <w:spacing w:after="0"/>
              <w:jc w:val="center"/>
              <w:rPr>
                <w:rFonts w:cs="Arial"/>
                <w:b/>
                <w:szCs w:val="18"/>
                <w:lang w:val="en-US"/>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2B42D185" w14:textId="77777777" w:rsidR="00931938" w:rsidRPr="00BC7DA5" w:rsidRDefault="00931938" w:rsidP="00EC7CE3">
            <w:pPr>
              <w:spacing w:after="0"/>
              <w:jc w:val="center"/>
              <w:rPr>
                <w:rFonts w:cs="Arial"/>
                <w:b/>
                <w:sz w:val="14"/>
                <w:szCs w:val="18"/>
              </w:rPr>
            </w:pPr>
            <w:r w:rsidRPr="00EC4649">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3D6CB78E" w14:textId="77777777" w:rsidR="00931938" w:rsidRPr="00BC7DA5" w:rsidRDefault="00931938" w:rsidP="00EC7CE3">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0ECA8D11" w14:textId="77777777" w:rsidR="00931938" w:rsidRPr="00BC7DA5" w:rsidRDefault="00931938" w:rsidP="00EC7CE3">
            <w:pPr>
              <w:spacing w:after="0"/>
              <w:jc w:val="center"/>
              <w:rPr>
                <w:rFonts w:cs="Arial"/>
                <w:b/>
                <w:szCs w:val="18"/>
              </w:rPr>
            </w:pPr>
            <w:r w:rsidRPr="00EC4649">
              <w:rPr>
                <w:rFonts w:cs="Arial"/>
                <w:b/>
                <w:sz w:val="14"/>
                <w:szCs w:val="18"/>
              </w:rPr>
              <w:t>Consolidated</w:t>
            </w:r>
          </w:p>
        </w:tc>
      </w:tr>
      <w:tr w:rsidR="00931938" w:rsidRPr="00BC7DA5" w14:paraId="4C59B070" w14:textId="77777777" w:rsidTr="00AB4D1D">
        <w:trPr>
          <w:trHeight w:val="238"/>
          <w:jc w:val="center"/>
        </w:trPr>
        <w:tc>
          <w:tcPr>
            <w:tcW w:w="3261" w:type="dxa"/>
            <w:tcBorders>
              <w:top w:val="nil"/>
              <w:bottom w:val="single" w:sz="2" w:space="0" w:color="1F4E79" w:themeColor="accent1" w:themeShade="80"/>
            </w:tcBorders>
            <w:shd w:val="clear" w:color="auto" w:fill="auto"/>
          </w:tcPr>
          <w:p w14:paraId="10560BE0" w14:textId="77777777" w:rsidR="00931938" w:rsidRPr="00BC7DA5" w:rsidRDefault="00931938" w:rsidP="00976A92">
            <w:pPr>
              <w:pStyle w:val="08-Tabelageral"/>
              <w:rPr>
                <w:rFonts w:cs="Arial"/>
                <w:b/>
              </w:rPr>
            </w:pPr>
          </w:p>
        </w:tc>
        <w:tc>
          <w:tcPr>
            <w:tcW w:w="437" w:type="dxa"/>
            <w:tcBorders>
              <w:top w:val="nil"/>
              <w:bottom w:val="single" w:sz="2" w:space="0" w:color="1F4E79" w:themeColor="accent1" w:themeShade="80"/>
            </w:tcBorders>
            <w:shd w:val="clear" w:color="auto" w:fill="auto"/>
          </w:tcPr>
          <w:p w14:paraId="50123829" w14:textId="77777777" w:rsidR="00931938" w:rsidRPr="00BC7DA5" w:rsidRDefault="00931938" w:rsidP="00976A92">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6601680A" w14:textId="77777777" w:rsidR="00931938" w:rsidRPr="00976A92" w:rsidRDefault="00931938" w:rsidP="0094482F">
            <w:pPr>
              <w:pStyle w:val="08-Tabelageral"/>
              <w:rPr>
                <w:rFonts w:cs="Arial"/>
                <w:b/>
              </w:rPr>
            </w:pPr>
            <w:r>
              <w:rPr>
                <w:b/>
              </w:rPr>
              <w:t>Dec</w:t>
            </w:r>
            <w:r w:rsidRPr="00976A92">
              <w:rPr>
                <w:b/>
              </w:rPr>
              <w:t xml:space="preserve"> 3</w:t>
            </w:r>
            <w:r>
              <w:rPr>
                <w:b/>
              </w:rPr>
              <w:t>1</w:t>
            </w:r>
            <w:r w:rsidRPr="00976A92">
              <w:rPr>
                <w:b/>
              </w:rPr>
              <w:t>, 202</w:t>
            </w:r>
            <w:r>
              <w:rPr>
                <w:b/>
              </w:rPr>
              <w:t>2</w:t>
            </w:r>
          </w:p>
        </w:tc>
        <w:tc>
          <w:tcPr>
            <w:tcW w:w="1412" w:type="dxa"/>
            <w:tcBorders>
              <w:top w:val="single" w:sz="2" w:space="0" w:color="1F4E79" w:themeColor="accent1" w:themeShade="80"/>
              <w:bottom w:val="single" w:sz="2" w:space="0" w:color="1F4E79" w:themeColor="accent1" w:themeShade="80"/>
            </w:tcBorders>
            <w:shd w:val="clear" w:color="auto" w:fill="auto"/>
          </w:tcPr>
          <w:p w14:paraId="5F013E18" w14:textId="77777777" w:rsidR="00931938" w:rsidRPr="00976A92" w:rsidRDefault="00931938" w:rsidP="000E0436">
            <w:pPr>
              <w:pStyle w:val="08-Tabelageral"/>
              <w:rPr>
                <w:rFonts w:cs="Arial"/>
                <w:b/>
              </w:rPr>
            </w:pPr>
            <w:r w:rsidRPr="00976A92">
              <w:rPr>
                <w:b/>
              </w:rPr>
              <w:t>Dec 31, 20</w:t>
            </w:r>
            <w:r>
              <w:rPr>
                <w:b/>
              </w:rPr>
              <w:t>21</w:t>
            </w:r>
          </w:p>
        </w:tc>
        <w:tc>
          <w:tcPr>
            <w:tcW w:w="283" w:type="dxa"/>
            <w:tcBorders>
              <w:top w:val="nil"/>
              <w:bottom w:val="single" w:sz="2" w:space="0" w:color="1F4E79" w:themeColor="accent1" w:themeShade="80"/>
            </w:tcBorders>
            <w:shd w:val="clear" w:color="auto" w:fill="auto"/>
          </w:tcPr>
          <w:p w14:paraId="4DB7FF3A" w14:textId="77777777" w:rsidR="00931938" w:rsidRPr="00976A92" w:rsidRDefault="00931938" w:rsidP="00976A92">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26C72C1D" w14:textId="77777777" w:rsidR="00931938" w:rsidRPr="00976A92" w:rsidRDefault="00931938" w:rsidP="00680393">
            <w:pPr>
              <w:pStyle w:val="08-Tabelageral"/>
              <w:rPr>
                <w:rFonts w:cs="Arial"/>
                <w:b/>
                <w:vertAlign w:val="superscript"/>
              </w:rPr>
            </w:pPr>
            <w:r>
              <w:rPr>
                <w:b/>
              </w:rPr>
              <w:t>Dec</w:t>
            </w:r>
            <w:r w:rsidRPr="00976A92">
              <w:rPr>
                <w:b/>
              </w:rPr>
              <w:t xml:space="preserve"> 3</w:t>
            </w:r>
            <w:r>
              <w:rPr>
                <w:b/>
              </w:rPr>
              <w:t>1</w:t>
            </w:r>
            <w:r w:rsidRPr="00976A92">
              <w:rPr>
                <w:b/>
              </w:rPr>
              <w:t>, 202</w:t>
            </w:r>
            <w:r>
              <w:rPr>
                <w:b/>
              </w:rPr>
              <w:t>2</w:t>
            </w:r>
          </w:p>
        </w:tc>
        <w:tc>
          <w:tcPr>
            <w:tcW w:w="1418" w:type="dxa"/>
            <w:tcBorders>
              <w:top w:val="single" w:sz="2" w:space="0" w:color="1F4E79" w:themeColor="accent1" w:themeShade="80"/>
              <w:bottom w:val="single" w:sz="2" w:space="0" w:color="1F4E79" w:themeColor="accent1" w:themeShade="80"/>
            </w:tcBorders>
            <w:shd w:val="clear" w:color="auto" w:fill="auto"/>
          </w:tcPr>
          <w:p w14:paraId="41F4186C" w14:textId="77777777" w:rsidR="00931938" w:rsidRPr="00976A92" w:rsidRDefault="00931938" w:rsidP="000E0436">
            <w:pPr>
              <w:pStyle w:val="08-Tabelageral"/>
              <w:rPr>
                <w:rFonts w:cs="Arial"/>
                <w:b/>
                <w:vertAlign w:val="superscript"/>
              </w:rPr>
            </w:pPr>
            <w:r w:rsidRPr="00976A92">
              <w:rPr>
                <w:b/>
              </w:rPr>
              <w:t>Dec 31, 20</w:t>
            </w:r>
            <w:r>
              <w:rPr>
                <w:b/>
              </w:rPr>
              <w:t>21</w:t>
            </w:r>
          </w:p>
        </w:tc>
      </w:tr>
      <w:tr w:rsidR="00931938" w:rsidRPr="00BC7DA5" w14:paraId="7970F241" w14:textId="77777777" w:rsidTr="00AB4D1D">
        <w:trPr>
          <w:trHeight w:val="238"/>
          <w:jc w:val="center"/>
        </w:trPr>
        <w:tc>
          <w:tcPr>
            <w:tcW w:w="3261" w:type="dxa"/>
            <w:tcBorders>
              <w:top w:val="single" w:sz="2" w:space="0" w:color="1F4E79" w:themeColor="accent1" w:themeShade="80"/>
              <w:bottom w:val="nil"/>
            </w:tcBorders>
            <w:shd w:val="clear" w:color="auto" w:fill="auto"/>
          </w:tcPr>
          <w:p w14:paraId="27D2A449" w14:textId="77777777" w:rsidR="00931938" w:rsidRPr="00BC7DA5" w:rsidRDefault="00931938" w:rsidP="00BF657D">
            <w:pPr>
              <w:pStyle w:val="08-Tabelageral"/>
              <w:jc w:val="left"/>
              <w:rPr>
                <w:rFonts w:cs="Arial"/>
                <w:b/>
              </w:rPr>
            </w:pPr>
            <w:r w:rsidRPr="00D1582F">
              <w:rPr>
                <w:rFonts w:cs="Arial"/>
                <w:b/>
                <w:lang w:val="en-US"/>
              </w:rPr>
              <w:t>Current Assets</w:t>
            </w:r>
          </w:p>
        </w:tc>
        <w:tc>
          <w:tcPr>
            <w:tcW w:w="437" w:type="dxa"/>
            <w:tcBorders>
              <w:top w:val="single" w:sz="2" w:space="0" w:color="1F4E79" w:themeColor="accent1" w:themeShade="80"/>
              <w:bottom w:val="nil"/>
            </w:tcBorders>
            <w:shd w:val="clear" w:color="auto" w:fill="auto"/>
          </w:tcPr>
          <w:p w14:paraId="56F55810" w14:textId="77777777" w:rsidR="00931938" w:rsidRPr="00BC7DA5" w:rsidRDefault="00931938" w:rsidP="00BF657D">
            <w:pPr>
              <w:pStyle w:val="08-Tabelageral"/>
              <w:rPr>
                <w:rFonts w:cs="Arial"/>
                <w:b/>
              </w:rPr>
            </w:pPr>
          </w:p>
        </w:tc>
        <w:tc>
          <w:tcPr>
            <w:tcW w:w="1411" w:type="dxa"/>
            <w:tcBorders>
              <w:top w:val="single" w:sz="2" w:space="0" w:color="1F4E79" w:themeColor="accent1" w:themeShade="80"/>
              <w:bottom w:val="nil"/>
            </w:tcBorders>
            <w:shd w:val="clear" w:color="auto" w:fill="auto"/>
            <w:vAlign w:val="center"/>
          </w:tcPr>
          <w:p w14:paraId="1D404BF6" w14:textId="77777777" w:rsidR="00931938" w:rsidRDefault="00931938" w:rsidP="00BF657D">
            <w:pPr>
              <w:pStyle w:val="08-Tabelageral"/>
              <w:rPr>
                <w:b/>
              </w:rPr>
            </w:pPr>
            <w:r>
              <w:rPr>
                <w:rFonts w:cs="Arial"/>
                <w:b/>
              </w:rPr>
              <w:t>16,131</w:t>
            </w:r>
          </w:p>
        </w:tc>
        <w:tc>
          <w:tcPr>
            <w:tcW w:w="1412" w:type="dxa"/>
            <w:tcBorders>
              <w:top w:val="single" w:sz="2" w:space="0" w:color="1F4E79" w:themeColor="accent1" w:themeShade="80"/>
              <w:bottom w:val="nil"/>
            </w:tcBorders>
            <w:shd w:val="clear" w:color="auto" w:fill="auto"/>
            <w:vAlign w:val="center"/>
          </w:tcPr>
          <w:p w14:paraId="46AED04B" w14:textId="77777777" w:rsidR="00931938" w:rsidRPr="00976A92" w:rsidRDefault="00931938" w:rsidP="00BF657D">
            <w:pPr>
              <w:pStyle w:val="08-Tabelageral"/>
              <w:rPr>
                <w:b/>
              </w:rPr>
            </w:pPr>
            <w:r>
              <w:rPr>
                <w:rFonts w:cs="Arial"/>
                <w:b/>
              </w:rPr>
              <w:t>1,928</w:t>
            </w:r>
          </w:p>
        </w:tc>
        <w:tc>
          <w:tcPr>
            <w:tcW w:w="283" w:type="dxa"/>
            <w:tcBorders>
              <w:top w:val="single" w:sz="2" w:space="0" w:color="1F4E79" w:themeColor="accent1" w:themeShade="80"/>
              <w:bottom w:val="nil"/>
            </w:tcBorders>
            <w:shd w:val="clear" w:color="auto" w:fill="auto"/>
            <w:vAlign w:val="center"/>
          </w:tcPr>
          <w:p w14:paraId="3B79A25E" w14:textId="77777777" w:rsidR="00931938" w:rsidRPr="00976A92" w:rsidRDefault="00931938" w:rsidP="00BF657D">
            <w:pPr>
              <w:pStyle w:val="08-Tabelageral"/>
              <w:rPr>
                <w:rFonts w:cs="Arial"/>
                <w:b/>
              </w:rPr>
            </w:pPr>
          </w:p>
        </w:tc>
        <w:tc>
          <w:tcPr>
            <w:tcW w:w="1417" w:type="dxa"/>
            <w:tcBorders>
              <w:top w:val="single" w:sz="2" w:space="0" w:color="1F4E79" w:themeColor="accent1" w:themeShade="80"/>
              <w:bottom w:val="nil"/>
            </w:tcBorders>
            <w:shd w:val="clear" w:color="auto" w:fill="auto"/>
            <w:vAlign w:val="center"/>
          </w:tcPr>
          <w:p w14:paraId="4456B0D0" w14:textId="77777777" w:rsidR="00931938" w:rsidRDefault="00931938" w:rsidP="00BF657D">
            <w:pPr>
              <w:pStyle w:val="08-Tabelageral"/>
              <w:rPr>
                <w:b/>
              </w:rPr>
            </w:pPr>
            <w:r>
              <w:rPr>
                <w:rFonts w:cs="Arial"/>
                <w:b/>
              </w:rPr>
              <w:t>16,131</w:t>
            </w:r>
          </w:p>
        </w:tc>
        <w:tc>
          <w:tcPr>
            <w:tcW w:w="1418" w:type="dxa"/>
            <w:tcBorders>
              <w:top w:val="single" w:sz="2" w:space="0" w:color="1F4E79" w:themeColor="accent1" w:themeShade="80"/>
              <w:bottom w:val="nil"/>
            </w:tcBorders>
            <w:shd w:val="clear" w:color="auto" w:fill="auto"/>
            <w:vAlign w:val="center"/>
          </w:tcPr>
          <w:p w14:paraId="4CC9EC09" w14:textId="77777777" w:rsidR="00931938" w:rsidRPr="00976A92" w:rsidRDefault="00931938" w:rsidP="00BF657D">
            <w:pPr>
              <w:pStyle w:val="08-Tabelageral"/>
              <w:rPr>
                <w:b/>
              </w:rPr>
            </w:pPr>
            <w:r>
              <w:rPr>
                <w:rFonts w:cs="Arial"/>
                <w:b/>
              </w:rPr>
              <w:t>1,928</w:t>
            </w:r>
          </w:p>
        </w:tc>
      </w:tr>
      <w:tr w:rsidR="00931938" w:rsidRPr="00BC7DA5" w14:paraId="6430BB72" w14:textId="77777777" w:rsidTr="00AB4D1D">
        <w:trPr>
          <w:trHeight w:val="238"/>
          <w:jc w:val="center"/>
        </w:trPr>
        <w:tc>
          <w:tcPr>
            <w:tcW w:w="3261" w:type="dxa"/>
            <w:tcBorders>
              <w:top w:val="nil"/>
              <w:bottom w:val="nil"/>
            </w:tcBorders>
            <w:shd w:val="clear" w:color="auto" w:fill="auto"/>
          </w:tcPr>
          <w:p w14:paraId="7D0A9169" w14:textId="77777777" w:rsidR="00931938" w:rsidRPr="00BC7DA5" w:rsidRDefault="00931938" w:rsidP="00BF657D">
            <w:pPr>
              <w:pStyle w:val="08-Tabelageral"/>
              <w:ind w:left="113"/>
              <w:jc w:val="left"/>
              <w:rPr>
                <w:rFonts w:cs="Arial"/>
                <w:szCs w:val="14"/>
              </w:rPr>
            </w:pPr>
            <w:r w:rsidRPr="00BC7DA5">
              <w:rPr>
                <w:rFonts w:cs="Arial"/>
                <w:szCs w:val="14"/>
              </w:rPr>
              <w:t>IRRF</w:t>
            </w:r>
          </w:p>
        </w:tc>
        <w:tc>
          <w:tcPr>
            <w:tcW w:w="437" w:type="dxa"/>
            <w:tcBorders>
              <w:top w:val="nil"/>
              <w:bottom w:val="nil"/>
            </w:tcBorders>
            <w:shd w:val="clear" w:color="auto" w:fill="auto"/>
          </w:tcPr>
          <w:p w14:paraId="19795545" w14:textId="77777777" w:rsidR="00931938" w:rsidRPr="00BC7DA5" w:rsidRDefault="00931938" w:rsidP="00BF657D">
            <w:pPr>
              <w:pStyle w:val="08-Tabelageral"/>
              <w:jc w:val="center"/>
              <w:rPr>
                <w:rFonts w:cs="Arial"/>
                <w:szCs w:val="14"/>
              </w:rPr>
            </w:pPr>
          </w:p>
        </w:tc>
        <w:tc>
          <w:tcPr>
            <w:tcW w:w="1411" w:type="dxa"/>
            <w:tcBorders>
              <w:top w:val="nil"/>
              <w:bottom w:val="nil"/>
            </w:tcBorders>
            <w:shd w:val="clear" w:color="auto" w:fill="auto"/>
            <w:vAlign w:val="center"/>
          </w:tcPr>
          <w:p w14:paraId="5EC8EFBD" w14:textId="77777777" w:rsidR="00931938" w:rsidRPr="00BC7DA5" w:rsidRDefault="00931938" w:rsidP="00BF657D">
            <w:pPr>
              <w:pStyle w:val="08-Tabelageral"/>
              <w:rPr>
                <w:rFonts w:cs="Arial"/>
                <w:szCs w:val="14"/>
              </w:rPr>
            </w:pPr>
            <w:r>
              <w:rPr>
                <w:rFonts w:cs="Arial"/>
                <w:szCs w:val="14"/>
              </w:rPr>
              <w:t>16,131</w:t>
            </w:r>
          </w:p>
        </w:tc>
        <w:tc>
          <w:tcPr>
            <w:tcW w:w="1412" w:type="dxa"/>
            <w:tcBorders>
              <w:top w:val="nil"/>
              <w:bottom w:val="nil"/>
            </w:tcBorders>
            <w:shd w:val="clear" w:color="auto" w:fill="auto"/>
            <w:vAlign w:val="center"/>
          </w:tcPr>
          <w:p w14:paraId="5DA1FDED" w14:textId="77777777" w:rsidR="00931938" w:rsidRPr="00BC7DA5" w:rsidRDefault="00931938" w:rsidP="00BF657D">
            <w:pPr>
              <w:pStyle w:val="08-Tabelageral"/>
              <w:rPr>
                <w:rFonts w:cs="Arial"/>
                <w:szCs w:val="14"/>
              </w:rPr>
            </w:pPr>
            <w:r>
              <w:rPr>
                <w:rFonts w:cs="Arial"/>
                <w:szCs w:val="14"/>
              </w:rPr>
              <w:t>1,953</w:t>
            </w:r>
          </w:p>
        </w:tc>
        <w:tc>
          <w:tcPr>
            <w:tcW w:w="283" w:type="dxa"/>
            <w:tcBorders>
              <w:top w:val="nil"/>
              <w:bottom w:val="nil"/>
            </w:tcBorders>
            <w:shd w:val="clear" w:color="auto" w:fill="auto"/>
            <w:vAlign w:val="center"/>
          </w:tcPr>
          <w:p w14:paraId="2A9745E4" w14:textId="77777777" w:rsidR="00931938" w:rsidRPr="00BC7DA5" w:rsidRDefault="00931938" w:rsidP="00BF657D">
            <w:pPr>
              <w:pStyle w:val="08-Tabelageral"/>
              <w:rPr>
                <w:rFonts w:cs="Arial"/>
                <w:szCs w:val="14"/>
              </w:rPr>
            </w:pPr>
          </w:p>
        </w:tc>
        <w:tc>
          <w:tcPr>
            <w:tcW w:w="1417" w:type="dxa"/>
            <w:tcBorders>
              <w:top w:val="nil"/>
              <w:bottom w:val="nil"/>
            </w:tcBorders>
            <w:shd w:val="clear" w:color="auto" w:fill="auto"/>
            <w:vAlign w:val="center"/>
          </w:tcPr>
          <w:p w14:paraId="0860F8AC" w14:textId="77777777" w:rsidR="00931938" w:rsidRPr="00BC7DA5" w:rsidRDefault="00931938" w:rsidP="00BF657D">
            <w:pPr>
              <w:pStyle w:val="08-Tabelageral"/>
              <w:rPr>
                <w:rFonts w:cs="Arial"/>
                <w:szCs w:val="14"/>
              </w:rPr>
            </w:pPr>
            <w:r>
              <w:rPr>
                <w:rFonts w:cs="Arial"/>
                <w:szCs w:val="14"/>
              </w:rPr>
              <w:t>89,867</w:t>
            </w:r>
          </w:p>
        </w:tc>
        <w:tc>
          <w:tcPr>
            <w:tcW w:w="1418" w:type="dxa"/>
            <w:tcBorders>
              <w:top w:val="nil"/>
              <w:bottom w:val="nil"/>
            </w:tcBorders>
            <w:shd w:val="clear" w:color="auto" w:fill="auto"/>
            <w:vAlign w:val="center"/>
          </w:tcPr>
          <w:p w14:paraId="0B30A4D8" w14:textId="77777777" w:rsidR="00931938" w:rsidRPr="00BC7DA5" w:rsidRDefault="00931938" w:rsidP="00BF657D">
            <w:pPr>
              <w:pStyle w:val="08-Tabelageral"/>
              <w:rPr>
                <w:rFonts w:cs="Arial"/>
                <w:szCs w:val="14"/>
              </w:rPr>
            </w:pPr>
            <w:r>
              <w:rPr>
                <w:rFonts w:cs="Arial"/>
                <w:szCs w:val="14"/>
              </w:rPr>
              <w:t>42,586</w:t>
            </w:r>
          </w:p>
        </w:tc>
      </w:tr>
      <w:tr w:rsidR="00931938" w:rsidRPr="00BC7DA5" w14:paraId="4BEEF199" w14:textId="77777777" w:rsidTr="00AB4D1D">
        <w:trPr>
          <w:trHeight w:val="238"/>
          <w:jc w:val="center"/>
        </w:trPr>
        <w:tc>
          <w:tcPr>
            <w:tcW w:w="3261" w:type="dxa"/>
            <w:tcBorders>
              <w:top w:val="nil"/>
              <w:bottom w:val="nil"/>
            </w:tcBorders>
            <w:shd w:val="clear" w:color="auto" w:fill="auto"/>
          </w:tcPr>
          <w:p w14:paraId="3C940178" w14:textId="77777777" w:rsidR="00931938" w:rsidRPr="00BC7DA5" w:rsidRDefault="00931938" w:rsidP="00BF657D">
            <w:pPr>
              <w:pStyle w:val="08-Tabelageral"/>
              <w:ind w:left="283" w:hanging="170"/>
              <w:jc w:val="left"/>
              <w:rPr>
                <w:rFonts w:cs="Arial"/>
                <w:szCs w:val="14"/>
              </w:rPr>
            </w:pPr>
            <w:r w:rsidRPr="00BC7DA5">
              <w:rPr>
                <w:rFonts w:cs="Arial"/>
                <w:szCs w:val="14"/>
              </w:rPr>
              <w:t>(-)</w:t>
            </w:r>
            <w:r>
              <w:rPr>
                <w:rFonts w:cs="Arial"/>
                <w:szCs w:val="14"/>
              </w:rPr>
              <w:t xml:space="preserve"> Current taxes deducted/offset</w:t>
            </w:r>
          </w:p>
        </w:tc>
        <w:tc>
          <w:tcPr>
            <w:tcW w:w="437" w:type="dxa"/>
            <w:tcBorders>
              <w:top w:val="nil"/>
              <w:bottom w:val="nil"/>
            </w:tcBorders>
            <w:shd w:val="clear" w:color="auto" w:fill="auto"/>
          </w:tcPr>
          <w:p w14:paraId="15093881" w14:textId="77777777" w:rsidR="00931938" w:rsidRPr="00BC7DA5" w:rsidRDefault="00931938" w:rsidP="00BF657D">
            <w:pPr>
              <w:pStyle w:val="08-Tabelageral"/>
              <w:jc w:val="center"/>
              <w:rPr>
                <w:rFonts w:cs="Arial"/>
                <w:szCs w:val="14"/>
              </w:rPr>
            </w:pPr>
          </w:p>
        </w:tc>
        <w:tc>
          <w:tcPr>
            <w:tcW w:w="1411" w:type="dxa"/>
            <w:tcBorders>
              <w:top w:val="nil"/>
              <w:bottom w:val="nil"/>
            </w:tcBorders>
            <w:shd w:val="clear" w:color="auto" w:fill="auto"/>
            <w:vAlign w:val="center"/>
          </w:tcPr>
          <w:p w14:paraId="1DC97386" w14:textId="77777777" w:rsidR="00931938" w:rsidRPr="00BC7DA5" w:rsidRDefault="00931938" w:rsidP="00BF657D">
            <w:pPr>
              <w:pStyle w:val="08-Tabelageral"/>
              <w:rPr>
                <w:rFonts w:cs="Arial"/>
                <w:szCs w:val="14"/>
              </w:rPr>
            </w:pPr>
            <w:r>
              <w:rPr>
                <w:rFonts w:cs="Arial"/>
                <w:szCs w:val="14"/>
              </w:rPr>
              <w:t>--</w:t>
            </w:r>
          </w:p>
        </w:tc>
        <w:tc>
          <w:tcPr>
            <w:tcW w:w="1412" w:type="dxa"/>
            <w:tcBorders>
              <w:top w:val="nil"/>
              <w:bottom w:val="nil"/>
            </w:tcBorders>
            <w:shd w:val="clear" w:color="auto" w:fill="auto"/>
            <w:vAlign w:val="center"/>
          </w:tcPr>
          <w:p w14:paraId="54619A2B" w14:textId="77777777" w:rsidR="00931938" w:rsidRPr="00BC7DA5" w:rsidRDefault="00931938" w:rsidP="00BF657D">
            <w:pPr>
              <w:pStyle w:val="08-Tabelageral"/>
              <w:rPr>
                <w:rFonts w:cs="Arial"/>
                <w:szCs w:val="14"/>
              </w:rPr>
            </w:pPr>
            <w:r>
              <w:rPr>
                <w:rFonts w:cs="Arial"/>
                <w:szCs w:val="14"/>
              </w:rPr>
              <w:t>(25)</w:t>
            </w:r>
          </w:p>
        </w:tc>
        <w:tc>
          <w:tcPr>
            <w:tcW w:w="283" w:type="dxa"/>
            <w:tcBorders>
              <w:top w:val="nil"/>
              <w:bottom w:val="nil"/>
            </w:tcBorders>
            <w:shd w:val="clear" w:color="auto" w:fill="auto"/>
            <w:vAlign w:val="center"/>
          </w:tcPr>
          <w:p w14:paraId="3F645031" w14:textId="77777777" w:rsidR="00931938" w:rsidRPr="00BC7DA5" w:rsidRDefault="00931938" w:rsidP="00BF657D">
            <w:pPr>
              <w:pStyle w:val="08-Tabelageral"/>
              <w:rPr>
                <w:rFonts w:cs="Arial"/>
                <w:szCs w:val="14"/>
              </w:rPr>
            </w:pPr>
          </w:p>
        </w:tc>
        <w:tc>
          <w:tcPr>
            <w:tcW w:w="1417" w:type="dxa"/>
            <w:tcBorders>
              <w:top w:val="nil"/>
              <w:bottom w:val="nil"/>
            </w:tcBorders>
            <w:shd w:val="clear" w:color="auto" w:fill="auto"/>
            <w:vAlign w:val="center"/>
          </w:tcPr>
          <w:p w14:paraId="06654936" w14:textId="77777777" w:rsidR="00931938" w:rsidRPr="00BC7DA5" w:rsidRDefault="00931938" w:rsidP="00BF657D">
            <w:pPr>
              <w:pStyle w:val="08-Tabelageral"/>
              <w:rPr>
                <w:rFonts w:cs="Arial"/>
                <w:szCs w:val="14"/>
              </w:rPr>
            </w:pPr>
            <w:r>
              <w:rPr>
                <w:rFonts w:cs="Arial"/>
                <w:szCs w:val="14"/>
              </w:rPr>
              <w:t>(73,736)</w:t>
            </w:r>
          </w:p>
        </w:tc>
        <w:tc>
          <w:tcPr>
            <w:tcW w:w="1418" w:type="dxa"/>
            <w:tcBorders>
              <w:top w:val="nil"/>
              <w:bottom w:val="nil"/>
            </w:tcBorders>
            <w:shd w:val="clear" w:color="auto" w:fill="auto"/>
            <w:vAlign w:val="center"/>
          </w:tcPr>
          <w:p w14:paraId="76B6552F" w14:textId="77777777" w:rsidR="00931938" w:rsidRPr="00BC7DA5" w:rsidRDefault="00931938" w:rsidP="00BF657D">
            <w:pPr>
              <w:pStyle w:val="08-Tabelageral"/>
              <w:rPr>
                <w:rFonts w:cs="Arial"/>
                <w:szCs w:val="14"/>
              </w:rPr>
            </w:pPr>
            <w:r>
              <w:rPr>
                <w:rFonts w:cs="Arial"/>
                <w:szCs w:val="14"/>
              </w:rPr>
              <w:t>(40,658)</w:t>
            </w:r>
          </w:p>
        </w:tc>
      </w:tr>
      <w:tr w:rsidR="00931938" w:rsidRPr="00C46DD7" w14:paraId="4A81C476" w14:textId="77777777" w:rsidTr="00AB4D1D">
        <w:trPr>
          <w:trHeight w:val="238"/>
          <w:jc w:val="center"/>
        </w:trPr>
        <w:tc>
          <w:tcPr>
            <w:tcW w:w="3261" w:type="dxa"/>
            <w:tcBorders>
              <w:top w:val="nil"/>
              <w:bottom w:val="nil"/>
            </w:tcBorders>
            <w:shd w:val="clear" w:color="auto" w:fill="auto"/>
          </w:tcPr>
          <w:p w14:paraId="28B7486F" w14:textId="77777777" w:rsidR="00931938" w:rsidRPr="00C46DD7" w:rsidRDefault="00931938" w:rsidP="00BF657D">
            <w:pPr>
              <w:pStyle w:val="08-Tabelageral"/>
              <w:ind w:left="177" w:hanging="170"/>
              <w:jc w:val="left"/>
              <w:rPr>
                <w:rFonts w:cs="Arial"/>
                <w:b/>
                <w:szCs w:val="14"/>
              </w:rPr>
            </w:pPr>
            <w:r w:rsidRPr="00C46DD7">
              <w:rPr>
                <w:rFonts w:cs="Arial"/>
                <w:b/>
                <w:lang w:val="en-US"/>
              </w:rPr>
              <w:t>Non-Current Assets</w:t>
            </w:r>
          </w:p>
        </w:tc>
        <w:tc>
          <w:tcPr>
            <w:tcW w:w="437" w:type="dxa"/>
            <w:tcBorders>
              <w:top w:val="nil"/>
              <w:bottom w:val="nil"/>
            </w:tcBorders>
            <w:shd w:val="clear" w:color="auto" w:fill="auto"/>
          </w:tcPr>
          <w:p w14:paraId="1A62999A" w14:textId="77777777" w:rsidR="00931938" w:rsidRPr="00C46DD7" w:rsidRDefault="00931938" w:rsidP="00BF657D">
            <w:pPr>
              <w:pStyle w:val="08-Tabelageral"/>
              <w:jc w:val="center"/>
              <w:rPr>
                <w:rFonts w:cs="Arial"/>
                <w:b/>
                <w:szCs w:val="14"/>
              </w:rPr>
            </w:pPr>
          </w:p>
        </w:tc>
        <w:tc>
          <w:tcPr>
            <w:tcW w:w="1411" w:type="dxa"/>
            <w:tcBorders>
              <w:top w:val="nil"/>
              <w:bottom w:val="nil"/>
            </w:tcBorders>
            <w:shd w:val="clear" w:color="auto" w:fill="auto"/>
            <w:vAlign w:val="center"/>
          </w:tcPr>
          <w:p w14:paraId="53AB632A" w14:textId="77777777" w:rsidR="00931938" w:rsidRPr="00C46DD7" w:rsidRDefault="00931938" w:rsidP="00BF657D">
            <w:pPr>
              <w:pStyle w:val="08-Tabelageral"/>
              <w:rPr>
                <w:rFonts w:cs="Arial"/>
                <w:b/>
                <w:szCs w:val="14"/>
              </w:rPr>
            </w:pPr>
            <w:r>
              <w:rPr>
                <w:rFonts w:cs="Arial"/>
                <w:b/>
                <w:szCs w:val="14"/>
              </w:rPr>
              <w:t>75,177</w:t>
            </w:r>
          </w:p>
        </w:tc>
        <w:tc>
          <w:tcPr>
            <w:tcW w:w="1412" w:type="dxa"/>
            <w:tcBorders>
              <w:top w:val="nil"/>
              <w:bottom w:val="nil"/>
            </w:tcBorders>
            <w:shd w:val="clear" w:color="auto" w:fill="auto"/>
            <w:vAlign w:val="center"/>
          </w:tcPr>
          <w:p w14:paraId="71082144" w14:textId="77777777" w:rsidR="00931938" w:rsidRPr="00C46DD7" w:rsidRDefault="00931938" w:rsidP="00BF657D">
            <w:pPr>
              <w:pStyle w:val="08-Tabelageral"/>
              <w:rPr>
                <w:rFonts w:cs="Arial"/>
                <w:b/>
                <w:szCs w:val="14"/>
              </w:rPr>
            </w:pPr>
            <w:r>
              <w:rPr>
                <w:rFonts w:cs="Arial"/>
                <w:b/>
                <w:szCs w:val="14"/>
              </w:rPr>
              <w:t>68,332</w:t>
            </w:r>
          </w:p>
        </w:tc>
        <w:tc>
          <w:tcPr>
            <w:tcW w:w="283" w:type="dxa"/>
            <w:tcBorders>
              <w:top w:val="nil"/>
              <w:bottom w:val="nil"/>
            </w:tcBorders>
            <w:shd w:val="clear" w:color="auto" w:fill="auto"/>
            <w:vAlign w:val="center"/>
          </w:tcPr>
          <w:p w14:paraId="5FF113D4" w14:textId="77777777" w:rsidR="00931938" w:rsidRPr="00C46DD7" w:rsidRDefault="00931938" w:rsidP="00BF657D">
            <w:pPr>
              <w:pStyle w:val="08-Tabelageral"/>
              <w:rPr>
                <w:rFonts w:cs="Arial"/>
                <w:b/>
                <w:szCs w:val="14"/>
              </w:rPr>
            </w:pPr>
          </w:p>
        </w:tc>
        <w:tc>
          <w:tcPr>
            <w:tcW w:w="1417" w:type="dxa"/>
            <w:tcBorders>
              <w:top w:val="nil"/>
              <w:bottom w:val="nil"/>
            </w:tcBorders>
            <w:shd w:val="clear" w:color="auto" w:fill="auto"/>
            <w:vAlign w:val="center"/>
          </w:tcPr>
          <w:p w14:paraId="3E929C09" w14:textId="77777777" w:rsidR="00931938" w:rsidRPr="00C46DD7" w:rsidRDefault="00931938" w:rsidP="00BF657D">
            <w:pPr>
              <w:pStyle w:val="08-Tabelageral"/>
              <w:rPr>
                <w:rFonts w:cs="Arial"/>
                <w:b/>
                <w:szCs w:val="14"/>
              </w:rPr>
            </w:pPr>
            <w:r>
              <w:rPr>
                <w:rFonts w:cs="Arial"/>
                <w:b/>
                <w:szCs w:val="14"/>
              </w:rPr>
              <w:t>80,977</w:t>
            </w:r>
          </w:p>
        </w:tc>
        <w:tc>
          <w:tcPr>
            <w:tcW w:w="1418" w:type="dxa"/>
            <w:tcBorders>
              <w:top w:val="nil"/>
              <w:bottom w:val="nil"/>
            </w:tcBorders>
            <w:shd w:val="clear" w:color="auto" w:fill="auto"/>
            <w:vAlign w:val="center"/>
          </w:tcPr>
          <w:p w14:paraId="1978CDF4" w14:textId="77777777" w:rsidR="00931938" w:rsidRPr="00C46DD7" w:rsidRDefault="00931938" w:rsidP="00BF657D">
            <w:pPr>
              <w:pStyle w:val="08-Tabelageral"/>
              <w:rPr>
                <w:rFonts w:cs="Arial"/>
                <w:b/>
                <w:szCs w:val="14"/>
              </w:rPr>
            </w:pPr>
            <w:r>
              <w:rPr>
                <w:rFonts w:cs="Arial"/>
                <w:b/>
                <w:szCs w:val="14"/>
              </w:rPr>
              <w:t>84,337</w:t>
            </w:r>
          </w:p>
        </w:tc>
      </w:tr>
      <w:tr w:rsidR="00931938" w:rsidRPr="00BC7DA5" w14:paraId="3E983F63" w14:textId="77777777" w:rsidTr="00AB4D1D">
        <w:trPr>
          <w:trHeight w:val="238"/>
          <w:jc w:val="center"/>
        </w:trPr>
        <w:tc>
          <w:tcPr>
            <w:tcW w:w="3261" w:type="dxa"/>
            <w:tcBorders>
              <w:top w:val="nil"/>
              <w:bottom w:val="nil"/>
            </w:tcBorders>
            <w:shd w:val="clear" w:color="auto" w:fill="auto"/>
          </w:tcPr>
          <w:p w14:paraId="6F5AACE5" w14:textId="77777777" w:rsidR="00931938" w:rsidRPr="00BC7DA5" w:rsidRDefault="00931938" w:rsidP="00BF657D">
            <w:pPr>
              <w:pStyle w:val="08-Tabelageral"/>
              <w:ind w:left="283" w:hanging="170"/>
              <w:jc w:val="left"/>
              <w:rPr>
                <w:rFonts w:cs="Arial"/>
                <w:szCs w:val="14"/>
              </w:rPr>
            </w:pPr>
            <w:r w:rsidRPr="00E1219D">
              <w:rPr>
                <w:rFonts w:cs="Arial"/>
                <w:szCs w:val="14"/>
              </w:rPr>
              <w:t>Taxes to compensate</w:t>
            </w:r>
          </w:p>
        </w:tc>
        <w:tc>
          <w:tcPr>
            <w:tcW w:w="437" w:type="dxa"/>
            <w:tcBorders>
              <w:top w:val="nil"/>
              <w:bottom w:val="nil"/>
            </w:tcBorders>
            <w:shd w:val="clear" w:color="auto" w:fill="auto"/>
          </w:tcPr>
          <w:p w14:paraId="04A7B8B8" w14:textId="77777777" w:rsidR="00931938" w:rsidRPr="00BC7DA5" w:rsidRDefault="00931938" w:rsidP="00BF657D">
            <w:pPr>
              <w:pStyle w:val="08-Tabelageral"/>
              <w:jc w:val="center"/>
              <w:rPr>
                <w:rFonts w:cs="Arial"/>
                <w:szCs w:val="14"/>
              </w:rPr>
            </w:pPr>
          </w:p>
        </w:tc>
        <w:tc>
          <w:tcPr>
            <w:tcW w:w="1411" w:type="dxa"/>
            <w:tcBorders>
              <w:top w:val="nil"/>
              <w:bottom w:val="nil"/>
            </w:tcBorders>
            <w:shd w:val="clear" w:color="auto" w:fill="auto"/>
            <w:vAlign w:val="center"/>
          </w:tcPr>
          <w:p w14:paraId="31661122" w14:textId="77777777" w:rsidR="00931938" w:rsidRPr="00BC7DA5" w:rsidRDefault="00931938" w:rsidP="00BF657D">
            <w:pPr>
              <w:pStyle w:val="08-Tabelageral"/>
              <w:rPr>
                <w:rFonts w:cs="Arial"/>
                <w:szCs w:val="14"/>
              </w:rPr>
            </w:pPr>
            <w:r>
              <w:rPr>
                <w:rFonts w:cs="Arial"/>
                <w:szCs w:val="14"/>
              </w:rPr>
              <w:t>75,237</w:t>
            </w:r>
          </w:p>
        </w:tc>
        <w:tc>
          <w:tcPr>
            <w:tcW w:w="1412" w:type="dxa"/>
            <w:tcBorders>
              <w:top w:val="nil"/>
              <w:bottom w:val="nil"/>
            </w:tcBorders>
            <w:shd w:val="clear" w:color="auto" w:fill="auto"/>
            <w:vAlign w:val="center"/>
          </w:tcPr>
          <w:p w14:paraId="33AC1839" w14:textId="77777777" w:rsidR="00931938" w:rsidRPr="00BC7DA5" w:rsidRDefault="00931938" w:rsidP="00BF657D">
            <w:pPr>
              <w:pStyle w:val="08-Tabelageral"/>
              <w:rPr>
                <w:rFonts w:cs="Arial"/>
                <w:szCs w:val="14"/>
              </w:rPr>
            </w:pPr>
            <w:r>
              <w:rPr>
                <w:rFonts w:cs="Arial"/>
                <w:szCs w:val="14"/>
              </w:rPr>
              <w:t>68,479</w:t>
            </w:r>
          </w:p>
        </w:tc>
        <w:tc>
          <w:tcPr>
            <w:tcW w:w="283" w:type="dxa"/>
            <w:tcBorders>
              <w:top w:val="nil"/>
              <w:bottom w:val="nil"/>
            </w:tcBorders>
            <w:shd w:val="clear" w:color="auto" w:fill="auto"/>
            <w:vAlign w:val="center"/>
          </w:tcPr>
          <w:p w14:paraId="6C2A187F" w14:textId="77777777" w:rsidR="00931938" w:rsidRPr="00BC7DA5" w:rsidRDefault="00931938" w:rsidP="00BF657D">
            <w:pPr>
              <w:pStyle w:val="08-Tabelageral"/>
              <w:rPr>
                <w:rFonts w:cs="Arial"/>
                <w:szCs w:val="14"/>
              </w:rPr>
            </w:pPr>
          </w:p>
        </w:tc>
        <w:tc>
          <w:tcPr>
            <w:tcW w:w="1417" w:type="dxa"/>
            <w:tcBorders>
              <w:top w:val="nil"/>
              <w:bottom w:val="nil"/>
            </w:tcBorders>
            <w:shd w:val="clear" w:color="auto" w:fill="auto"/>
            <w:vAlign w:val="center"/>
          </w:tcPr>
          <w:p w14:paraId="25FABF84" w14:textId="77777777" w:rsidR="00931938" w:rsidRPr="00BC7DA5" w:rsidRDefault="00931938" w:rsidP="00BF657D">
            <w:pPr>
              <w:pStyle w:val="08-Tabelageral"/>
              <w:rPr>
                <w:rFonts w:cs="Arial"/>
                <w:szCs w:val="14"/>
              </w:rPr>
            </w:pPr>
            <w:r>
              <w:rPr>
                <w:rFonts w:cs="Arial"/>
                <w:szCs w:val="14"/>
              </w:rPr>
              <w:t>82,482</w:t>
            </w:r>
          </w:p>
        </w:tc>
        <w:tc>
          <w:tcPr>
            <w:tcW w:w="1418" w:type="dxa"/>
            <w:tcBorders>
              <w:top w:val="nil"/>
              <w:bottom w:val="nil"/>
            </w:tcBorders>
            <w:shd w:val="clear" w:color="auto" w:fill="auto"/>
            <w:vAlign w:val="center"/>
          </w:tcPr>
          <w:p w14:paraId="1F91FCB4" w14:textId="77777777" w:rsidR="00931938" w:rsidRPr="00BC7DA5" w:rsidRDefault="00931938" w:rsidP="00BF657D">
            <w:pPr>
              <w:pStyle w:val="08-Tabelageral"/>
              <w:rPr>
                <w:rFonts w:cs="Arial"/>
                <w:szCs w:val="14"/>
              </w:rPr>
            </w:pPr>
            <w:r>
              <w:rPr>
                <w:rFonts w:cs="Arial"/>
                <w:szCs w:val="14"/>
              </w:rPr>
              <w:t>98,354</w:t>
            </w:r>
          </w:p>
        </w:tc>
      </w:tr>
      <w:tr w:rsidR="00931938" w:rsidRPr="00BC7DA5" w14:paraId="2A81F074" w14:textId="77777777" w:rsidTr="00AB4D1D">
        <w:trPr>
          <w:trHeight w:val="238"/>
          <w:jc w:val="center"/>
        </w:trPr>
        <w:tc>
          <w:tcPr>
            <w:tcW w:w="3261" w:type="dxa"/>
            <w:tcBorders>
              <w:top w:val="nil"/>
              <w:bottom w:val="nil"/>
            </w:tcBorders>
            <w:shd w:val="clear" w:color="auto" w:fill="auto"/>
          </w:tcPr>
          <w:p w14:paraId="71C48311" w14:textId="77777777" w:rsidR="00931938" w:rsidRPr="00E1219D" w:rsidRDefault="00931938" w:rsidP="00BF657D">
            <w:pPr>
              <w:pStyle w:val="08-Tabelageral"/>
              <w:ind w:left="283" w:hanging="170"/>
              <w:jc w:val="left"/>
              <w:rPr>
                <w:rFonts w:cs="Arial"/>
                <w:szCs w:val="14"/>
              </w:rPr>
            </w:pPr>
            <w:r w:rsidRPr="00BC7DA5">
              <w:rPr>
                <w:rFonts w:cs="Arial"/>
                <w:szCs w:val="14"/>
              </w:rPr>
              <w:t>(-)</w:t>
            </w:r>
            <w:r>
              <w:rPr>
                <w:rFonts w:cs="Arial"/>
                <w:szCs w:val="14"/>
              </w:rPr>
              <w:t xml:space="preserve"> Current taxes deducted/offset</w:t>
            </w:r>
          </w:p>
        </w:tc>
        <w:tc>
          <w:tcPr>
            <w:tcW w:w="437" w:type="dxa"/>
            <w:tcBorders>
              <w:top w:val="nil"/>
              <w:bottom w:val="nil"/>
            </w:tcBorders>
            <w:shd w:val="clear" w:color="auto" w:fill="auto"/>
          </w:tcPr>
          <w:p w14:paraId="1AE515AB" w14:textId="77777777" w:rsidR="00931938" w:rsidRPr="00BC7DA5" w:rsidRDefault="00931938" w:rsidP="00BF657D">
            <w:pPr>
              <w:pStyle w:val="08-Tabelageral"/>
              <w:jc w:val="center"/>
              <w:rPr>
                <w:rFonts w:cs="Arial"/>
                <w:szCs w:val="14"/>
              </w:rPr>
            </w:pPr>
          </w:p>
        </w:tc>
        <w:tc>
          <w:tcPr>
            <w:tcW w:w="1411" w:type="dxa"/>
            <w:tcBorders>
              <w:top w:val="nil"/>
              <w:bottom w:val="nil"/>
            </w:tcBorders>
            <w:shd w:val="clear" w:color="auto" w:fill="auto"/>
            <w:vAlign w:val="center"/>
          </w:tcPr>
          <w:p w14:paraId="617D0993" w14:textId="77777777" w:rsidR="00931938" w:rsidRDefault="00931938" w:rsidP="00BF657D">
            <w:pPr>
              <w:pStyle w:val="08-Tabelageral"/>
              <w:rPr>
                <w:rFonts w:cs="Arial"/>
                <w:szCs w:val="14"/>
              </w:rPr>
            </w:pPr>
            <w:r>
              <w:rPr>
                <w:rFonts w:cs="Arial"/>
                <w:szCs w:val="14"/>
              </w:rPr>
              <w:t>(60)</w:t>
            </w:r>
          </w:p>
        </w:tc>
        <w:tc>
          <w:tcPr>
            <w:tcW w:w="1412" w:type="dxa"/>
            <w:tcBorders>
              <w:top w:val="nil"/>
              <w:bottom w:val="nil"/>
            </w:tcBorders>
            <w:shd w:val="clear" w:color="auto" w:fill="auto"/>
            <w:vAlign w:val="center"/>
          </w:tcPr>
          <w:p w14:paraId="14E53F0C" w14:textId="77777777" w:rsidR="00931938" w:rsidRDefault="00931938" w:rsidP="00BF657D">
            <w:pPr>
              <w:pStyle w:val="08-Tabelageral"/>
              <w:rPr>
                <w:rFonts w:cs="Arial"/>
                <w:szCs w:val="14"/>
              </w:rPr>
            </w:pPr>
            <w:r>
              <w:rPr>
                <w:rFonts w:cs="Arial"/>
                <w:szCs w:val="14"/>
              </w:rPr>
              <w:t>(147)</w:t>
            </w:r>
          </w:p>
        </w:tc>
        <w:tc>
          <w:tcPr>
            <w:tcW w:w="283" w:type="dxa"/>
            <w:tcBorders>
              <w:top w:val="nil"/>
              <w:bottom w:val="nil"/>
            </w:tcBorders>
            <w:shd w:val="clear" w:color="auto" w:fill="auto"/>
            <w:vAlign w:val="center"/>
          </w:tcPr>
          <w:p w14:paraId="39B05F64" w14:textId="77777777" w:rsidR="00931938" w:rsidRPr="00BC7DA5" w:rsidRDefault="00931938" w:rsidP="00BF657D">
            <w:pPr>
              <w:pStyle w:val="08-Tabelageral"/>
              <w:rPr>
                <w:rFonts w:cs="Arial"/>
                <w:szCs w:val="14"/>
              </w:rPr>
            </w:pPr>
          </w:p>
        </w:tc>
        <w:tc>
          <w:tcPr>
            <w:tcW w:w="1417" w:type="dxa"/>
            <w:tcBorders>
              <w:top w:val="nil"/>
              <w:bottom w:val="nil"/>
            </w:tcBorders>
            <w:shd w:val="clear" w:color="auto" w:fill="auto"/>
            <w:vAlign w:val="center"/>
          </w:tcPr>
          <w:p w14:paraId="3E48435D" w14:textId="77777777" w:rsidR="00931938" w:rsidRDefault="00931938" w:rsidP="00BF657D">
            <w:pPr>
              <w:pStyle w:val="08-Tabelageral"/>
              <w:rPr>
                <w:rFonts w:cs="Arial"/>
                <w:szCs w:val="14"/>
              </w:rPr>
            </w:pPr>
            <w:r>
              <w:rPr>
                <w:rFonts w:cs="Arial"/>
                <w:szCs w:val="14"/>
              </w:rPr>
              <w:t>(1,505)</w:t>
            </w:r>
          </w:p>
        </w:tc>
        <w:tc>
          <w:tcPr>
            <w:tcW w:w="1418" w:type="dxa"/>
            <w:tcBorders>
              <w:top w:val="nil"/>
              <w:bottom w:val="nil"/>
            </w:tcBorders>
            <w:shd w:val="clear" w:color="auto" w:fill="auto"/>
            <w:vAlign w:val="center"/>
          </w:tcPr>
          <w:p w14:paraId="754D1DED" w14:textId="77777777" w:rsidR="00931938" w:rsidRDefault="00931938" w:rsidP="00BF657D">
            <w:pPr>
              <w:pStyle w:val="08-Tabelageral"/>
              <w:rPr>
                <w:rFonts w:cs="Arial"/>
                <w:szCs w:val="14"/>
              </w:rPr>
            </w:pPr>
            <w:r>
              <w:rPr>
                <w:rFonts w:cs="Arial"/>
                <w:szCs w:val="14"/>
              </w:rPr>
              <w:t>(14,017)</w:t>
            </w:r>
          </w:p>
        </w:tc>
      </w:tr>
      <w:tr w:rsidR="00931938" w:rsidRPr="00BC7DA5" w14:paraId="4A429B46" w14:textId="77777777" w:rsidTr="00AB4D1D">
        <w:trPr>
          <w:trHeight w:val="238"/>
          <w:jc w:val="center"/>
        </w:trPr>
        <w:tc>
          <w:tcPr>
            <w:tcW w:w="3261" w:type="dxa"/>
            <w:tcBorders>
              <w:top w:val="nil"/>
              <w:bottom w:val="single" w:sz="2" w:space="0" w:color="1F4E79" w:themeColor="accent1" w:themeShade="80"/>
            </w:tcBorders>
            <w:shd w:val="clear" w:color="auto" w:fill="auto"/>
          </w:tcPr>
          <w:p w14:paraId="55F26695" w14:textId="77777777" w:rsidR="00931938" w:rsidRPr="00BC7DA5" w:rsidRDefault="00931938" w:rsidP="00BF657D">
            <w:pPr>
              <w:pStyle w:val="08-Tabelageral"/>
              <w:jc w:val="left"/>
              <w:rPr>
                <w:rFonts w:cs="Arial"/>
                <w:b/>
                <w:szCs w:val="14"/>
              </w:rPr>
            </w:pPr>
            <w:r w:rsidRPr="00BC7DA5">
              <w:rPr>
                <w:rFonts w:cs="Arial"/>
                <w:b/>
              </w:rPr>
              <w:t>Total</w:t>
            </w:r>
            <w:r>
              <w:rPr>
                <w:rFonts w:cs="Arial"/>
                <w:b/>
              </w:rPr>
              <w:t xml:space="preserve"> </w:t>
            </w:r>
            <w:r w:rsidRPr="00BC7DA5">
              <w:rPr>
                <w:rFonts w:cs="Arial"/>
                <w:b/>
                <w:vertAlign w:val="superscript"/>
              </w:rPr>
              <w:t>(</w:t>
            </w:r>
            <w:r>
              <w:rPr>
                <w:rFonts w:cs="Arial"/>
                <w:b/>
                <w:vertAlign w:val="superscript"/>
              </w:rPr>
              <w:t>1</w:t>
            </w:r>
            <w:r w:rsidRPr="00BC7DA5">
              <w:rPr>
                <w:rFonts w:cs="Arial"/>
                <w:b/>
                <w:vertAlign w:val="superscript"/>
              </w:rPr>
              <w:t>)</w:t>
            </w:r>
          </w:p>
        </w:tc>
        <w:tc>
          <w:tcPr>
            <w:tcW w:w="437" w:type="dxa"/>
            <w:tcBorders>
              <w:top w:val="nil"/>
              <w:bottom w:val="single" w:sz="2" w:space="0" w:color="1F4E79" w:themeColor="accent1" w:themeShade="80"/>
            </w:tcBorders>
            <w:shd w:val="clear" w:color="auto" w:fill="auto"/>
          </w:tcPr>
          <w:p w14:paraId="4F56572B" w14:textId="77777777" w:rsidR="00931938" w:rsidRPr="00BC7DA5" w:rsidRDefault="00931938" w:rsidP="00BF657D">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3E5ADBD2" w14:textId="77777777" w:rsidR="00931938" w:rsidRPr="00BC7DA5" w:rsidRDefault="00931938" w:rsidP="00BF657D">
            <w:pPr>
              <w:pStyle w:val="08-Tabelageral"/>
              <w:rPr>
                <w:rFonts w:cs="Arial"/>
                <w:b/>
                <w:szCs w:val="14"/>
              </w:rPr>
            </w:pPr>
            <w:r>
              <w:rPr>
                <w:rFonts w:cs="Arial"/>
                <w:b/>
                <w:szCs w:val="14"/>
              </w:rPr>
              <w:t>91,308</w:t>
            </w:r>
          </w:p>
        </w:tc>
        <w:tc>
          <w:tcPr>
            <w:tcW w:w="1412" w:type="dxa"/>
            <w:tcBorders>
              <w:top w:val="nil"/>
              <w:bottom w:val="single" w:sz="2" w:space="0" w:color="1F4E79" w:themeColor="accent1" w:themeShade="80"/>
            </w:tcBorders>
            <w:shd w:val="clear" w:color="auto" w:fill="auto"/>
            <w:vAlign w:val="center"/>
          </w:tcPr>
          <w:p w14:paraId="3EAFE0E7" w14:textId="77777777" w:rsidR="00931938" w:rsidRPr="00BC7DA5" w:rsidRDefault="00931938" w:rsidP="00BF657D">
            <w:pPr>
              <w:pStyle w:val="08-Tabelageral"/>
              <w:rPr>
                <w:rFonts w:cs="Arial"/>
                <w:b/>
                <w:szCs w:val="14"/>
              </w:rPr>
            </w:pPr>
            <w:r>
              <w:rPr>
                <w:rFonts w:cs="Arial"/>
                <w:b/>
                <w:szCs w:val="14"/>
              </w:rPr>
              <w:t>70,260</w:t>
            </w:r>
          </w:p>
        </w:tc>
        <w:tc>
          <w:tcPr>
            <w:tcW w:w="283" w:type="dxa"/>
            <w:tcBorders>
              <w:top w:val="nil"/>
              <w:bottom w:val="single" w:sz="2" w:space="0" w:color="1F4E79" w:themeColor="accent1" w:themeShade="80"/>
            </w:tcBorders>
            <w:shd w:val="clear" w:color="auto" w:fill="auto"/>
            <w:vAlign w:val="center"/>
          </w:tcPr>
          <w:p w14:paraId="7C53E10B" w14:textId="77777777" w:rsidR="00931938" w:rsidRPr="00BC7DA5" w:rsidRDefault="00931938" w:rsidP="00BF657D">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38ED6F1D" w14:textId="77777777" w:rsidR="00931938" w:rsidRPr="00BC7DA5" w:rsidRDefault="00931938" w:rsidP="00BF657D">
            <w:pPr>
              <w:pStyle w:val="08-Tabelageral"/>
              <w:rPr>
                <w:rFonts w:cs="Arial"/>
                <w:b/>
                <w:szCs w:val="14"/>
              </w:rPr>
            </w:pPr>
            <w:r>
              <w:rPr>
                <w:rFonts w:cs="Arial"/>
                <w:b/>
                <w:szCs w:val="14"/>
              </w:rPr>
              <w:t>97,108</w:t>
            </w:r>
          </w:p>
        </w:tc>
        <w:tc>
          <w:tcPr>
            <w:tcW w:w="1418" w:type="dxa"/>
            <w:tcBorders>
              <w:top w:val="nil"/>
              <w:bottom w:val="single" w:sz="2" w:space="0" w:color="1F4E79" w:themeColor="accent1" w:themeShade="80"/>
            </w:tcBorders>
            <w:shd w:val="clear" w:color="auto" w:fill="auto"/>
            <w:vAlign w:val="center"/>
          </w:tcPr>
          <w:p w14:paraId="07CC78CA" w14:textId="77777777" w:rsidR="00931938" w:rsidRPr="00BC7DA5" w:rsidRDefault="00931938" w:rsidP="00BF657D">
            <w:pPr>
              <w:pStyle w:val="08-Tabelageral"/>
              <w:rPr>
                <w:rFonts w:cs="Arial"/>
                <w:b/>
                <w:szCs w:val="14"/>
              </w:rPr>
            </w:pPr>
            <w:r>
              <w:rPr>
                <w:rFonts w:cs="Arial"/>
                <w:b/>
                <w:szCs w:val="14"/>
              </w:rPr>
              <w:t>86,265</w:t>
            </w:r>
          </w:p>
        </w:tc>
      </w:tr>
    </w:tbl>
    <w:p w14:paraId="784BA79D" w14:textId="77777777" w:rsidR="00931938" w:rsidRPr="00E54AB3" w:rsidRDefault="00931938" w:rsidP="00931938">
      <w:pPr>
        <w:pStyle w:val="PargrafodaLista"/>
        <w:numPr>
          <w:ilvl w:val="0"/>
          <w:numId w:val="9"/>
        </w:numPr>
        <w:spacing w:after="40" w:line="240" w:lineRule="auto"/>
        <w:ind w:left="284" w:hanging="284"/>
        <w:jc w:val="both"/>
        <w:rPr>
          <w:rFonts w:ascii="Arial" w:hAnsi="Arial" w:cs="Arial"/>
          <w:sz w:val="14"/>
          <w:szCs w:val="14"/>
          <w:lang w:val="en-US"/>
        </w:rPr>
      </w:pPr>
      <w:r>
        <w:rPr>
          <w:rFonts w:ascii="Arial" w:eastAsia="Times New Roman" w:hAnsi="Arial" w:cs="Arial"/>
          <w:sz w:val="14"/>
          <w:szCs w:val="14"/>
          <w:lang w:val="en" w:eastAsia="pt-BR"/>
        </w:rPr>
        <w:t>T</w:t>
      </w:r>
      <w:r w:rsidRPr="00647373">
        <w:rPr>
          <w:rFonts w:ascii="Arial" w:eastAsia="Times New Roman" w:hAnsi="Arial" w:cs="Arial"/>
          <w:sz w:val="14"/>
          <w:szCs w:val="14"/>
          <w:lang w:val="en" w:eastAsia="pt-BR"/>
        </w:rPr>
        <w:t xml:space="preserve">he balances at </w:t>
      </w:r>
      <w:r>
        <w:rPr>
          <w:rFonts w:ascii="Arial" w:eastAsia="Times New Roman" w:hAnsi="Arial" w:cs="Arial"/>
          <w:sz w:val="14"/>
          <w:szCs w:val="14"/>
          <w:lang w:val="en" w:eastAsia="pt-BR"/>
        </w:rPr>
        <w:t>December</w:t>
      </w:r>
      <w:r w:rsidRPr="00647373">
        <w:rPr>
          <w:rFonts w:ascii="Arial" w:eastAsia="Times New Roman" w:hAnsi="Arial" w:cs="Arial"/>
          <w:sz w:val="14"/>
          <w:szCs w:val="14"/>
          <w:lang w:val="en" w:eastAsia="pt-BR"/>
        </w:rPr>
        <w:t xml:space="preserve"> 3</w:t>
      </w:r>
      <w:r>
        <w:rPr>
          <w:rFonts w:ascii="Arial" w:eastAsia="Times New Roman" w:hAnsi="Arial" w:cs="Arial"/>
          <w:sz w:val="14"/>
          <w:szCs w:val="14"/>
          <w:lang w:val="en" w:eastAsia="pt-BR"/>
        </w:rPr>
        <w:t>1</w:t>
      </w:r>
      <w:r w:rsidRPr="00647373">
        <w:rPr>
          <w:rFonts w:ascii="Arial" w:eastAsia="Times New Roman" w:hAnsi="Arial" w:cs="Arial"/>
          <w:sz w:val="14"/>
          <w:szCs w:val="14"/>
          <w:lang w:val="en" w:eastAsia="pt-BR"/>
        </w:rPr>
        <w:t>,</w:t>
      </w:r>
      <w:r>
        <w:rPr>
          <w:rFonts w:ascii="Arial" w:eastAsia="Times New Roman" w:hAnsi="Arial" w:cs="Arial"/>
          <w:sz w:val="14"/>
          <w:szCs w:val="14"/>
          <w:lang w:val="en" w:eastAsia="pt-BR"/>
        </w:rPr>
        <w:t xml:space="preserve"> </w:t>
      </w:r>
      <w:r w:rsidRPr="00647373">
        <w:rPr>
          <w:rFonts w:ascii="Arial" w:eastAsia="Times New Roman" w:hAnsi="Arial" w:cs="Arial"/>
          <w:sz w:val="14"/>
          <w:szCs w:val="14"/>
          <w:lang w:val="en" w:eastAsia="pt-BR"/>
        </w:rPr>
        <w:t>202</w:t>
      </w:r>
      <w:r>
        <w:rPr>
          <w:rFonts w:ascii="Arial" w:eastAsia="Times New Roman" w:hAnsi="Arial" w:cs="Arial"/>
          <w:sz w:val="14"/>
          <w:szCs w:val="14"/>
          <w:lang w:val="en" w:eastAsia="pt-BR"/>
        </w:rPr>
        <w:t>2</w:t>
      </w:r>
      <w:r w:rsidRPr="00647373">
        <w:rPr>
          <w:rFonts w:ascii="Arial" w:eastAsia="Times New Roman" w:hAnsi="Arial" w:cs="Arial"/>
          <w:sz w:val="14"/>
          <w:szCs w:val="14"/>
          <w:lang w:val="en" w:eastAsia="pt-BR"/>
        </w:rPr>
        <w:t xml:space="preserve"> and December 31, 20</w:t>
      </w:r>
      <w:r>
        <w:rPr>
          <w:rFonts w:ascii="Arial" w:eastAsia="Times New Roman" w:hAnsi="Arial" w:cs="Arial"/>
          <w:sz w:val="14"/>
          <w:szCs w:val="14"/>
          <w:lang w:val="en" w:eastAsia="pt-BR"/>
        </w:rPr>
        <w:t>21</w:t>
      </w:r>
      <w:r w:rsidRPr="00647373">
        <w:rPr>
          <w:rFonts w:ascii="Arial" w:eastAsia="Times New Roman" w:hAnsi="Arial" w:cs="Arial"/>
          <w:sz w:val="14"/>
          <w:szCs w:val="14"/>
          <w:lang w:val="en" w:eastAsia="pt-BR"/>
        </w:rPr>
        <w:t xml:space="preserve"> (parent company and consolidated) refer mainly to the IRRF of previous years uncompensated/deducted</w:t>
      </w:r>
      <w:r w:rsidRPr="00E54AB3">
        <w:rPr>
          <w:rFonts w:ascii="Arial" w:hAnsi="Arial" w:cs="Arial"/>
          <w:sz w:val="14"/>
          <w:szCs w:val="14"/>
          <w:lang w:val="en-US"/>
        </w:rPr>
        <w:t>.</w:t>
      </w:r>
    </w:p>
    <w:p w14:paraId="096A346A" w14:textId="77777777" w:rsidR="00931938" w:rsidRPr="00931938" w:rsidRDefault="00931938" w:rsidP="00444B6A">
      <w:pPr>
        <w:keepNext/>
        <w:keepLines/>
        <w:spacing w:after="40" w:line="240" w:lineRule="auto"/>
        <w:ind w:left="284" w:hanging="284"/>
        <w:rPr>
          <w:rFonts w:cs="Arial"/>
          <w:b/>
          <w:color w:val="1F4E79" w:themeColor="accent1" w:themeShade="80"/>
          <w:szCs w:val="18"/>
          <w:lang w:val="en-US"/>
        </w:rPr>
      </w:pPr>
    </w:p>
    <w:p w14:paraId="4A697C15" w14:textId="77777777" w:rsidR="00931938" w:rsidRPr="00662308" w:rsidRDefault="00931938" w:rsidP="00444B6A">
      <w:pPr>
        <w:keepNext/>
        <w:keepLines/>
        <w:spacing w:after="40" w:line="240" w:lineRule="auto"/>
        <w:ind w:left="284" w:hanging="284"/>
        <w:rPr>
          <w:rFonts w:cs="Arial"/>
          <w:b/>
          <w:color w:val="1F4E79" w:themeColor="accent1" w:themeShade="80"/>
          <w:szCs w:val="18"/>
        </w:rPr>
      </w:pPr>
      <w:r w:rsidRPr="00662308">
        <w:rPr>
          <w:rFonts w:cs="Arial"/>
          <w:b/>
          <w:color w:val="1F4E79" w:themeColor="accent1" w:themeShade="80"/>
          <w:szCs w:val="18"/>
        </w:rPr>
        <w:t>e) Deferred Tax Assets</w:t>
      </w:r>
    </w:p>
    <w:p w14:paraId="4BCA0699" w14:textId="77777777" w:rsidR="00931938" w:rsidRPr="00FF3D4B" w:rsidRDefault="00931938" w:rsidP="00444B6A">
      <w:pPr>
        <w:keepNext/>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931938" w:rsidRPr="00BC7DA5" w14:paraId="070E44B0" w14:textId="77777777" w:rsidTr="00AB4D1D">
        <w:trPr>
          <w:trHeight w:val="238"/>
          <w:jc w:val="center"/>
        </w:trPr>
        <w:tc>
          <w:tcPr>
            <w:tcW w:w="3094" w:type="dxa"/>
            <w:tcBorders>
              <w:top w:val="single" w:sz="2" w:space="0" w:color="1F4E79" w:themeColor="accent1" w:themeShade="80"/>
              <w:bottom w:val="nil"/>
            </w:tcBorders>
            <w:shd w:val="clear" w:color="auto" w:fill="auto"/>
            <w:vAlign w:val="center"/>
          </w:tcPr>
          <w:p w14:paraId="206BF4AD" w14:textId="77777777" w:rsidR="00931938" w:rsidRPr="00BC7DA5" w:rsidRDefault="00931938" w:rsidP="00444B6A">
            <w:pPr>
              <w:keepNext/>
              <w:keepLines/>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68964333" w14:textId="77777777" w:rsidR="00931938" w:rsidRPr="00BC7DA5" w:rsidRDefault="00931938" w:rsidP="00444B6A">
            <w:pPr>
              <w:keepNext/>
              <w:keepLines/>
              <w:spacing w:after="0"/>
              <w:jc w:val="center"/>
              <w:rPr>
                <w:rFonts w:cs="Arial"/>
                <w:b/>
                <w:szCs w:val="18"/>
              </w:rPr>
            </w:pPr>
          </w:p>
        </w:tc>
        <w:tc>
          <w:tcPr>
            <w:tcW w:w="5941" w:type="dxa"/>
            <w:gridSpan w:val="5"/>
            <w:tcBorders>
              <w:top w:val="single" w:sz="2" w:space="0" w:color="1F4E79" w:themeColor="accent1" w:themeShade="80"/>
              <w:bottom w:val="single" w:sz="2" w:space="0" w:color="1F4E79" w:themeColor="accent1" w:themeShade="80"/>
            </w:tcBorders>
            <w:shd w:val="clear" w:color="auto" w:fill="auto"/>
            <w:vAlign w:val="center"/>
          </w:tcPr>
          <w:p w14:paraId="679CD7C3" w14:textId="77777777" w:rsidR="00931938" w:rsidRPr="00BC266E" w:rsidRDefault="00931938" w:rsidP="00444B6A">
            <w:pPr>
              <w:keepNext/>
              <w:keepLines/>
              <w:spacing w:after="0"/>
              <w:jc w:val="center"/>
              <w:rPr>
                <w:rFonts w:cs="Arial"/>
                <w:b/>
                <w:sz w:val="14"/>
                <w:szCs w:val="14"/>
              </w:rPr>
            </w:pPr>
            <w:r w:rsidRPr="00BC266E">
              <w:rPr>
                <w:rFonts w:cs="Arial"/>
                <w:b/>
                <w:sz w:val="14"/>
                <w:szCs w:val="14"/>
              </w:rPr>
              <w:t>Parent</w:t>
            </w:r>
          </w:p>
        </w:tc>
      </w:tr>
      <w:tr w:rsidR="00931938" w:rsidRPr="00BC7DA5" w14:paraId="7F65E2C9" w14:textId="77777777" w:rsidTr="00AB4D1D">
        <w:trPr>
          <w:trHeight w:val="238"/>
          <w:jc w:val="center"/>
        </w:trPr>
        <w:tc>
          <w:tcPr>
            <w:tcW w:w="3094" w:type="dxa"/>
            <w:tcBorders>
              <w:top w:val="nil"/>
              <w:bottom w:val="single" w:sz="2" w:space="0" w:color="1F4E79" w:themeColor="accent1" w:themeShade="80"/>
            </w:tcBorders>
            <w:shd w:val="clear" w:color="auto" w:fill="auto"/>
            <w:vAlign w:val="center"/>
          </w:tcPr>
          <w:p w14:paraId="496DB62E" w14:textId="77777777" w:rsidR="00931938" w:rsidRPr="00BC7DA5" w:rsidRDefault="00931938" w:rsidP="00444B6A">
            <w:pPr>
              <w:pStyle w:val="08-Tabelageral"/>
              <w:jc w:val="center"/>
              <w:rPr>
                <w:rFonts w:cs="Arial"/>
                <w:b/>
              </w:rPr>
            </w:pPr>
          </w:p>
        </w:tc>
        <w:tc>
          <w:tcPr>
            <w:tcW w:w="604" w:type="dxa"/>
            <w:tcBorders>
              <w:top w:val="nil"/>
              <w:bottom w:val="single" w:sz="2" w:space="0" w:color="1F4E79" w:themeColor="accent1" w:themeShade="80"/>
            </w:tcBorders>
            <w:shd w:val="clear" w:color="auto" w:fill="auto"/>
            <w:vAlign w:val="center"/>
          </w:tcPr>
          <w:p w14:paraId="10F2DCEE" w14:textId="77777777" w:rsidR="00931938" w:rsidRPr="00BC7DA5" w:rsidRDefault="00931938" w:rsidP="00444B6A">
            <w:pPr>
              <w:pStyle w:val="08-Tabelageral"/>
              <w:jc w:val="center"/>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50123E3F" w14:textId="77777777" w:rsidR="00931938" w:rsidRPr="00BC7DA5" w:rsidRDefault="00931938" w:rsidP="00C7126A">
            <w:pPr>
              <w:pStyle w:val="08-Tabelageral"/>
              <w:rPr>
                <w:rFonts w:cs="Arial"/>
                <w:b/>
              </w:rPr>
            </w:pPr>
            <w:r>
              <w:rPr>
                <w:rFonts w:cs="Arial"/>
                <w:b/>
              </w:rPr>
              <w:t xml:space="preserve">Dec </w:t>
            </w:r>
            <w:r w:rsidRPr="00BC7DA5">
              <w:rPr>
                <w:rFonts w:cs="Arial"/>
                <w:b/>
              </w:rPr>
              <w:t>3</w:t>
            </w:r>
            <w:r>
              <w:rPr>
                <w:rFonts w:cs="Arial"/>
                <w:b/>
              </w:rPr>
              <w:t xml:space="preserve">1, </w:t>
            </w:r>
            <w:r w:rsidRPr="00BC7DA5">
              <w:rPr>
                <w:rFonts w:cs="Arial"/>
                <w:b/>
              </w:rPr>
              <w:t>202</w:t>
            </w:r>
            <w:r>
              <w:rPr>
                <w:rFonts w:cs="Arial"/>
                <w:b/>
              </w:rPr>
              <w:t>1</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66EAE208" w14:textId="77777777" w:rsidR="00931938" w:rsidRPr="00BC7DA5" w:rsidRDefault="00931938" w:rsidP="00444B6A">
            <w:pPr>
              <w:pStyle w:val="08-Tabelageral"/>
              <w:rPr>
                <w:rFonts w:cs="Arial"/>
                <w:b/>
              </w:rPr>
            </w:pPr>
            <w:r>
              <w:rPr>
                <w:rFonts w:cs="Arial"/>
                <w:b/>
              </w:rPr>
              <w:t>Addition</w:t>
            </w: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5BEE435E" w14:textId="77777777" w:rsidR="00931938" w:rsidRPr="00BC7DA5" w:rsidRDefault="00931938" w:rsidP="00444B6A">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5E9B4DA8" w14:textId="77777777" w:rsidR="00931938" w:rsidRPr="00BC7DA5" w:rsidRDefault="00931938" w:rsidP="00444B6A">
            <w:pPr>
              <w:pStyle w:val="08-Tabelageral"/>
              <w:rPr>
                <w:rFonts w:cs="Arial"/>
                <w:b/>
              </w:rPr>
            </w:pPr>
            <w:r>
              <w:rPr>
                <w:rFonts w:cs="Arial"/>
                <w:b/>
              </w:rPr>
              <w:t>Derecognition</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06FEFE13" w14:textId="77777777" w:rsidR="00931938" w:rsidRPr="00BC7DA5" w:rsidRDefault="00931938" w:rsidP="00CA3A5D">
            <w:pPr>
              <w:pStyle w:val="08-Tabelageral"/>
              <w:rPr>
                <w:rFonts w:cs="Arial"/>
                <w:b/>
              </w:rPr>
            </w:pPr>
            <w:r>
              <w:rPr>
                <w:rFonts w:cs="Arial"/>
                <w:b/>
              </w:rPr>
              <w:t>Dec 31, 2022</w:t>
            </w:r>
          </w:p>
        </w:tc>
      </w:tr>
      <w:tr w:rsidR="00931938" w:rsidRPr="00BC7DA5" w14:paraId="1EBE87AB" w14:textId="77777777" w:rsidTr="00AB4D1D">
        <w:trPr>
          <w:trHeight w:val="238"/>
          <w:jc w:val="center"/>
        </w:trPr>
        <w:tc>
          <w:tcPr>
            <w:tcW w:w="3094" w:type="dxa"/>
            <w:tcBorders>
              <w:top w:val="single" w:sz="2" w:space="0" w:color="1F4E79" w:themeColor="accent1" w:themeShade="80"/>
              <w:bottom w:val="nil"/>
            </w:tcBorders>
            <w:shd w:val="clear" w:color="auto" w:fill="auto"/>
          </w:tcPr>
          <w:p w14:paraId="02BA2898" w14:textId="77777777" w:rsidR="00931938" w:rsidRPr="003B22A9" w:rsidRDefault="00931938" w:rsidP="00444B6A">
            <w:pPr>
              <w:pStyle w:val="08-Tabelageral"/>
              <w:jc w:val="left"/>
              <w:rPr>
                <w:rFonts w:cs="Arial"/>
                <w:b/>
                <w:bCs/>
                <w:szCs w:val="14"/>
              </w:rPr>
            </w:pPr>
            <w:r w:rsidRPr="003B22A9">
              <w:rPr>
                <w:rFonts w:cs="Arial"/>
                <w:b/>
                <w:szCs w:val="14"/>
              </w:rPr>
              <w:t>Temporary differences</w:t>
            </w:r>
          </w:p>
        </w:tc>
        <w:tc>
          <w:tcPr>
            <w:tcW w:w="604" w:type="dxa"/>
            <w:tcBorders>
              <w:top w:val="single" w:sz="2" w:space="0" w:color="1F4E79" w:themeColor="accent1" w:themeShade="80"/>
              <w:bottom w:val="nil"/>
            </w:tcBorders>
            <w:shd w:val="clear" w:color="auto" w:fill="auto"/>
          </w:tcPr>
          <w:p w14:paraId="3AB3EE2A" w14:textId="77777777" w:rsidR="00931938" w:rsidRPr="00BC7DA5" w:rsidRDefault="00931938" w:rsidP="00444B6A">
            <w:pPr>
              <w:pStyle w:val="08-Tabelageral"/>
              <w:jc w:val="left"/>
              <w:rPr>
                <w:rFonts w:cs="Arial"/>
                <w:b/>
                <w:bCs/>
                <w:szCs w:val="14"/>
              </w:rPr>
            </w:pPr>
          </w:p>
        </w:tc>
        <w:tc>
          <w:tcPr>
            <w:tcW w:w="1411" w:type="dxa"/>
            <w:tcBorders>
              <w:top w:val="single" w:sz="2" w:space="0" w:color="1F4E79" w:themeColor="accent1" w:themeShade="80"/>
              <w:bottom w:val="nil"/>
            </w:tcBorders>
            <w:shd w:val="clear" w:color="auto" w:fill="auto"/>
          </w:tcPr>
          <w:p w14:paraId="23C49BC7" w14:textId="77777777" w:rsidR="00931938" w:rsidRPr="00BC7DA5" w:rsidRDefault="00931938" w:rsidP="00444B6A">
            <w:pPr>
              <w:pStyle w:val="08-Tabelageral"/>
              <w:rPr>
                <w:rFonts w:cs="Arial"/>
                <w:b/>
                <w:bCs/>
                <w:szCs w:val="14"/>
              </w:rPr>
            </w:pPr>
          </w:p>
        </w:tc>
        <w:tc>
          <w:tcPr>
            <w:tcW w:w="1412" w:type="dxa"/>
            <w:tcBorders>
              <w:top w:val="single" w:sz="2" w:space="0" w:color="1F4E79" w:themeColor="accent1" w:themeShade="80"/>
              <w:bottom w:val="nil"/>
            </w:tcBorders>
            <w:shd w:val="clear" w:color="auto" w:fill="auto"/>
          </w:tcPr>
          <w:p w14:paraId="4898D598" w14:textId="77777777" w:rsidR="00931938" w:rsidRPr="00BC7DA5" w:rsidRDefault="00931938" w:rsidP="00444B6A">
            <w:pPr>
              <w:pStyle w:val="08-Tabelageral"/>
              <w:rPr>
                <w:rFonts w:cs="Arial"/>
                <w:b/>
                <w:bCs/>
                <w:szCs w:val="14"/>
              </w:rPr>
            </w:pPr>
          </w:p>
        </w:tc>
        <w:tc>
          <w:tcPr>
            <w:tcW w:w="283" w:type="dxa"/>
            <w:tcBorders>
              <w:top w:val="single" w:sz="2" w:space="0" w:color="1F4E79" w:themeColor="accent1" w:themeShade="80"/>
              <w:bottom w:val="nil"/>
            </w:tcBorders>
            <w:shd w:val="clear" w:color="auto" w:fill="auto"/>
          </w:tcPr>
          <w:p w14:paraId="2A46F9D1" w14:textId="77777777" w:rsidR="00931938" w:rsidRPr="00BC7DA5" w:rsidRDefault="00931938" w:rsidP="00444B6A">
            <w:pPr>
              <w:pStyle w:val="08-Tabelageral"/>
              <w:jc w:val="left"/>
              <w:rPr>
                <w:rFonts w:cs="Arial"/>
                <w:b/>
                <w:bCs/>
                <w:szCs w:val="14"/>
              </w:rPr>
            </w:pPr>
          </w:p>
        </w:tc>
        <w:tc>
          <w:tcPr>
            <w:tcW w:w="1417" w:type="dxa"/>
            <w:tcBorders>
              <w:top w:val="single" w:sz="2" w:space="0" w:color="1F4E79" w:themeColor="accent1" w:themeShade="80"/>
              <w:bottom w:val="nil"/>
            </w:tcBorders>
            <w:shd w:val="clear" w:color="auto" w:fill="auto"/>
          </w:tcPr>
          <w:p w14:paraId="7FEA9958" w14:textId="77777777" w:rsidR="00931938" w:rsidRPr="00BC7DA5" w:rsidRDefault="00931938" w:rsidP="00444B6A">
            <w:pPr>
              <w:pStyle w:val="08-Tabelageral"/>
              <w:rPr>
                <w:rFonts w:cs="Arial"/>
                <w:b/>
                <w:bCs/>
                <w:szCs w:val="14"/>
              </w:rPr>
            </w:pPr>
          </w:p>
        </w:tc>
        <w:tc>
          <w:tcPr>
            <w:tcW w:w="1418" w:type="dxa"/>
            <w:tcBorders>
              <w:top w:val="single" w:sz="2" w:space="0" w:color="1F4E79" w:themeColor="accent1" w:themeShade="80"/>
              <w:bottom w:val="nil"/>
            </w:tcBorders>
            <w:shd w:val="clear" w:color="auto" w:fill="auto"/>
          </w:tcPr>
          <w:p w14:paraId="6609BDAD" w14:textId="77777777" w:rsidR="00931938" w:rsidRPr="00BC7DA5" w:rsidRDefault="00931938" w:rsidP="00444B6A">
            <w:pPr>
              <w:pStyle w:val="08-Tabelageral"/>
              <w:rPr>
                <w:rFonts w:cs="Arial"/>
                <w:b/>
                <w:bCs/>
                <w:szCs w:val="14"/>
              </w:rPr>
            </w:pPr>
          </w:p>
        </w:tc>
      </w:tr>
      <w:tr w:rsidR="00931938" w:rsidRPr="00BC7DA5" w14:paraId="66E79532" w14:textId="77777777" w:rsidTr="00AB4D1D">
        <w:trPr>
          <w:trHeight w:val="238"/>
          <w:jc w:val="center"/>
        </w:trPr>
        <w:tc>
          <w:tcPr>
            <w:tcW w:w="3094" w:type="dxa"/>
            <w:shd w:val="clear" w:color="auto" w:fill="auto"/>
          </w:tcPr>
          <w:p w14:paraId="0E675B3A" w14:textId="77777777" w:rsidR="00931938" w:rsidRPr="00BC7DA5" w:rsidRDefault="00931938" w:rsidP="007E01C4">
            <w:pPr>
              <w:pStyle w:val="08-Tabelageral"/>
              <w:ind w:left="113"/>
              <w:jc w:val="left"/>
              <w:rPr>
                <w:rFonts w:cs="Arial"/>
                <w:szCs w:val="14"/>
              </w:rPr>
            </w:pPr>
            <w:r>
              <w:rPr>
                <w:rFonts w:cs="Arial"/>
                <w:szCs w:val="14"/>
              </w:rPr>
              <w:t>Liabilities provision</w:t>
            </w:r>
          </w:p>
        </w:tc>
        <w:tc>
          <w:tcPr>
            <w:tcW w:w="604" w:type="dxa"/>
            <w:shd w:val="clear" w:color="auto" w:fill="auto"/>
          </w:tcPr>
          <w:p w14:paraId="2E238B13" w14:textId="77777777" w:rsidR="00931938" w:rsidRPr="00BC7DA5" w:rsidRDefault="00931938" w:rsidP="007E01C4">
            <w:pPr>
              <w:pStyle w:val="08-Tabelageral"/>
              <w:jc w:val="center"/>
              <w:rPr>
                <w:rFonts w:cs="Arial"/>
                <w:szCs w:val="14"/>
              </w:rPr>
            </w:pPr>
          </w:p>
        </w:tc>
        <w:tc>
          <w:tcPr>
            <w:tcW w:w="1411" w:type="dxa"/>
            <w:shd w:val="clear" w:color="auto" w:fill="auto"/>
          </w:tcPr>
          <w:p w14:paraId="249B2AED" w14:textId="77777777" w:rsidR="00931938" w:rsidRPr="00BC7DA5" w:rsidRDefault="00931938" w:rsidP="007E01C4">
            <w:pPr>
              <w:pStyle w:val="08-Tabelageral"/>
              <w:rPr>
                <w:rFonts w:cs="Arial"/>
                <w:szCs w:val="14"/>
              </w:rPr>
            </w:pPr>
            <w:r>
              <w:rPr>
                <w:rFonts w:cs="Arial"/>
                <w:szCs w:val="14"/>
              </w:rPr>
              <w:t>10</w:t>
            </w:r>
          </w:p>
        </w:tc>
        <w:tc>
          <w:tcPr>
            <w:tcW w:w="1412" w:type="dxa"/>
            <w:shd w:val="clear" w:color="auto" w:fill="auto"/>
          </w:tcPr>
          <w:p w14:paraId="6FCA8376" w14:textId="77777777" w:rsidR="00931938" w:rsidRPr="00BC7DA5" w:rsidRDefault="00931938" w:rsidP="007E01C4">
            <w:pPr>
              <w:pStyle w:val="08-Tabelageral"/>
              <w:rPr>
                <w:rFonts w:cs="Arial"/>
              </w:rPr>
            </w:pPr>
            <w:r>
              <w:rPr>
                <w:rFonts w:cs="Arial"/>
              </w:rPr>
              <w:t>18</w:t>
            </w:r>
          </w:p>
        </w:tc>
        <w:tc>
          <w:tcPr>
            <w:tcW w:w="283" w:type="dxa"/>
            <w:shd w:val="clear" w:color="auto" w:fill="auto"/>
          </w:tcPr>
          <w:p w14:paraId="47223D01" w14:textId="77777777" w:rsidR="00931938" w:rsidRPr="00BC7DA5" w:rsidRDefault="00931938" w:rsidP="007E01C4">
            <w:pPr>
              <w:pStyle w:val="08-Tabelageral"/>
              <w:rPr>
                <w:rFonts w:cs="Arial"/>
                <w:szCs w:val="14"/>
              </w:rPr>
            </w:pPr>
          </w:p>
        </w:tc>
        <w:tc>
          <w:tcPr>
            <w:tcW w:w="1417" w:type="dxa"/>
            <w:shd w:val="clear" w:color="auto" w:fill="auto"/>
          </w:tcPr>
          <w:p w14:paraId="078B2203" w14:textId="77777777" w:rsidR="00931938" w:rsidRPr="00BC7DA5" w:rsidRDefault="00931938" w:rsidP="007E01C4">
            <w:pPr>
              <w:pStyle w:val="08-Tabelageral"/>
              <w:rPr>
                <w:rFonts w:cs="Arial"/>
                <w:szCs w:val="14"/>
              </w:rPr>
            </w:pPr>
            <w:r>
              <w:rPr>
                <w:rFonts w:cs="Arial"/>
                <w:szCs w:val="14"/>
              </w:rPr>
              <w:t>--</w:t>
            </w:r>
          </w:p>
        </w:tc>
        <w:tc>
          <w:tcPr>
            <w:tcW w:w="1418" w:type="dxa"/>
            <w:shd w:val="clear" w:color="auto" w:fill="auto"/>
          </w:tcPr>
          <w:p w14:paraId="7FA48DF9" w14:textId="77777777" w:rsidR="00931938" w:rsidRPr="00BC7DA5" w:rsidRDefault="00931938" w:rsidP="007E01C4">
            <w:pPr>
              <w:pStyle w:val="08-Tabelageral"/>
              <w:rPr>
                <w:rFonts w:cs="Arial"/>
                <w:szCs w:val="14"/>
              </w:rPr>
            </w:pPr>
            <w:r>
              <w:rPr>
                <w:rFonts w:cs="Arial"/>
                <w:szCs w:val="14"/>
              </w:rPr>
              <w:t>28</w:t>
            </w:r>
          </w:p>
        </w:tc>
      </w:tr>
      <w:tr w:rsidR="00931938" w:rsidRPr="00BC7DA5" w14:paraId="4781D97F" w14:textId="77777777" w:rsidTr="00AB4D1D">
        <w:trPr>
          <w:trHeight w:val="238"/>
          <w:jc w:val="center"/>
        </w:trPr>
        <w:tc>
          <w:tcPr>
            <w:tcW w:w="3094" w:type="dxa"/>
            <w:shd w:val="clear" w:color="auto" w:fill="auto"/>
          </w:tcPr>
          <w:p w14:paraId="5D539639" w14:textId="77777777" w:rsidR="00931938" w:rsidRPr="003B22A9" w:rsidRDefault="00931938" w:rsidP="007E01C4">
            <w:pPr>
              <w:keepNext/>
              <w:keepLines/>
              <w:spacing w:before="40" w:after="40" w:line="240" w:lineRule="auto"/>
              <w:rPr>
                <w:rFonts w:cs="Arial"/>
                <w:b/>
              </w:rPr>
            </w:pPr>
            <w:r w:rsidRPr="003B22A9">
              <w:rPr>
                <w:rFonts w:eastAsia="Times New Roman" w:cs="Arial"/>
                <w:b/>
                <w:spacing w:val="-2"/>
                <w:sz w:val="14"/>
                <w:szCs w:val="18"/>
                <w:lang w:eastAsia="pt-BR"/>
              </w:rPr>
              <w:t>Total deferred tax assets</w:t>
            </w:r>
          </w:p>
        </w:tc>
        <w:tc>
          <w:tcPr>
            <w:tcW w:w="604" w:type="dxa"/>
            <w:shd w:val="clear" w:color="auto" w:fill="auto"/>
          </w:tcPr>
          <w:p w14:paraId="6AB6FA99" w14:textId="77777777" w:rsidR="00931938" w:rsidRPr="00BC7DA5" w:rsidRDefault="00931938" w:rsidP="007E01C4">
            <w:pPr>
              <w:pStyle w:val="08-Tabelageral"/>
              <w:jc w:val="center"/>
              <w:rPr>
                <w:rFonts w:cs="Arial"/>
                <w:b/>
                <w:szCs w:val="14"/>
              </w:rPr>
            </w:pPr>
          </w:p>
        </w:tc>
        <w:tc>
          <w:tcPr>
            <w:tcW w:w="1411" w:type="dxa"/>
            <w:shd w:val="clear" w:color="auto" w:fill="auto"/>
          </w:tcPr>
          <w:p w14:paraId="08B89D05" w14:textId="77777777" w:rsidR="00931938" w:rsidRPr="00BC7DA5" w:rsidRDefault="00931938" w:rsidP="007E01C4">
            <w:pPr>
              <w:pStyle w:val="08-Tabelageral"/>
              <w:rPr>
                <w:rFonts w:cs="Arial"/>
                <w:b/>
                <w:szCs w:val="14"/>
              </w:rPr>
            </w:pPr>
            <w:r>
              <w:rPr>
                <w:rFonts w:cs="Arial"/>
                <w:b/>
                <w:szCs w:val="14"/>
              </w:rPr>
              <w:t>10</w:t>
            </w:r>
          </w:p>
        </w:tc>
        <w:tc>
          <w:tcPr>
            <w:tcW w:w="1412" w:type="dxa"/>
            <w:shd w:val="clear" w:color="auto" w:fill="auto"/>
          </w:tcPr>
          <w:p w14:paraId="2D6C8FB3" w14:textId="77777777" w:rsidR="00931938" w:rsidRPr="00BC7DA5" w:rsidRDefault="00931938" w:rsidP="007E01C4">
            <w:pPr>
              <w:pStyle w:val="08-Tabelageral"/>
              <w:rPr>
                <w:rFonts w:cs="Arial"/>
                <w:b/>
              </w:rPr>
            </w:pPr>
            <w:r>
              <w:rPr>
                <w:rFonts w:cs="Arial"/>
                <w:b/>
              </w:rPr>
              <w:t>18</w:t>
            </w:r>
          </w:p>
        </w:tc>
        <w:tc>
          <w:tcPr>
            <w:tcW w:w="283" w:type="dxa"/>
            <w:shd w:val="clear" w:color="auto" w:fill="auto"/>
          </w:tcPr>
          <w:p w14:paraId="38D1996C" w14:textId="77777777" w:rsidR="00931938" w:rsidRPr="00BC7DA5" w:rsidRDefault="00931938" w:rsidP="007E01C4">
            <w:pPr>
              <w:pStyle w:val="08-Tabelageral"/>
              <w:rPr>
                <w:rFonts w:cs="Arial"/>
                <w:b/>
                <w:szCs w:val="14"/>
              </w:rPr>
            </w:pPr>
          </w:p>
        </w:tc>
        <w:tc>
          <w:tcPr>
            <w:tcW w:w="1417" w:type="dxa"/>
            <w:shd w:val="clear" w:color="auto" w:fill="auto"/>
          </w:tcPr>
          <w:p w14:paraId="5BF7A471" w14:textId="77777777" w:rsidR="00931938" w:rsidRPr="00BC7DA5" w:rsidRDefault="00931938" w:rsidP="007E01C4">
            <w:pPr>
              <w:pStyle w:val="08-Tabelageral"/>
              <w:rPr>
                <w:rFonts w:cs="Arial"/>
                <w:b/>
                <w:szCs w:val="14"/>
              </w:rPr>
            </w:pPr>
            <w:r>
              <w:rPr>
                <w:rFonts w:cs="Arial"/>
                <w:b/>
                <w:szCs w:val="14"/>
              </w:rPr>
              <w:t>--</w:t>
            </w:r>
          </w:p>
        </w:tc>
        <w:tc>
          <w:tcPr>
            <w:tcW w:w="1418" w:type="dxa"/>
            <w:shd w:val="clear" w:color="auto" w:fill="auto"/>
          </w:tcPr>
          <w:p w14:paraId="466C6595" w14:textId="77777777" w:rsidR="00931938" w:rsidRPr="00BC7DA5" w:rsidRDefault="00931938" w:rsidP="007E01C4">
            <w:pPr>
              <w:pStyle w:val="08-Tabelageral"/>
              <w:rPr>
                <w:rFonts w:cs="Arial"/>
                <w:b/>
                <w:szCs w:val="14"/>
              </w:rPr>
            </w:pPr>
            <w:r>
              <w:rPr>
                <w:rFonts w:cs="Arial"/>
                <w:b/>
                <w:szCs w:val="14"/>
              </w:rPr>
              <w:t>28</w:t>
            </w:r>
          </w:p>
        </w:tc>
      </w:tr>
      <w:tr w:rsidR="00931938" w:rsidRPr="00BC7DA5" w14:paraId="02DA210C" w14:textId="77777777" w:rsidTr="00AB4D1D">
        <w:trPr>
          <w:trHeight w:val="238"/>
          <w:jc w:val="center"/>
        </w:trPr>
        <w:tc>
          <w:tcPr>
            <w:tcW w:w="3094" w:type="dxa"/>
            <w:tcBorders>
              <w:bottom w:val="nil"/>
            </w:tcBorders>
            <w:shd w:val="clear" w:color="auto" w:fill="auto"/>
          </w:tcPr>
          <w:p w14:paraId="5B81CB34" w14:textId="77777777" w:rsidR="00931938" w:rsidRPr="00BC7DA5" w:rsidRDefault="00931938" w:rsidP="007E01C4">
            <w:pPr>
              <w:pStyle w:val="08-Tabelageral"/>
              <w:ind w:left="113"/>
              <w:jc w:val="left"/>
              <w:rPr>
                <w:rFonts w:cs="Arial"/>
              </w:rPr>
            </w:pPr>
            <w:r w:rsidRPr="00910E47">
              <w:rPr>
                <w:rFonts w:cs="Arial"/>
              </w:rPr>
              <w:t>I</w:t>
            </w:r>
            <w:r>
              <w:rPr>
                <w:rFonts w:cs="Arial"/>
              </w:rPr>
              <w:t>ncone tax</w:t>
            </w:r>
          </w:p>
        </w:tc>
        <w:tc>
          <w:tcPr>
            <w:tcW w:w="604" w:type="dxa"/>
            <w:tcBorders>
              <w:bottom w:val="nil"/>
            </w:tcBorders>
            <w:shd w:val="clear" w:color="auto" w:fill="auto"/>
          </w:tcPr>
          <w:p w14:paraId="1D5D8394" w14:textId="77777777" w:rsidR="00931938" w:rsidRPr="00BC7DA5" w:rsidRDefault="00931938" w:rsidP="007E01C4">
            <w:pPr>
              <w:pStyle w:val="08-Tabelageral"/>
              <w:jc w:val="center"/>
              <w:rPr>
                <w:rFonts w:cs="Arial"/>
                <w:szCs w:val="14"/>
              </w:rPr>
            </w:pPr>
          </w:p>
        </w:tc>
        <w:tc>
          <w:tcPr>
            <w:tcW w:w="1411" w:type="dxa"/>
            <w:tcBorders>
              <w:bottom w:val="nil"/>
            </w:tcBorders>
            <w:shd w:val="clear" w:color="auto" w:fill="auto"/>
          </w:tcPr>
          <w:p w14:paraId="278D77A5" w14:textId="77777777" w:rsidR="00931938" w:rsidRPr="00BC7DA5" w:rsidRDefault="00931938" w:rsidP="007E01C4">
            <w:pPr>
              <w:pStyle w:val="08-Tabelageral"/>
              <w:rPr>
                <w:rFonts w:cs="Arial"/>
                <w:szCs w:val="14"/>
              </w:rPr>
            </w:pPr>
            <w:r>
              <w:rPr>
                <w:rFonts w:cs="Arial"/>
                <w:szCs w:val="14"/>
              </w:rPr>
              <w:t>7</w:t>
            </w:r>
          </w:p>
        </w:tc>
        <w:tc>
          <w:tcPr>
            <w:tcW w:w="1412" w:type="dxa"/>
            <w:tcBorders>
              <w:bottom w:val="nil"/>
            </w:tcBorders>
            <w:shd w:val="clear" w:color="auto" w:fill="auto"/>
          </w:tcPr>
          <w:p w14:paraId="7933B53A" w14:textId="77777777" w:rsidR="00931938" w:rsidRPr="00BC7DA5" w:rsidRDefault="00931938" w:rsidP="007E01C4">
            <w:pPr>
              <w:pStyle w:val="08-Tabelageral"/>
              <w:rPr>
                <w:rFonts w:cs="Arial"/>
              </w:rPr>
            </w:pPr>
            <w:r>
              <w:rPr>
                <w:rFonts w:cs="Arial"/>
              </w:rPr>
              <w:t>13</w:t>
            </w:r>
          </w:p>
        </w:tc>
        <w:tc>
          <w:tcPr>
            <w:tcW w:w="283" w:type="dxa"/>
            <w:tcBorders>
              <w:bottom w:val="nil"/>
            </w:tcBorders>
            <w:shd w:val="clear" w:color="auto" w:fill="auto"/>
          </w:tcPr>
          <w:p w14:paraId="4FBC6C6D" w14:textId="77777777" w:rsidR="00931938" w:rsidRPr="00BC7DA5" w:rsidRDefault="00931938" w:rsidP="007E01C4">
            <w:pPr>
              <w:pStyle w:val="08-Tabelageral"/>
              <w:rPr>
                <w:rFonts w:cs="Arial"/>
                <w:szCs w:val="14"/>
              </w:rPr>
            </w:pPr>
          </w:p>
        </w:tc>
        <w:tc>
          <w:tcPr>
            <w:tcW w:w="1417" w:type="dxa"/>
            <w:tcBorders>
              <w:bottom w:val="nil"/>
            </w:tcBorders>
            <w:shd w:val="clear" w:color="auto" w:fill="auto"/>
          </w:tcPr>
          <w:p w14:paraId="0A988344" w14:textId="77777777" w:rsidR="00931938" w:rsidRPr="00BC7DA5" w:rsidRDefault="00931938" w:rsidP="007E01C4">
            <w:pPr>
              <w:pStyle w:val="08-Tabelageral"/>
              <w:rPr>
                <w:rFonts w:cs="Arial"/>
                <w:szCs w:val="14"/>
              </w:rPr>
            </w:pPr>
            <w:r>
              <w:rPr>
                <w:rFonts w:cs="Arial"/>
                <w:szCs w:val="14"/>
              </w:rPr>
              <w:t>--</w:t>
            </w:r>
          </w:p>
        </w:tc>
        <w:tc>
          <w:tcPr>
            <w:tcW w:w="1418" w:type="dxa"/>
            <w:tcBorders>
              <w:bottom w:val="nil"/>
            </w:tcBorders>
            <w:shd w:val="clear" w:color="auto" w:fill="auto"/>
          </w:tcPr>
          <w:p w14:paraId="17F0903D" w14:textId="77777777" w:rsidR="00931938" w:rsidRPr="00BC7DA5" w:rsidRDefault="00931938" w:rsidP="007E01C4">
            <w:pPr>
              <w:pStyle w:val="08-Tabelageral"/>
              <w:rPr>
                <w:rFonts w:cs="Arial"/>
                <w:szCs w:val="14"/>
              </w:rPr>
            </w:pPr>
            <w:r>
              <w:rPr>
                <w:rFonts w:cs="Arial"/>
                <w:szCs w:val="14"/>
              </w:rPr>
              <w:t>20</w:t>
            </w:r>
          </w:p>
        </w:tc>
      </w:tr>
      <w:tr w:rsidR="00931938" w:rsidRPr="00BC7DA5" w14:paraId="157A33CF" w14:textId="77777777" w:rsidTr="00AB4D1D">
        <w:trPr>
          <w:trHeight w:val="238"/>
          <w:jc w:val="center"/>
        </w:trPr>
        <w:tc>
          <w:tcPr>
            <w:tcW w:w="3094" w:type="dxa"/>
            <w:tcBorders>
              <w:top w:val="nil"/>
              <w:bottom w:val="single" w:sz="2" w:space="0" w:color="1F4E79" w:themeColor="accent1" w:themeShade="80"/>
            </w:tcBorders>
            <w:shd w:val="clear" w:color="auto" w:fill="auto"/>
          </w:tcPr>
          <w:p w14:paraId="05327545" w14:textId="77777777" w:rsidR="00931938" w:rsidRPr="00BC7DA5" w:rsidRDefault="00931938" w:rsidP="007E01C4">
            <w:pPr>
              <w:pStyle w:val="08-Tabelageral"/>
              <w:ind w:left="113"/>
              <w:jc w:val="left"/>
              <w:rPr>
                <w:rFonts w:cs="Arial"/>
              </w:rPr>
            </w:pPr>
            <w:r>
              <w:rPr>
                <w:rFonts w:cs="Arial"/>
              </w:rPr>
              <w:t>Social contribution</w:t>
            </w:r>
          </w:p>
        </w:tc>
        <w:tc>
          <w:tcPr>
            <w:tcW w:w="604" w:type="dxa"/>
            <w:tcBorders>
              <w:top w:val="nil"/>
              <w:bottom w:val="single" w:sz="2" w:space="0" w:color="1F4E79" w:themeColor="accent1" w:themeShade="80"/>
            </w:tcBorders>
            <w:shd w:val="clear" w:color="auto" w:fill="auto"/>
          </w:tcPr>
          <w:p w14:paraId="7BC99C7A" w14:textId="77777777" w:rsidR="00931938" w:rsidRPr="00BC7DA5" w:rsidRDefault="00931938" w:rsidP="007E01C4">
            <w:pPr>
              <w:pStyle w:val="08-Tabelageral"/>
              <w:jc w:val="center"/>
              <w:rPr>
                <w:rFonts w:cs="Arial"/>
                <w:szCs w:val="14"/>
              </w:rPr>
            </w:pPr>
          </w:p>
        </w:tc>
        <w:tc>
          <w:tcPr>
            <w:tcW w:w="1411" w:type="dxa"/>
            <w:tcBorders>
              <w:top w:val="nil"/>
              <w:bottom w:val="single" w:sz="2" w:space="0" w:color="1F4E79" w:themeColor="accent1" w:themeShade="80"/>
            </w:tcBorders>
            <w:shd w:val="clear" w:color="auto" w:fill="auto"/>
          </w:tcPr>
          <w:p w14:paraId="0084DEF0" w14:textId="77777777" w:rsidR="00931938" w:rsidRPr="00BC7DA5" w:rsidRDefault="00931938" w:rsidP="007E01C4">
            <w:pPr>
              <w:pStyle w:val="08-Tabelageral"/>
              <w:rPr>
                <w:rFonts w:cs="Arial"/>
                <w:szCs w:val="14"/>
              </w:rPr>
            </w:pPr>
            <w:r>
              <w:rPr>
                <w:rFonts w:cs="Arial"/>
                <w:szCs w:val="14"/>
              </w:rPr>
              <w:t>3</w:t>
            </w:r>
          </w:p>
        </w:tc>
        <w:tc>
          <w:tcPr>
            <w:tcW w:w="1412" w:type="dxa"/>
            <w:tcBorders>
              <w:top w:val="nil"/>
              <w:bottom w:val="single" w:sz="2" w:space="0" w:color="1F4E79" w:themeColor="accent1" w:themeShade="80"/>
            </w:tcBorders>
            <w:shd w:val="clear" w:color="auto" w:fill="auto"/>
          </w:tcPr>
          <w:p w14:paraId="046953AA" w14:textId="77777777" w:rsidR="00931938" w:rsidRPr="00BC7DA5" w:rsidRDefault="00931938" w:rsidP="007E01C4">
            <w:pPr>
              <w:pStyle w:val="08-Tabelageral"/>
              <w:rPr>
                <w:rFonts w:cs="Arial"/>
              </w:rPr>
            </w:pPr>
            <w:r>
              <w:rPr>
                <w:rFonts w:cs="Arial"/>
              </w:rPr>
              <w:t>5</w:t>
            </w:r>
          </w:p>
        </w:tc>
        <w:tc>
          <w:tcPr>
            <w:tcW w:w="283" w:type="dxa"/>
            <w:tcBorders>
              <w:top w:val="nil"/>
              <w:bottom w:val="single" w:sz="2" w:space="0" w:color="1F4E79" w:themeColor="accent1" w:themeShade="80"/>
            </w:tcBorders>
            <w:shd w:val="clear" w:color="auto" w:fill="auto"/>
          </w:tcPr>
          <w:p w14:paraId="57BB5642" w14:textId="77777777" w:rsidR="00931938" w:rsidRPr="00BC7DA5" w:rsidRDefault="00931938" w:rsidP="007E01C4">
            <w:pPr>
              <w:pStyle w:val="08-Tabelageral"/>
              <w:rPr>
                <w:rFonts w:cs="Arial"/>
                <w:szCs w:val="14"/>
              </w:rPr>
            </w:pPr>
          </w:p>
        </w:tc>
        <w:tc>
          <w:tcPr>
            <w:tcW w:w="1417" w:type="dxa"/>
            <w:tcBorders>
              <w:top w:val="nil"/>
              <w:bottom w:val="single" w:sz="2" w:space="0" w:color="1F4E79" w:themeColor="accent1" w:themeShade="80"/>
            </w:tcBorders>
            <w:shd w:val="clear" w:color="auto" w:fill="auto"/>
          </w:tcPr>
          <w:p w14:paraId="48E8FB79" w14:textId="77777777" w:rsidR="00931938" w:rsidRPr="00BC7DA5" w:rsidRDefault="00931938" w:rsidP="007E01C4">
            <w:pPr>
              <w:pStyle w:val="08-Tabelageral"/>
              <w:rPr>
                <w:rFonts w:cs="Arial"/>
                <w:szCs w:val="14"/>
              </w:rPr>
            </w:pPr>
            <w:r>
              <w:rPr>
                <w:rFonts w:cs="Arial"/>
                <w:szCs w:val="14"/>
              </w:rPr>
              <w:t>--</w:t>
            </w:r>
          </w:p>
        </w:tc>
        <w:tc>
          <w:tcPr>
            <w:tcW w:w="1418" w:type="dxa"/>
            <w:tcBorders>
              <w:top w:val="nil"/>
              <w:bottom w:val="single" w:sz="2" w:space="0" w:color="1F4E79" w:themeColor="accent1" w:themeShade="80"/>
            </w:tcBorders>
            <w:shd w:val="clear" w:color="auto" w:fill="auto"/>
          </w:tcPr>
          <w:p w14:paraId="2D043536" w14:textId="77777777" w:rsidR="00931938" w:rsidRPr="00BC7DA5" w:rsidRDefault="00931938" w:rsidP="007E01C4">
            <w:pPr>
              <w:pStyle w:val="08-Tabelageral"/>
              <w:rPr>
                <w:rFonts w:cs="Arial"/>
                <w:szCs w:val="14"/>
              </w:rPr>
            </w:pPr>
            <w:r>
              <w:rPr>
                <w:rFonts w:cs="Arial"/>
                <w:szCs w:val="14"/>
              </w:rPr>
              <w:t>8</w:t>
            </w:r>
          </w:p>
        </w:tc>
      </w:tr>
    </w:tbl>
    <w:p w14:paraId="0C2241DA" w14:textId="77777777" w:rsidR="00931938" w:rsidRDefault="00931938">
      <w:pPr>
        <w:rPr>
          <w:rFonts w:cs="Arial"/>
          <w:b/>
          <w:color w:val="1F4E79" w:themeColor="accent1" w:themeShade="80"/>
          <w:szCs w:val="18"/>
        </w:rPr>
      </w:pPr>
    </w:p>
    <w:p w14:paraId="1944FDC6" w14:textId="77777777" w:rsidR="00931938" w:rsidRPr="00FF3D4B" w:rsidRDefault="00931938" w:rsidP="00182E21">
      <w:pPr>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931938" w:rsidRPr="00AB4D1D" w14:paraId="27FF8874" w14:textId="77777777" w:rsidTr="00AB4D1D">
        <w:trPr>
          <w:trHeight w:val="238"/>
          <w:jc w:val="center"/>
        </w:trPr>
        <w:tc>
          <w:tcPr>
            <w:tcW w:w="3094" w:type="dxa"/>
            <w:tcBorders>
              <w:top w:val="single" w:sz="2" w:space="0" w:color="1F4E79" w:themeColor="accent1" w:themeShade="80"/>
              <w:bottom w:val="nil"/>
            </w:tcBorders>
            <w:shd w:val="clear" w:color="auto" w:fill="auto"/>
          </w:tcPr>
          <w:p w14:paraId="06C8438A" w14:textId="77777777" w:rsidR="00931938" w:rsidRPr="00AB4D1D" w:rsidRDefault="00931938" w:rsidP="009E0C5D">
            <w:pPr>
              <w:spacing w:after="0"/>
              <w:jc w:val="center"/>
              <w:rPr>
                <w:rFonts w:cs="Arial"/>
                <w:b/>
                <w:szCs w:val="18"/>
              </w:rPr>
            </w:pPr>
          </w:p>
        </w:tc>
        <w:tc>
          <w:tcPr>
            <w:tcW w:w="604" w:type="dxa"/>
            <w:tcBorders>
              <w:top w:val="single" w:sz="2" w:space="0" w:color="1F4E79" w:themeColor="accent1" w:themeShade="80"/>
              <w:bottom w:val="nil"/>
            </w:tcBorders>
            <w:shd w:val="clear" w:color="auto" w:fill="auto"/>
          </w:tcPr>
          <w:p w14:paraId="4BD3B7DC" w14:textId="77777777" w:rsidR="00931938" w:rsidRPr="00AB4D1D" w:rsidRDefault="00931938" w:rsidP="009E0C5D">
            <w:pPr>
              <w:spacing w:after="0"/>
              <w:jc w:val="center"/>
              <w:rPr>
                <w:rFonts w:cs="Arial"/>
                <w:b/>
                <w:szCs w:val="18"/>
              </w:rPr>
            </w:pPr>
          </w:p>
        </w:tc>
        <w:tc>
          <w:tcPr>
            <w:tcW w:w="5941" w:type="dxa"/>
            <w:gridSpan w:val="5"/>
            <w:tcBorders>
              <w:top w:val="single" w:sz="2" w:space="0" w:color="1F4E79" w:themeColor="accent1" w:themeShade="80"/>
              <w:bottom w:val="single" w:sz="2" w:space="0" w:color="1F4E79" w:themeColor="accent1" w:themeShade="80"/>
            </w:tcBorders>
            <w:shd w:val="clear" w:color="auto" w:fill="auto"/>
            <w:vAlign w:val="center"/>
          </w:tcPr>
          <w:p w14:paraId="14414BA4" w14:textId="77777777" w:rsidR="00931938" w:rsidRPr="00AB4D1D" w:rsidRDefault="00931938" w:rsidP="00786B75">
            <w:pPr>
              <w:spacing w:after="0"/>
              <w:jc w:val="center"/>
              <w:rPr>
                <w:rFonts w:cs="Arial"/>
                <w:b/>
                <w:sz w:val="14"/>
                <w:szCs w:val="14"/>
              </w:rPr>
            </w:pPr>
            <w:r w:rsidRPr="00AB4D1D">
              <w:rPr>
                <w:rFonts w:cs="Arial"/>
                <w:b/>
                <w:sz w:val="14"/>
                <w:szCs w:val="14"/>
              </w:rPr>
              <w:t>Consolidated</w:t>
            </w:r>
          </w:p>
        </w:tc>
      </w:tr>
      <w:tr w:rsidR="00931938" w:rsidRPr="00AB4D1D" w14:paraId="07549CC3" w14:textId="77777777" w:rsidTr="00AB4D1D">
        <w:trPr>
          <w:trHeight w:val="238"/>
          <w:jc w:val="center"/>
        </w:trPr>
        <w:tc>
          <w:tcPr>
            <w:tcW w:w="3094" w:type="dxa"/>
            <w:tcBorders>
              <w:top w:val="nil"/>
              <w:bottom w:val="single" w:sz="2" w:space="0" w:color="1F4E79" w:themeColor="accent1" w:themeShade="80"/>
            </w:tcBorders>
            <w:shd w:val="clear" w:color="auto" w:fill="auto"/>
          </w:tcPr>
          <w:p w14:paraId="1122949F" w14:textId="77777777" w:rsidR="00931938" w:rsidRPr="00AB4D1D" w:rsidRDefault="00931938" w:rsidP="00504124">
            <w:pPr>
              <w:pStyle w:val="08-Tabelageral"/>
              <w:rPr>
                <w:rFonts w:cs="Arial"/>
                <w:b/>
              </w:rPr>
            </w:pPr>
          </w:p>
        </w:tc>
        <w:tc>
          <w:tcPr>
            <w:tcW w:w="604" w:type="dxa"/>
            <w:tcBorders>
              <w:top w:val="nil"/>
              <w:bottom w:val="single" w:sz="2" w:space="0" w:color="1F4E79" w:themeColor="accent1" w:themeShade="80"/>
            </w:tcBorders>
            <w:shd w:val="clear" w:color="auto" w:fill="auto"/>
          </w:tcPr>
          <w:p w14:paraId="76AC605D" w14:textId="77777777" w:rsidR="00931938" w:rsidRPr="00AB4D1D" w:rsidRDefault="00931938" w:rsidP="00504124">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4DF9D05D" w14:textId="77777777" w:rsidR="00931938" w:rsidRPr="00AB4D1D" w:rsidRDefault="00931938" w:rsidP="00C7126A">
            <w:pPr>
              <w:pStyle w:val="08-Tabelageral"/>
              <w:rPr>
                <w:rFonts w:cs="Arial"/>
                <w:b/>
              </w:rPr>
            </w:pPr>
            <w:r w:rsidRPr="00AB4D1D">
              <w:rPr>
                <w:b/>
              </w:rPr>
              <w:t>Dec 31, 2021</w:t>
            </w:r>
          </w:p>
        </w:tc>
        <w:tc>
          <w:tcPr>
            <w:tcW w:w="1412" w:type="dxa"/>
            <w:tcBorders>
              <w:top w:val="single" w:sz="2" w:space="0" w:color="1F4E79" w:themeColor="accent1" w:themeShade="80"/>
              <w:bottom w:val="single" w:sz="2" w:space="0" w:color="1F4E79" w:themeColor="accent1" w:themeShade="80"/>
            </w:tcBorders>
            <w:shd w:val="clear" w:color="auto" w:fill="auto"/>
          </w:tcPr>
          <w:p w14:paraId="03BB4DF0" w14:textId="77777777" w:rsidR="00931938" w:rsidRPr="00AB4D1D" w:rsidRDefault="00931938" w:rsidP="00504124">
            <w:pPr>
              <w:pStyle w:val="08-Tabelageral"/>
              <w:rPr>
                <w:rFonts w:cs="Arial"/>
                <w:b/>
              </w:rPr>
            </w:pPr>
            <w:r w:rsidRPr="00AB4D1D">
              <w:rPr>
                <w:b/>
              </w:rPr>
              <w:t>Addition</w:t>
            </w:r>
          </w:p>
        </w:tc>
        <w:tc>
          <w:tcPr>
            <w:tcW w:w="283" w:type="dxa"/>
            <w:tcBorders>
              <w:top w:val="single" w:sz="2" w:space="0" w:color="1F4E79" w:themeColor="accent1" w:themeShade="80"/>
              <w:bottom w:val="single" w:sz="2" w:space="0" w:color="1F4E79" w:themeColor="accent1" w:themeShade="80"/>
            </w:tcBorders>
            <w:shd w:val="clear" w:color="auto" w:fill="auto"/>
          </w:tcPr>
          <w:p w14:paraId="43A9B4F9" w14:textId="77777777" w:rsidR="00931938" w:rsidRPr="00AB4D1D" w:rsidRDefault="00931938" w:rsidP="00504124">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6090848E" w14:textId="77777777" w:rsidR="00931938" w:rsidRPr="00AB4D1D" w:rsidRDefault="00931938" w:rsidP="00504124">
            <w:pPr>
              <w:pStyle w:val="08-Tabelageral"/>
              <w:rPr>
                <w:rFonts w:cs="Arial"/>
                <w:b/>
                <w:vertAlign w:val="superscript"/>
              </w:rPr>
            </w:pPr>
            <w:r w:rsidRPr="00AB4D1D">
              <w:rPr>
                <w:b/>
              </w:rPr>
              <w:t>Derecognition</w:t>
            </w:r>
            <w:r w:rsidRPr="00AB4D1D">
              <w:rPr>
                <w:b/>
                <w:vertAlign w:val="superscript"/>
              </w:rPr>
              <w:t xml:space="preserve"> (1)</w:t>
            </w:r>
          </w:p>
        </w:tc>
        <w:tc>
          <w:tcPr>
            <w:tcW w:w="1418" w:type="dxa"/>
            <w:tcBorders>
              <w:top w:val="single" w:sz="2" w:space="0" w:color="1F4E79" w:themeColor="accent1" w:themeShade="80"/>
              <w:bottom w:val="single" w:sz="2" w:space="0" w:color="1F4E79" w:themeColor="accent1" w:themeShade="80"/>
            </w:tcBorders>
            <w:shd w:val="clear" w:color="auto" w:fill="auto"/>
          </w:tcPr>
          <w:p w14:paraId="233A1C18" w14:textId="77777777" w:rsidR="00931938" w:rsidRPr="00AB4D1D" w:rsidRDefault="00931938" w:rsidP="00C7126A">
            <w:pPr>
              <w:pStyle w:val="08-Tabelageral"/>
              <w:rPr>
                <w:rFonts w:cs="Arial"/>
                <w:b/>
              </w:rPr>
            </w:pPr>
            <w:r w:rsidRPr="00AB4D1D">
              <w:rPr>
                <w:b/>
              </w:rPr>
              <w:t>Dec 31, 2022</w:t>
            </w:r>
          </w:p>
        </w:tc>
      </w:tr>
      <w:tr w:rsidR="00931938" w:rsidRPr="00AB4D1D" w14:paraId="180C9936" w14:textId="77777777" w:rsidTr="00AB4D1D">
        <w:trPr>
          <w:trHeight w:val="238"/>
          <w:jc w:val="center"/>
        </w:trPr>
        <w:tc>
          <w:tcPr>
            <w:tcW w:w="3094" w:type="dxa"/>
            <w:tcBorders>
              <w:top w:val="single" w:sz="2" w:space="0" w:color="1F4E79" w:themeColor="accent1" w:themeShade="80"/>
            </w:tcBorders>
            <w:shd w:val="clear" w:color="auto" w:fill="auto"/>
          </w:tcPr>
          <w:p w14:paraId="540EA8B9" w14:textId="77777777" w:rsidR="00931938" w:rsidRPr="00AB4D1D" w:rsidRDefault="00931938" w:rsidP="009E0C5D">
            <w:pPr>
              <w:pStyle w:val="08-Tabelageral"/>
              <w:jc w:val="left"/>
              <w:rPr>
                <w:rFonts w:cs="Arial"/>
                <w:b/>
                <w:bCs/>
                <w:szCs w:val="14"/>
              </w:rPr>
            </w:pPr>
            <w:r w:rsidRPr="00AB4D1D">
              <w:rPr>
                <w:rFonts w:cs="Arial"/>
                <w:b/>
                <w:szCs w:val="14"/>
              </w:rPr>
              <w:t>Temporary differences</w:t>
            </w:r>
          </w:p>
        </w:tc>
        <w:tc>
          <w:tcPr>
            <w:tcW w:w="604" w:type="dxa"/>
            <w:tcBorders>
              <w:top w:val="single" w:sz="2" w:space="0" w:color="1F4E79" w:themeColor="accent1" w:themeShade="80"/>
            </w:tcBorders>
            <w:shd w:val="clear" w:color="auto" w:fill="auto"/>
          </w:tcPr>
          <w:p w14:paraId="516BB0C6" w14:textId="77777777" w:rsidR="00931938" w:rsidRPr="00AB4D1D" w:rsidRDefault="00931938" w:rsidP="009E0C5D">
            <w:pPr>
              <w:pStyle w:val="08-Tabelageral"/>
              <w:jc w:val="left"/>
              <w:rPr>
                <w:rFonts w:cs="Arial"/>
                <w:b/>
                <w:bCs/>
                <w:szCs w:val="14"/>
              </w:rPr>
            </w:pPr>
          </w:p>
        </w:tc>
        <w:tc>
          <w:tcPr>
            <w:tcW w:w="1411" w:type="dxa"/>
            <w:tcBorders>
              <w:top w:val="single" w:sz="2" w:space="0" w:color="1F4E79" w:themeColor="accent1" w:themeShade="80"/>
            </w:tcBorders>
            <w:shd w:val="clear" w:color="auto" w:fill="auto"/>
          </w:tcPr>
          <w:p w14:paraId="2B698787" w14:textId="77777777" w:rsidR="00931938" w:rsidRPr="00AB4D1D" w:rsidRDefault="00931938" w:rsidP="00545651">
            <w:pPr>
              <w:pStyle w:val="08-Tabelageral"/>
              <w:rPr>
                <w:rFonts w:cs="Arial"/>
                <w:b/>
                <w:bCs/>
                <w:szCs w:val="14"/>
              </w:rPr>
            </w:pPr>
          </w:p>
        </w:tc>
        <w:tc>
          <w:tcPr>
            <w:tcW w:w="1412" w:type="dxa"/>
            <w:tcBorders>
              <w:top w:val="single" w:sz="2" w:space="0" w:color="1F4E79" w:themeColor="accent1" w:themeShade="80"/>
            </w:tcBorders>
            <w:shd w:val="clear" w:color="auto" w:fill="auto"/>
          </w:tcPr>
          <w:p w14:paraId="0A811997" w14:textId="77777777" w:rsidR="00931938" w:rsidRPr="00AB4D1D" w:rsidRDefault="00931938" w:rsidP="009E0C5D">
            <w:pPr>
              <w:pStyle w:val="08-Tabelageral"/>
              <w:rPr>
                <w:rFonts w:cs="Arial"/>
                <w:b/>
                <w:bCs/>
                <w:szCs w:val="14"/>
              </w:rPr>
            </w:pPr>
          </w:p>
        </w:tc>
        <w:tc>
          <w:tcPr>
            <w:tcW w:w="283" w:type="dxa"/>
            <w:tcBorders>
              <w:top w:val="single" w:sz="2" w:space="0" w:color="1F4E79" w:themeColor="accent1" w:themeShade="80"/>
            </w:tcBorders>
            <w:shd w:val="clear" w:color="auto" w:fill="auto"/>
          </w:tcPr>
          <w:p w14:paraId="15BF7DA4" w14:textId="77777777" w:rsidR="00931938" w:rsidRPr="00AB4D1D" w:rsidRDefault="00931938" w:rsidP="009E0C5D">
            <w:pPr>
              <w:pStyle w:val="08-Tabelageral"/>
              <w:jc w:val="left"/>
              <w:rPr>
                <w:rFonts w:cs="Arial"/>
                <w:b/>
                <w:bCs/>
                <w:szCs w:val="14"/>
              </w:rPr>
            </w:pPr>
          </w:p>
        </w:tc>
        <w:tc>
          <w:tcPr>
            <w:tcW w:w="1417" w:type="dxa"/>
            <w:tcBorders>
              <w:top w:val="single" w:sz="2" w:space="0" w:color="1F4E79" w:themeColor="accent1" w:themeShade="80"/>
            </w:tcBorders>
            <w:shd w:val="clear" w:color="auto" w:fill="auto"/>
          </w:tcPr>
          <w:p w14:paraId="6E43B080" w14:textId="77777777" w:rsidR="00931938" w:rsidRPr="00AB4D1D" w:rsidRDefault="00931938" w:rsidP="009E0C5D">
            <w:pPr>
              <w:pStyle w:val="08-Tabelageral"/>
              <w:jc w:val="left"/>
              <w:rPr>
                <w:rFonts w:cs="Arial"/>
                <w:b/>
                <w:bCs/>
                <w:szCs w:val="14"/>
              </w:rPr>
            </w:pPr>
          </w:p>
        </w:tc>
        <w:tc>
          <w:tcPr>
            <w:tcW w:w="1418" w:type="dxa"/>
            <w:tcBorders>
              <w:top w:val="single" w:sz="2" w:space="0" w:color="1F4E79" w:themeColor="accent1" w:themeShade="80"/>
            </w:tcBorders>
            <w:shd w:val="clear" w:color="auto" w:fill="auto"/>
          </w:tcPr>
          <w:p w14:paraId="35D719FC" w14:textId="77777777" w:rsidR="00931938" w:rsidRPr="00AB4D1D" w:rsidRDefault="00931938" w:rsidP="009E0C5D">
            <w:pPr>
              <w:pStyle w:val="08-Tabelageral"/>
              <w:rPr>
                <w:rFonts w:cs="Arial"/>
                <w:b/>
                <w:bCs/>
                <w:szCs w:val="14"/>
              </w:rPr>
            </w:pPr>
          </w:p>
        </w:tc>
      </w:tr>
      <w:tr w:rsidR="00931938" w:rsidRPr="00AB4D1D" w14:paraId="2894B466" w14:textId="77777777" w:rsidTr="00AB4D1D">
        <w:trPr>
          <w:trHeight w:val="238"/>
          <w:jc w:val="center"/>
        </w:trPr>
        <w:tc>
          <w:tcPr>
            <w:tcW w:w="3094" w:type="dxa"/>
            <w:shd w:val="clear" w:color="auto" w:fill="auto"/>
          </w:tcPr>
          <w:p w14:paraId="365E7D17" w14:textId="77777777" w:rsidR="00931938" w:rsidRPr="00AB4D1D" w:rsidRDefault="00931938" w:rsidP="00FA50D3">
            <w:pPr>
              <w:pStyle w:val="08-Tabelageral"/>
              <w:ind w:left="113"/>
              <w:jc w:val="left"/>
              <w:rPr>
                <w:rFonts w:cs="Arial"/>
                <w:szCs w:val="14"/>
              </w:rPr>
            </w:pPr>
            <w:r w:rsidRPr="00AB4D1D">
              <w:rPr>
                <w:rFonts w:cs="Arial"/>
                <w:szCs w:val="14"/>
              </w:rPr>
              <w:t>Liabilities provision</w:t>
            </w:r>
          </w:p>
        </w:tc>
        <w:tc>
          <w:tcPr>
            <w:tcW w:w="604" w:type="dxa"/>
            <w:shd w:val="clear" w:color="auto" w:fill="auto"/>
          </w:tcPr>
          <w:p w14:paraId="61F1B857" w14:textId="77777777" w:rsidR="00931938" w:rsidRPr="00AB4D1D" w:rsidRDefault="00931938" w:rsidP="00FA50D3">
            <w:pPr>
              <w:pStyle w:val="08-Tabelageral"/>
              <w:ind w:left="113"/>
              <w:jc w:val="center"/>
              <w:rPr>
                <w:rFonts w:cs="Arial"/>
                <w:szCs w:val="14"/>
              </w:rPr>
            </w:pPr>
          </w:p>
        </w:tc>
        <w:tc>
          <w:tcPr>
            <w:tcW w:w="1411" w:type="dxa"/>
            <w:shd w:val="clear" w:color="auto" w:fill="auto"/>
          </w:tcPr>
          <w:p w14:paraId="1139CB68" w14:textId="77777777" w:rsidR="00931938" w:rsidRPr="00AB4D1D" w:rsidRDefault="00931938" w:rsidP="00FA50D3">
            <w:pPr>
              <w:pStyle w:val="08-Tabelageral"/>
              <w:ind w:left="113"/>
              <w:rPr>
                <w:rFonts w:cs="Arial"/>
                <w:szCs w:val="14"/>
              </w:rPr>
            </w:pPr>
            <w:r w:rsidRPr="00AB4D1D">
              <w:rPr>
                <w:rFonts w:cs="Arial"/>
                <w:szCs w:val="14"/>
              </w:rPr>
              <w:t>32,367</w:t>
            </w:r>
          </w:p>
        </w:tc>
        <w:tc>
          <w:tcPr>
            <w:tcW w:w="1412" w:type="dxa"/>
            <w:shd w:val="clear" w:color="auto" w:fill="auto"/>
          </w:tcPr>
          <w:p w14:paraId="713D1A89" w14:textId="77777777" w:rsidR="00931938" w:rsidRPr="00AB4D1D" w:rsidRDefault="00931938" w:rsidP="00FA50D3">
            <w:pPr>
              <w:pStyle w:val="08-Tabelageral"/>
              <w:ind w:left="113"/>
              <w:rPr>
                <w:rFonts w:cs="Arial"/>
              </w:rPr>
            </w:pPr>
            <w:r w:rsidRPr="00AB4D1D">
              <w:rPr>
                <w:rFonts w:cs="Arial"/>
              </w:rPr>
              <w:t>29,649</w:t>
            </w:r>
          </w:p>
        </w:tc>
        <w:tc>
          <w:tcPr>
            <w:tcW w:w="283" w:type="dxa"/>
            <w:shd w:val="clear" w:color="auto" w:fill="auto"/>
          </w:tcPr>
          <w:p w14:paraId="502FFE18" w14:textId="77777777" w:rsidR="00931938" w:rsidRPr="00AB4D1D" w:rsidRDefault="00931938" w:rsidP="00FA50D3">
            <w:pPr>
              <w:pStyle w:val="08-Tabelageral"/>
              <w:ind w:left="113"/>
              <w:rPr>
                <w:rFonts w:cs="Arial"/>
                <w:szCs w:val="14"/>
              </w:rPr>
            </w:pPr>
          </w:p>
        </w:tc>
        <w:tc>
          <w:tcPr>
            <w:tcW w:w="1417" w:type="dxa"/>
            <w:shd w:val="clear" w:color="auto" w:fill="auto"/>
          </w:tcPr>
          <w:p w14:paraId="5C33B02A" w14:textId="77777777" w:rsidR="00931938" w:rsidRPr="00AB4D1D" w:rsidRDefault="00931938" w:rsidP="00FA50D3">
            <w:pPr>
              <w:pStyle w:val="08-Tabelageral"/>
              <w:ind w:left="113"/>
              <w:rPr>
                <w:rFonts w:cs="Arial"/>
                <w:szCs w:val="14"/>
              </w:rPr>
            </w:pPr>
            <w:r w:rsidRPr="00AB4D1D">
              <w:rPr>
                <w:rFonts w:cs="Arial"/>
                <w:szCs w:val="14"/>
              </w:rPr>
              <w:t>(57,296)</w:t>
            </w:r>
          </w:p>
        </w:tc>
        <w:tc>
          <w:tcPr>
            <w:tcW w:w="1418" w:type="dxa"/>
            <w:shd w:val="clear" w:color="auto" w:fill="auto"/>
          </w:tcPr>
          <w:p w14:paraId="45FA261B" w14:textId="77777777" w:rsidR="00931938" w:rsidRPr="00AB4D1D" w:rsidRDefault="00931938" w:rsidP="00FA50D3">
            <w:pPr>
              <w:pStyle w:val="08-Tabelageral"/>
              <w:ind w:left="113"/>
              <w:rPr>
                <w:rFonts w:cs="Arial"/>
                <w:szCs w:val="14"/>
              </w:rPr>
            </w:pPr>
            <w:r w:rsidRPr="00AB4D1D">
              <w:rPr>
                <w:rFonts w:cs="Arial"/>
                <w:szCs w:val="14"/>
              </w:rPr>
              <w:t>4,720</w:t>
            </w:r>
          </w:p>
        </w:tc>
      </w:tr>
      <w:tr w:rsidR="00931938" w:rsidRPr="00AB4D1D" w14:paraId="35E10CB5" w14:textId="77777777" w:rsidTr="00AB4D1D">
        <w:trPr>
          <w:trHeight w:val="238"/>
          <w:jc w:val="center"/>
        </w:trPr>
        <w:tc>
          <w:tcPr>
            <w:tcW w:w="3094" w:type="dxa"/>
            <w:shd w:val="clear" w:color="auto" w:fill="auto"/>
          </w:tcPr>
          <w:p w14:paraId="6BD977AE" w14:textId="77777777" w:rsidR="00931938" w:rsidRPr="00AB4D1D" w:rsidRDefault="00931938" w:rsidP="00FA50D3">
            <w:pPr>
              <w:pStyle w:val="08-Tabelageral"/>
              <w:ind w:left="113"/>
              <w:jc w:val="left"/>
              <w:rPr>
                <w:rFonts w:cs="Arial"/>
                <w:szCs w:val="14"/>
              </w:rPr>
            </w:pPr>
            <w:r w:rsidRPr="00AB4D1D">
              <w:rPr>
                <w:rFonts w:cs="Arial"/>
                <w:szCs w:val="14"/>
              </w:rPr>
              <w:t>Amortization of goodwill</w:t>
            </w:r>
          </w:p>
        </w:tc>
        <w:tc>
          <w:tcPr>
            <w:tcW w:w="604" w:type="dxa"/>
            <w:shd w:val="clear" w:color="auto" w:fill="auto"/>
          </w:tcPr>
          <w:p w14:paraId="10D14B1F" w14:textId="77777777" w:rsidR="00931938" w:rsidRPr="00AB4D1D" w:rsidRDefault="00931938" w:rsidP="00FA50D3">
            <w:pPr>
              <w:pStyle w:val="08-Tabelageral"/>
              <w:ind w:left="113"/>
              <w:jc w:val="center"/>
              <w:rPr>
                <w:rFonts w:cs="Arial"/>
                <w:szCs w:val="14"/>
              </w:rPr>
            </w:pPr>
          </w:p>
        </w:tc>
        <w:tc>
          <w:tcPr>
            <w:tcW w:w="1411" w:type="dxa"/>
            <w:shd w:val="clear" w:color="auto" w:fill="auto"/>
          </w:tcPr>
          <w:p w14:paraId="483B8FF2" w14:textId="77777777" w:rsidR="00931938" w:rsidRPr="00AB4D1D" w:rsidRDefault="00931938" w:rsidP="00FA50D3">
            <w:pPr>
              <w:pStyle w:val="08-Tabelageral"/>
              <w:ind w:left="113"/>
              <w:rPr>
                <w:rFonts w:cs="Arial"/>
                <w:szCs w:val="14"/>
              </w:rPr>
            </w:pPr>
            <w:r w:rsidRPr="00AB4D1D">
              <w:rPr>
                <w:rFonts w:cs="Arial"/>
                <w:szCs w:val="14"/>
              </w:rPr>
              <w:t>3,053</w:t>
            </w:r>
          </w:p>
        </w:tc>
        <w:tc>
          <w:tcPr>
            <w:tcW w:w="1412" w:type="dxa"/>
            <w:shd w:val="clear" w:color="auto" w:fill="auto"/>
          </w:tcPr>
          <w:p w14:paraId="300E0CC8" w14:textId="77777777" w:rsidR="00931938" w:rsidRPr="00AB4D1D" w:rsidRDefault="00931938" w:rsidP="00FA50D3">
            <w:pPr>
              <w:pStyle w:val="08-Tabelageral"/>
              <w:ind w:left="113"/>
              <w:rPr>
                <w:rFonts w:cs="Arial"/>
              </w:rPr>
            </w:pPr>
            <w:r w:rsidRPr="00AB4D1D">
              <w:rPr>
                <w:rFonts w:cs="Arial"/>
              </w:rPr>
              <w:t>--</w:t>
            </w:r>
          </w:p>
        </w:tc>
        <w:tc>
          <w:tcPr>
            <w:tcW w:w="283" w:type="dxa"/>
            <w:shd w:val="clear" w:color="auto" w:fill="auto"/>
          </w:tcPr>
          <w:p w14:paraId="260D34A4" w14:textId="77777777" w:rsidR="00931938" w:rsidRPr="00AB4D1D" w:rsidRDefault="00931938" w:rsidP="00FA50D3">
            <w:pPr>
              <w:pStyle w:val="08-Tabelageral"/>
              <w:ind w:left="113"/>
              <w:rPr>
                <w:rFonts w:cs="Arial"/>
                <w:szCs w:val="14"/>
              </w:rPr>
            </w:pPr>
          </w:p>
        </w:tc>
        <w:tc>
          <w:tcPr>
            <w:tcW w:w="1417" w:type="dxa"/>
            <w:shd w:val="clear" w:color="auto" w:fill="auto"/>
          </w:tcPr>
          <w:p w14:paraId="63A94534" w14:textId="77777777" w:rsidR="00931938" w:rsidRPr="00AB4D1D" w:rsidRDefault="00931938" w:rsidP="00FA50D3">
            <w:pPr>
              <w:pStyle w:val="08-Tabelageral"/>
              <w:ind w:left="113"/>
              <w:rPr>
                <w:rFonts w:cs="Arial"/>
                <w:szCs w:val="14"/>
              </w:rPr>
            </w:pPr>
            <w:r w:rsidRPr="00AB4D1D">
              <w:rPr>
                <w:rFonts w:cs="Arial"/>
                <w:szCs w:val="14"/>
              </w:rPr>
              <w:t>--</w:t>
            </w:r>
          </w:p>
        </w:tc>
        <w:tc>
          <w:tcPr>
            <w:tcW w:w="1418" w:type="dxa"/>
            <w:shd w:val="clear" w:color="auto" w:fill="auto"/>
          </w:tcPr>
          <w:p w14:paraId="6FD0BC9F" w14:textId="77777777" w:rsidR="00931938" w:rsidRPr="00AB4D1D" w:rsidRDefault="00931938" w:rsidP="00FA50D3">
            <w:pPr>
              <w:pStyle w:val="08-Tabelageral"/>
              <w:ind w:left="113"/>
              <w:rPr>
                <w:rFonts w:cs="Arial"/>
                <w:szCs w:val="14"/>
              </w:rPr>
            </w:pPr>
            <w:r w:rsidRPr="00AB4D1D">
              <w:rPr>
                <w:rFonts w:cs="Arial"/>
                <w:szCs w:val="14"/>
              </w:rPr>
              <w:t>3,053</w:t>
            </w:r>
          </w:p>
        </w:tc>
      </w:tr>
      <w:tr w:rsidR="00931938" w:rsidRPr="00AB4D1D" w14:paraId="6A53EE91" w14:textId="77777777" w:rsidTr="00AB4D1D">
        <w:trPr>
          <w:trHeight w:val="238"/>
          <w:jc w:val="center"/>
        </w:trPr>
        <w:tc>
          <w:tcPr>
            <w:tcW w:w="3094" w:type="dxa"/>
            <w:shd w:val="clear" w:color="auto" w:fill="auto"/>
          </w:tcPr>
          <w:p w14:paraId="15B159CB" w14:textId="77777777" w:rsidR="00931938" w:rsidRPr="00AB4D1D" w:rsidRDefault="00931938" w:rsidP="00FA50D3">
            <w:pPr>
              <w:pStyle w:val="08-Tabelageral"/>
              <w:jc w:val="left"/>
              <w:rPr>
                <w:rFonts w:cs="Arial"/>
                <w:b/>
              </w:rPr>
            </w:pPr>
            <w:r w:rsidRPr="00AB4D1D">
              <w:rPr>
                <w:rFonts w:cs="Arial"/>
                <w:b/>
              </w:rPr>
              <w:t>Total deferred tax assets</w:t>
            </w:r>
          </w:p>
        </w:tc>
        <w:tc>
          <w:tcPr>
            <w:tcW w:w="604" w:type="dxa"/>
            <w:shd w:val="clear" w:color="auto" w:fill="auto"/>
          </w:tcPr>
          <w:p w14:paraId="4FCE72A6" w14:textId="77777777" w:rsidR="00931938" w:rsidRPr="00AB4D1D" w:rsidRDefault="00931938" w:rsidP="00FA50D3">
            <w:pPr>
              <w:pStyle w:val="08-Tabelageral"/>
              <w:jc w:val="center"/>
              <w:rPr>
                <w:rFonts w:cs="Arial"/>
                <w:b/>
                <w:szCs w:val="14"/>
              </w:rPr>
            </w:pPr>
          </w:p>
        </w:tc>
        <w:tc>
          <w:tcPr>
            <w:tcW w:w="1411" w:type="dxa"/>
            <w:shd w:val="clear" w:color="auto" w:fill="auto"/>
          </w:tcPr>
          <w:p w14:paraId="3E112318" w14:textId="77777777" w:rsidR="00931938" w:rsidRPr="00AB4D1D" w:rsidRDefault="00931938" w:rsidP="00FA50D3">
            <w:pPr>
              <w:pStyle w:val="08-Tabelageral"/>
              <w:rPr>
                <w:rFonts w:cs="Arial"/>
                <w:b/>
                <w:szCs w:val="14"/>
              </w:rPr>
            </w:pPr>
            <w:r w:rsidRPr="00AB4D1D">
              <w:rPr>
                <w:rFonts w:cs="Arial"/>
                <w:b/>
                <w:szCs w:val="14"/>
              </w:rPr>
              <w:t>35,420</w:t>
            </w:r>
          </w:p>
        </w:tc>
        <w:tc>
          <w:tcPr>
            <w:tcW w:w="1412" w:type="dxa"/>
            <w:shd w:val="clear" w:color="auto" w:fill="auto"/>
          </w:tcPr>
          <w:p w14:paraId="327C32ED" w14:textId="77777777" w:rsidR="00931938" w:rsidRPr="00AB4D1D" w:rsidRDefault="00931938" w:rsidP="00FA50D3">
            <w:pPr>
              <w:pStyle w:val="08-Tabelageral"/>
              <w:rPr>
                <w:rFonts w:cs="Arial"/>
                <w:b/>
              </w:rPr>
            </w:pPr>
            <w:r w:rsidRPr="00AB4D1D">
              <w:rPr>
                <w:rFonts w:cs="Arial"/>
                <w:b/>
              </w:rPr>
              <w:t>29,649</w:t>
            </w:r>
          </w:p>
        </w:tc>
        <w:tc>
          <w:tcPr>
            <w:tcW w:w="283" w:type="dxa"/>
            <w:shd w:val="clear" w:color="auto" w:fill="auto"/>
          </w:tcPr>
          <w:p w14:paraId="61BA7474" w14:textId="77777777" w:rsidR="00931938" w:rsidRPr="00AB4D1D" w:rsidRDefault="00931938" w:rsidP="00FA50D3">
            <w:pPr>
              <w:pStyle w:val="08-Tabelageral"/>
              <w:rPr>
                <w:rFonts w:cs="Arial"/>
                <w:b/>
                <w:szCs w:val="14"/>
              </w:rPr>
            </w:pPr>
          </w:p>
        </w:tc>
        <w:tc>
          <w:tcPr>
            <w:tcW w:w="1417" w:type="dxa"/>
            <w:shd w:val="clear" w:color="auto" w:fill="auto"/>
          </w:tcPr>
          <w:p w14:paraId="4912757C" w14:textId="77777777" w:rsidR="00931938" w:rsidRPr="00AB4D1D" w:rsidRDefault="00931938" w:rsidP="00FA50D3">
            <w:pPr>
              <w:pStyle w:val="08-Tabelageral"/>
              <w:rPr>
                <w:rFonts w:cs="Arial"/>
                <w:b/>
                <w:szCs w:val="14"/>
              </w:rPr>
            </w:pPr>
            <w:r w:rsidRPr="00AB4D1D">
              <w:rPr>
                <w:rFonts w:cs="Arial"/>
                <w:b/>
                <w:szCs w:val="14"/>
              </w:rPr>
              <w:t>(57,296)</w:t>
            </w:r>
          </w:p>
        </w:tc>
        <w:tc>
          <w:tcPr>
            <w:tcW w:w="1418" w:type="dxa"/>
            <w:shd w:val="clear" w:color="auto" w:fill="auto"/>
          </w:tcPr>
          <w:p w14:paraId="6431ECBD" w14:textId="77777777" w:rsidR="00931938" w:rsidRPr="00AB4D1D" w:rsidRDefault="00931938" w:rsidP="00FA50D3">
            <w:pPr>
              <w:pStyle w:val="08-Tabelageral"/>
              <w:rPr>
                <w:rFonts w:cs="Arial"/>
                <w:b/>
                <w:szCs w:val="14"/>
              </w:rPr>
            </w:pPr>
            <w:r w:rsidRPr="00AB4D1D">
              <w:rPr>
                <w:rFonts w:cs="Arial"/>
                <w:b/>
                <w:szCs w:val="14"/>
              </w:rPr>
              <w:t>7,773</w:t>
            </w:r>
          </w:p>
        </w:tc>
      </w:tr>
      <w:tr w:rsidR="00931938" w:rsidRPr="00AB4D1D" w14:paraId="22E0B2A0" w14:textId="77777777" w:rsidTr="00AB4D1D">
        <w:trPr>
          <w:trHeight w:val="238"/>
          <w:jc w:val="center"/>
        </w:trPr>
        <w:tc>
          <w:tcPr>
            <w:tcW w:w="3094" w:type="dxa"/>
            <w:tcBorders>
              <w:bottom w:val="nil"/>
            </w:tcBorders>
            <w:shd w:val="clear" w:color="auto" w:fill="auto"/>
          </w:tcPr>
          <w:p w14:paraId="30F41DB3" w14:textId="77777777" w:rsidR="00931938" w:rsidRPr="00AB4D1D" w:rsidRDefault="00931938" w:rsidP="00FA50D3">
            <w:pPr>
              <w:pStyle w:val="08-Tabelageral"/>
              <w:ind w:left="113"/>
              <w:jc w:val="left"/>
              <w:rPr>
                <w:rFonts w:cs="Arial"/>
              </w:rPr>
            </w:pPr>
            <w:r w:rsidRPr="00AB4D1D">
              <w:rPr>
                <w:rFonts w:cs="Arial"/>
              </w:rPr>
              <w:t>Incone tax</w:t>
            </w:r>
          </w:p>
        </w:tc>
        <w:tc>
          <w:tcPr>
            <w:tcW w:w="604" w:type="dxa"/>
            <w:tcBorders>
              <w:bottom w:val="nil"/>
            </w:tcBorders>
            <w:shd w:val="clear" w:color="auto" w:fill="auto"/>
          </w:tcPr>
          <w:p w14:paraId="20241A85" w14:textId="77777777" w:rsidR="00931938" w:rsidRPr="00AB4D1D" w:rsidRDefault="00931938" w:rsidP="00FA50D3">
            <w:pPr>
              <w:pStyle w:val="08-Tabelageral"/>
              <w:jc w:val="center"/>
              <w:rPr>
                <w:rFonts w:cs="Arial"/>
                <w:szCs w:val="14"/>
              </w:rPr>
            </w:pPr>
          </w:p>
        </w:tc>
        <w:tc>
          <w:tcPr>
            <w:tcW w:w="1411" w:type="dxa"/>
            <w:tcBorders>
              <w:bottom w:val="nil"/>
            </w:tcBorders>
            <w:shd w:val="clear" w:color="auto" w:fill="auto"/>
          </w:tcPr>
          <w:p w14:paraId="241A2687" w14:textId="77777777" w:rsidR="00931938" w:rsidRPr="00AB4D1D" w:rsidRDefault="00931938" w:rsidP="00FA50D3">
            <w:pPr>
              <w:pStyle w:val="08-Tabelageral"/>
              <w:rPr>
                <w:rFonts w:cs="Arial"/>
                <w:szCs w:val="14"/>
              </w:rPr>
            </w:pPr>
            <w:r w:rsidRPr="00AB4D1D">
              <w:rPr>
                <w:rFonts w:cs="Arial"/>
                <w:szCs w:val="14"/>
              </w:rPr>
              <w:t>26,851</w:t>
            </w:r>
          </w:p>
        </w:tc>
        <w:tc>
          <w:tcPr>
            <w:tcW w:w="1412" w:type="dxa"/>
            <w:tcBorders>
              <w:bottom w:val="nil"/>
            </w:tcBorders>
            <w:shd w:val="clear" w:color="auto" w:fill="auto"/>
          </w:tcPr>
          <w:p w14:paraId="1A44C417" w14:textId="77777777" w:rsidR="00931938" w:rsidRPr="00AB4D1D" w:rsidRDefault="00931938" w:rsidP="00FA50D3">
            <w:pPr>
              <w:pStyle w:val="08-Tabelageral"/>
              <w:rPr>
                <w:rFonts w:cs="Arial"/>
              </w:rPr>
            </w:pPr>
            <w:r w:rsidRPr="00AB4D1D">
              <w:rPr>
                <w:rFonts w:cs="Arial"/>
              </w:rPr>
              <w:t>21,800</w:t>
            </w:r>
          </w:p>
        </w:tc>
        <w:tc>
          <w:tcPr>
            <w:tcW w:w="283" w:type="dxa"/>
            <w:tcBorders>
              <w:bottom w:val="nil"/>
            </w:tcBorders>
            <w:shd w:val="clear" w:color="auto" w:fill="auto"/>
          </w:tcPr>
          <w:p w14:paraId="5B235EED" w14:textId="77777777" w:rsidR="00931938" w:rsidRPr="00AB4D1D" w:rsidRDefault="00931938" w:rsidP="00FA50D3">
            <w:pPr>
              <w:pStyle w:val="08-Tabelageral"/>
              <w:rPr>
                <w:rFonts w:cs="Arial"/>
                <w:szCs w:val="14"/>
              </w:rPr>
            </w:pPr>
          </w:p>
        </w:tc>
        <w:tc>
          <w:tcPr>
            <w:tcW w:w="1417" w:type="dxa"/>
            <w:tcBorders>
              <w:bottom w:val="nil"/>
            </w:tcBorders>
            <w:shd w:val="clear" w:color="auto" w:fill="auto"/>
          </w:tcPr>
          <w:p w14:paraId="76FD8941" w14:textId="77777777" w:rsidR="00931938" w:rsidRPr="00AB4D1D" w:rsidRDefault="00931938" w:rsidP="00FA50D3">
            <w:pPr>
              <w:pStyle w:val="08-Tabelageral"/>
              <w:rPr>
                <w:rFonts w:cs="Arial"/>
                <w:szCs w:val="14"/>
              </w:rPr>
            </w:pPr>
            <w:r w:rsidRPr="00AB4D1D">
              <w:rPr>
                <w:rFonts w:cs="Arial"/>
                <w:szCs w:val="14"/>
              </w:rPr>
              <w:t>(42,130)</w:t>
            </w:r>
          </w:p>
        </w:tc>
        <w:tc>
          <w:tcPr>
            <w:tcW w:w="1418" w:type="dxa"/>
            <w:tcBorders>
              <w:bottom w:val="nil"/>
            </w:tcBorders>
            <w:shd w:val="clear" w:color="auto" w:fill="auto"/>
          </w:tcPr>
          <w:p w14:paraId="778776AD" w14:textId="77777777" w:rsidR="00931938" w:rsidRPr="00AB4D1D" w:rsidRDefault="00931938" w:rsidP="00FA50D3">
            <w:pPr>
              <w:pStyle w:val="08-Tabelageral"/>
              <w:rPr>
                <w:rFonts w:cs="Arial"/>
                <w:szCs w:val="14"/>
              </w:rPr>
            </w:pPr>
            <w:r w:rsidRPr="00AB4D1D">
              <w:rPr>
                <w:rFonts w:cs="Arial"/>
                <w:szCs w:val="14"/>
              </w:rPr>
              <w:t>6,521</w:t>
            </w:r>
          </w:p>
        </w:tc>
      </w:tr>
      <w:tr w:rsidR="00931938" w:rsidRPr="00AB4D1D" w14:paraId="7141A15C" w14:textId="77777777" w:rsidTr="00AB4D1D">
        <w:trPr>
          <w:trHeight w:val="238"/>
          <w:jc w:val="center"/>
        </w:trPr>
        <w:tc>
          <w:tcPr>
            <w:tcW w:w="3094" w:type="dxa"/>
            <w:tcBorders>
              <w:top w:val="nil"/>
              <w:bottom w:val="single" w:sz="2" w:space="0" w:color="1F4E79" w:themeColor="accent1" w:themeShade="80"/>
            </w:tcBorders>
            <w:shd w:val="clear" w:color="auto" w:fill="auto"/>
          </w:tcPr>
          <w:p w14:paraId="21316DA2" w14:textId="77777777" w:rsidR="00931938" w:rsidRPr="00AB4D1D" w:rsidRDefault="00931938" w:rsidP="00FA50D3">
            <w:pPr>
              <w:pStyle w:val="08-Tabelageral"/>
              <w:ind w:left="113"/>
              <w:jc w:val="left"/>
              <w:rPr>
                <w:rFonts w:cs="Arial"/>
              </w:rPr>
            </w:pPr>
            <w:r w:rsidRPr="00AB4D1D">
              <w:rPr>
                <w:rFonts w:cs="Arial"/>
              </w:rPr>
              <w:t>Social contribution</w:t>
            </w:r>
          </w:p>
        </w:tc>
        <w:tc>
          <w:tcPr>
            <w:tcW w:w="604" w:type="dxa"/>
            <w:tcBorders>
              <w:top w:val="nil"/>
              <w:bottom w:val="single" w:sz="2" w:space="0" w:color="1F4E79" w:themeColor="accent1" w:themeShade="80"/>
            </w:tcBorders>
            <w:shd w:val="clear" w:color="auto" w:fill="auto"/>
          </w:tcPr>
          <w:p w14:paraId="00479A99" w14:textId="77777777" w:rsidR="00931938" w:rsidRPr="00AB4D1D" w:rsidRDefault="00931938" w:rsidP="00FA50D3">
            <w:pPr>
              <w:pStyle w:val="08-Tabelageral"/>
              <w:jc w:val="center"/>
              <w:rPr>
                <w:rFonts w:cs="Arial"/>
                <w:szCs w:val="14"/>
              </w:rPr>
            </w:pPr>
          </w:p>
        </w:tc>
        <w:tc>
          <w:tcPr>
            <w:tcW w:w="1411" w:type="dxa"/>
            <w:tcBorders>
              <w:top w:val="nil"/>
              <w:bottom w:val="single" w:sz="2" w:space="0" w:color="1F4E79" w:themeColor="accent1" w:themeShade="80"/>
            </w:tcBorders>
            <w:shd w:val="clear" w:color="auto" w:fill="auto"/>
          </w:tcPr>
          <w:p w14:paraId="5602A2A4" w14:textId="77777777" w:rsidR="00931938" w:rsidRPr="00AB4D1D" w:rsidRDefault="00931938" w:rsidP="00FA50D3">
            <w:pPr>
              <w:pStyle w:val="08-Tabelageral"/>
              <w:rPr>
                <w:rFonts w:cs="Arial"/>
                <w:szCs w:val="14"/>
              </w:rPr>
            </w:pPr>
            <w:r w:rsidRPr="00AB4D1D">
              <w:rPr>
                <w:rFonts w:cs="Arial"/>
                <w:szCs w:val="14"/>
              </w:rPr>
              <w:t>8,569</w:t>
            </w:r>
          </w:p>
        </w:tc>
        <w:tc>
          <w:tcPr>
            <w:tcW w:w="1412" w:type="dxa"/>
            <w:tcBorders>
              <w:top w:val="nil"/>
              <w:bottom w:val="single" w:sz="2" w:space="0" w:color="1F4E79" w:themeColor="accent1" w:themeShade="80"/>
            </w:tcBorders>
            <w:shd w:val="clear" w:color="auto" w:fill="auto"/>
          </w:tcPr>
          <w:p w14:paraId="3E265D39" w14:textId="77777777" w:rsidR="00931938" w:rsidRPr="00AB4D1D" w:rsidRDefault="00931938" w:rsidP="00FA50D3">
            <w:pPr>
              <w:pStyle w:val="08-Tabelageral"/>
              <w:rPr>
                <w:rFonts w:cs="Arial"/>
              </w:rPr>
            </w:pPr>
            <w:r w:rsidRPr="00AB4D1D">
              <w:rPr>
                <w:rFonts w:cs="Arial"/>
              </w:rPr>
              <w:t>7,849</w:t>
            </w:r>
          </w:p>
        </w:tc>
        <w:tc>
          <w:tcPr>
            <w:tcW w:w="283" w:type="dxa"/>
            <w:tcBorders>
              <w:top w:val="nil"/>
              <w:bottom w:val="single" w:sz="2" w:space="0" w:color="1F4E79" w:themeColor="accent1" w:themeShade="80"/>
            </w:tcBorders>
            <w:shd w:val="clear" w:color="auto" w:fill="auto"/>
          </w:tcPr>
          <w:p w14:paraId="60D32E4B" w14:textId="77777777" w:rsidR="00931938" w:rsidRPr="00AB4D1D" w:rsidRDefault="00931938" w:rsidP="00FA50D3">
            <w:pPr>
              <w:pStyle w:val="08-Tabelageral"/>
              <w:rPr>
                <w:rFonts w:cs="Arial"/>
                <w:szCs w:val="14"/>
              </w:rPr>
            </w:pPr>
          </w:p>
        </w:tc>
        <w:tc>
          <w:tcPr>
            <w:tcW w:w="1417" w:type="dxa"/>
            <w:tcBorders>
              <w:top w:val="nil"/>
              <w:bottom w:val="single" w:sz="2" w:space="0" w:color="1F4E79" w:themeColor="accent1" w:themeShade="80"/>
            </w:tcBorders>
            <w:shd w:val="clear" w:color="auto" w:fill="auto"/>
          </w:tcPr>
          <w:p w14:paraId="20A3E43D" w14:textId="77777777" w:rsidR="00931938" w:rsidRPr="00AB4D1D" w:rsidRDefault="00931938" w:rsidP="00FA50D3">
            <w:pPr>
              <w:pStyle w:val="08-Tabelageral"/>
              <w:rPr>
                <w:rFonts w:cs="Arial"/>
                <w:szCs w:val="14"/>
              </w:rPr>
            </w:pPr>
            <w:r w:rsidRPr="00AB4D1D">
              <w:rPr>
                <w:rFonts w:cs="Arial"/>
                <w:szCs w:val="14"/>
              </w:rPr>
              <w:t>(15,166)</w:t>
            </w:r>
          </w:p>
        </w:tc>
        <w:tc>
          <w:tcPr>
            <w:tcW w:w="1418" w:type="dxa"/>
            <w:tcBorders>
              <w:top w:val="nil"/>
              <w:bottom w:val="single" w:sz="2" w:space="0" w:color="1F4E79" w:themeColor="accent1" w:themeShade="80"/>
            </w:tcBorders>
            <w:shd w:val="clear" w:color="auto" w:fill="auto"/>
          </w:tcPr>
          <w:p w14:paraId="4A77CEB4" w14:textId="77777777" w:rsidR="00931938" w:rsidRPr="00AB4D1D" w:rsidRDefault="00931938" w:rsidP="00FA50D3">
            <w:pPr>
              <w:pStyle w:val="08-Tabelageral"/>
              <w:rPr>
                <w:rFonts w:cs="Arial"/>
                <w:szCs w:val="14"/>
              </w:rPr>
            </w:pPr>
            <w:r w:rsidRPr="00AB4D1D">
              <w:rPr>
                <w:rFonts w:cs="Arial"/>
                <w:szCs w:val="14"/>
              </w:rPr>
              <w:t>1,252</w:t>
            </w:r>
          </w:p>
        </w:tc>
      </w:tr>
    </w:tbl>
    <w:p w14:paraId="7DD83BAE" w14:textId="77777777" w:rsidR="00931938" w:rsidRPr="000F4307" w:rsidRDefault="00931938" w:rsidP="00931938">
      <w:pPr>
        <w:pStyle w:val="PargrafodaLista"/>
        <w:numPr>
          <w:ilvl w:val="0"/>
          <w:numId w:val="35"/>
        </w:numPr>
        <w:jc w:val="both"/>
        <w:rPr>
          <w:rFonts w:ascii="Arial" w:hAnsi="Arial" w:cs="Arial"/>
          <w:sz w:val="14"/>
          <w:szCs w:val="14"/>
          <w:lang w:val="en-US"/>
        </w:rPr>
      </w:pPr>
      <w:r w:rsidRPr="000F4307">
        <w:rPr>
          <w:rFonts w:ascii="Arial" w:hAnsi="Arial" w:cs="Arial"/>
          <w:sz w:val="14"/>
          <w:szCs w:val="14"/>
          <w:lang w:val="en-US"/>
        </w:rPr>
        <w:t>Refers mainly to the write-off</w:t>
      </w:r>
      <w:r>
        <w:rPr>
          <w:rFonts w:ascii="Arial" w:hAnsi="Arial" w:cs="Arial"/>
          <w:sz w:val="14"/>
          <w:szCs w:val="14"/>
          <w:lang w:val="en-US"/>
        </w:rPr>
        <w:t xml:space="preserve"> of the provision for brokerage to be returned to Brasilprev, according to explanatory note 13.</w:t>
      </w:r>
    </w:p>
    <w:p w14:paraId="6B768CC0" w14:textId="77777777" w:rsidR="00931938" w:rsidRPr="000F4307" w:rsidRDefault="00931938" w:rsidP="00D061BE">
      <w:pPr>
        <w:keepNext/>
        <w:keepLines/>
        <w:spacing w:after="40"/>
        <w:rPr>
          <w:rFonts w:cs="Arial"/>
          <w:b/>
          <w:color w:val="1F4E79" w:themeColor="accent1" w:themeShade="80"/>
          <w:szCs w:val="18"/>
          <w:lang w:val="en-US"/>
        </w:rPr>
      </w:pPr>
      <w:r w:rsidRPr="000F4307">
        <w:rPr>
          <w:rFonts w:cs="Arial"/>
          <w:b/>
          <w:color w:val="1F4E79" w:themeColor="accent1" w:themeShade="80"/>
          <w:szCs w:val="18"/>
          <w:lang w:val="en-US"/>
        </w:rPr>
        <w:lastRenderedPageBreak/>
        <w:t>f) Expected Realization</w:t>
      </w:r>
    </w:p>
    <w:p w14:paraId="3E029C68" w14:textId="77777777" w:rsidR="00931938" w:rsidRPr="00FF3D4B" w:rsidRDefault="00931938" w:rsidP="005B40B4">
      <w:pPr>
        <w:keepNext/>
        <w:keepLines/>
        <w:spacing w:after="0" w:line="240" w:lineRule="auto"/>
        <w:jc w:val="right"/>
        <w:rPr>
          <w:rFonts w:cs="Arial"/>
          <w:b/>
          <w:sz w:val="14"/>
          <w:lang w:eastAsia="pt-BR"/>
        </w:rPr>
      </w:pPr>
      <w:r w:rsidRPr="00FF3D4B">
        <w:rPr>
          <w:rFonts w:cs="Arial"/>
          <w:b/>
          <w:sz w:val="14"/>
          <w:lang w:eastAsia="pt-BR"/>
        </w:rPr>
        <w:t xml:space="preserve">R$ </w:t>
      </w:r>
      <w:r w:rsidRPr="00044999">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931938" w:rsidRPr="00786B75" w14:paraId="25D5DC0D" w14:textId="77777777" w:rsidTr="00AB4D1D">
        <w:trPr>
          <w:trHeight w:val="238"/>
          <w:jc w:val="center"/>
        </w:trPr>
        <w:tc>
          <w:tcPr>
            <w:tcW w:w="3094" w:type="dxa"/>
            <w:tcBorders>
              <w:top w:val="single" w:sz="2" w:space="0" w:color="1F4E79" w:themeColor="accent1" w:themeShade="80"/>
              <w:bottom w:val="nil"/>
            </w:tcBorders>
            <w:shd w:val="clear" w:color="auto" w:fill="auto"/>
          </w:tcPr>
          <w:p w14:paraId="053728F6" w14:textId="77777777" w:rsidR="00931938" w:rsidRPr="00786B75" w:rsidRDefault="00931938" w:rsidP="00775513">
            <w:pPr>
              <w:keepNext/>
              <w:keepLines/>
              <w:spacing w:after="0"/>
              <w:jc w:val="center"/>
              <w:rPr>
                <w:rFonts w:cs="Arial"/>
                <w:b/>
                <w:szCs w:val="18"/>
              </w:rPr>
            </w:pPr>
          </w:p>
        </w:tc>
        <w:tc>
          <w:tcPr>
            <w:tcW w:w="604" w:type="dxa"/>
            <w:tcBorders>
              <w:top w:val="single" w:sz="2" w:space="0" w:color="1F4E79" w:themeColor="accent1" w:themeShade="80"/>
              <w:bottom w:val="nil"/>
            </w:tcBorders>
            <w:shd w:val="clear" w:color="auto" w:fill="auto"/>
          </w:tcPr>
          <w:p w14:paraId="302B1D6A" w14:textId="77777777" w:rsidR="00931938" w:rsidRPr="00786B75" w:rsidRDefault="00931938" w:rsidP="00775513">
            <w:pPr>
              <w:keepNext/>
              <w:keepLines/>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01144042" w14:textId="77777777" w:rsidR="00931938" w:rsidRPr="00775513" w:rsidRDefault="00931938" w:rsidP="00775513">
            <w:pPr>
              <w:keepNext/>
              <w:keepLines/>
              <w:spacing w:after="0"/>
              <w:jc w:val="center"/>
              <w:rPr>
                <w:rFonts w:cs="Arial"/>
                <w:b/>
                <w:sz w:val="14"/>
                <w:szCs w:val="18"/>
              </w:rPr>
            </w:pPr>
            <w:r w:rsidRPr="00775513">
              <w:rPr>
                <w:rFonts w:cs="Arial"/>
                <w:b/>
                <w:sz w:val="14"/>
                <w:szCs w:val="18"/>
              </w:rPr>
              <w:t>Parent</w:t>
            </w:r>
          </w:p>
        </w:tc>
        <w:tc>
          <w:tcPr>
            <w:tcW w:w="283" w:type="dxa"/>
            <w:tcBorders>
              <w:top w:val="single" w:sz="2" w:space="0" w:color="1F4E79" w:themeColor="accent1" w:themeShade="80"/>
              <w:bottom w:val="nil"/>
            </w:tcBorders>
            <w:shd w:val="clear" w:color="auto" w:fill="auto"/>
          </w:tcPr>
          <w:p w14:paraId="00F1C1CD" w14:textId="77777777" w:rsidR="00931938" w:rsidRPr="00775513" w:rsidRDefault="00931938" w:rsidP="00775513">
            <w:pPr>
              <w:keepNext/>
              <w:keepLines/>
              <w:spacing w:after="0"/>
              <w:jc w:val="center"/>
              <w:rPr>
                <w:rFonts w:cs="Arial"/>
                <w:b/>
                <w:szCs w:val="18"/>
              </w:rPr>
            </w:pPr>
          </w:p>
        </w:tc>
        <w:tc>
          <w:tcPr>
            <w:tcW w:w="2835" w:type="dxa"/>
            <w:gridSpan w:val="2"/>
            <w:tcBorders>
              <w:top w:val="single" w:sz="2" w:space="0" w:color="1F4E79" w:themeColor="accent1" w:themeShade="80"/>
              <w:bottom w:val="single" w:sz="2" w:space="0" w:color="8EAADB" w:themeColor="accent5" w:themeTint="99"/>
            </w:tcBorders>
            <w:shd w:val="clear" w:color="auto" w:fill="auto"/>
            <w:vAlign w:val="center"/>
          </w:tcPr>
          <w:p w14:paraId="55A49430" w14:textId="77777777" w:rsidR="00931938" w:rsidRPr="00775513" w:rsidRDefault="00931938" w:rsidP="00775513">
            <w:pPr>
              <w:keepNext/>
              <w:keepLines/>
              <w:spacing w:after="0"/>
              <w:jc w:val="center"/>
              <w:rPr>
                <w:rFonts w:cs="Arial"/>
                <w:b/>
                <w:szCs w:val="18"/>
              </w:rPr>
            </w:pPr>
            <w:r w:rsidRPr="00775513">
              <w:rPr>
                <w:rFonts w:cs="Arial"/>
                <w:b/>
                <w:sz w:val="14"/>
                <w:szCs w:val="18"/>
              </w:rPr>
              <w:t>Consolidated</w:t>
            </w:r>
          </w:p>
        </w:tc>
      </w:tr>
      <w:tr w:rsidR="00931938" w:rsidRPr="00786B75" w14:paraId="64AF8BAC" w14:textId="77777777" w:rsidTr="00AB4D1D">
        <w:trPr>
          <w:trHeight w:val="238"/>
          <w:jc w:val="center"/>
        </w:trPr>
        <w:tc>
          <w:tcPr>
            <w:tcW w:w="3094" w:type="dxa"/>
            <w:tcBorders>
              <w:top w:val="nil"/>
              <w:bottom w:val="single" w:sz="2" w:space="0" w:color="1F4E79" w:themeColor="accent1" w:themeShade="80"/>
            </w:tcBorders>
            <w:shd w:val="clear" w:color="auto" w:fill="auto"/>
          </w:tcPr>
          <w:p w14:paraId="1867AB74" w14:textId="77777777" w:rsidR="00931938" w:rsidRPr="00786B75" w:rsidRDefault="00931938" w:rsidP="00D061BE">
            <w:pPr>
              <w:pStyle w:val="08-Tabelageral"/>
              <w:rPr>
                <w:rFonts w:cs="Arial"/>
                <w:b/>
              </w:rPr>
            </w:pPr>
          </w:p>
        </w:tc>
        <w:tc>
          <w:tcPr>
            <w:tcW w:w="604" w:type="dxa"/>
            <w:tcBorders>
              <w:top w:val="nil"/>
              <w:bottom w:val="single" w:sz="2" w:space="0" w:color="1F4E79" w:themeColor="accent1" w:themeShade="80"/>
            </w:tcBorders>
            <w:shd w:val="clear" w:color="auto" w:fill="auto"/>
          </w:tcPr>
          <w:p w14:paraId="5C29349D" w14:textId="77777777" w:rsidR="00931938" w:rsidRPr="00786B75" w:rsidRDefault="00931938" w:rsidP="00D061BE">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33D46312" w14:textId="77777777" w:rsidR="00931938" w:rsidRPr="00786B75" w:rsidRDefault="00931938" w:rsidP="00775513">
            <w:pPr>
              <w:pStyle w:val="08-Tabelageral"/>
              <w:rPr>
                <w:rFonts w:cs="Arial"/>
                <w:b/>
              </w:rPr>
            </w:pPr>
            <w:r>
              <w:rPr>
                <w:rFonts w:cs="Arial"/>
                <w:b/>
              </w:rPr>
              <w:t>Non Value</w:t>
            </w:r>
          </w:p>
        </w:tc>
        <w:tc>
          <w:tcPr>
            <w:tcW w:w="1412" w:type="dxa"/>
            <w:tcBorders>
              <w:top w:val="single" w:sz="2" w:space="0" w:color="1F4E79" w:themeColor="accent1" w:themeShade="80"/>
              <w:bottom w:val="single" w:sz="2" w:space="0" w:color="1F4E79" w:themeColor="accent1" w:themeShade="80"/>
            </w:tcBorders>
            <w:shd w:val="clear" w:color="auto" w:fill="auto"/>
          </w:tcPr>
          <w:p w14:paraId="75E982ED" w14:textId="77777777" w:rsidR="00931938" w:rsidRPr="00786B75" w:rsidRDefault="00931938" w:rsidP="00775513">
            <w:pPr>
              <w:pStyle w:val="08-Tabelageral"/>
              <w:rPr>
                <w:rFonts w:cs="Arial"/>
                <w:b/>
              </w:rPr>
            </w:pPr>
            <w:r>
              <w:rPr>
                <w:rFonts w:cs="Arial"/>
                <w:b/>
              </w:rPr>
              <w:t>Present Value</w:t>
            </w:r>
          </w:p>
        </w:tc>
        <w:tc>
          <w:tcPr>
            <w:tcW w:w="283" w:type="dxa"/>
            <w:tcBorders>
              <w:top w:val="nil"/>
              <w:bottom w:val="single" w:sz="2" w:space="0" w:color="1F4E79" w:themeColor="accent1" w:themeShade="80"/>
            </w:tcBorders>
            <w:shd w:val="clear" w:color="auto" w:fill="auto"/>
          </w:tcPr>
          <w:p w14:paraId="1A50B2B0" w14:textId="77777777" w:rsidR="00931938" w:rsidRPr="00786B75" w:rsidRDefault="00931938" w:rsidP="00D061BE">
            <w:pPr>
              <w:pStyle w:val="08-Tabelageral"/>
              <w:rPr>
                <w:rFonts w:cs="Arial"/>
                <w:b/>
              </w:rPr>
            </w:pPr>
          </w:p>
        </w:tc>
        <w:tc>
          <w:tcPr>
            <w:tcW w:w="1417" w:type="dxa"/>
            <w:tcBorders>
              <w:top w:val="single" w:sz="2" w:space="0" w:color="8EAADB" w:themeColor="accent5" w:themeTint="99"/>
              <w:bottom w:val="single" w:sz="2" w:space="0" w:color="1F4E79" w:themeColor="accent1" w:themeShade="80"/>
            </w:tcBorders>
            <w:shd w:val="clear" w:color="auto" w:fill="auto"/>
          </w:tcPr>
          <w:p w14:paraId="24E3D5B1" w14:textId="77777777" w:rsidR="00931938" w:rsidRPr="00786B75" w:rsidRDefault="00931938" w:rsidP="00D061BE">
            <w:pPr>
              <w:pStyle w:val="08-Tabelageral"/>
              <w:rPr>
                <w:rFonts w:cs="Arial"/>
                <w:b/>
              </w:rPr>
            </w:pPr>
            <w:r w:rsidRPr="00786B75">
              <w:rPr>
                <w:rFonts w:cs="Arial"/>
                <w:b/>
              </w:rPr>
              <w:t>Valor Nominal</w:t>
            </w:r>
          </w:p>
        </w:tc>
        <w:tc>
          <w:tcPr>
            <w:tcW w:w="1418" w:type="dxa"/>
            <w:tcBorders>
              <w:top w:val="single" w:sz="2" w:space="0" w:color="8EAADB" w:themeColor="accent5" w:themeTint="99"/>
              <w:bottom w:val="single" w:sz="2" w:space="0" w:color="1F4E79" w:themeColor="accent1" w:themeShade="80"/>
            </w:tcBorders>
            <w:shd w:val="clear" w:color="auto" w:fill="auto"/>
          </w:tcPr>
          <w:p w14:paraId="5389B347" w14:textId="77777777" w:rsidR="00931938" w:rsidRPr="00786B75" w:rsidRDefault="00931938" w:rsidP="00D061BE">
            <w:pPr>
              <w:pStyle w:val="08-Tabelageral"/>
              <w:rPr>
                <w:rFonts w:cs="Arial"/>
                <w:b/>
              </w:rPr>
            </w:pPr>
            <w:r w:rsidRPr="00786B75">
              <w:rPr>
                <w:rFonts w:cs="Arial"/>
                <w:b/>
              </w:rPr>
              <w:t>Valor Presente</w:t>
            </w:r>
          </w:p>
        </w:tc>
      </w:tr>
      <w:tr w:rsidR="00931938" w:rsidRPr="00786B75" w14:paraId="04C43F4F" w14:textId="77777777" w:rsidTr="00AB4D1D">
        <w:trPr>
          <w:trHeight w:val="238"/>
          <w:jc w:val="center"/>
        </w:trPr>
        <w:tc>
          <w:tcPr>
            <w:tcW w:w="3094" w:type="dxa"/>
            <w:tcBorders>
              <w:top w:val="single" w:sz="2" w:space="0" w:color="1F4E79" w:themeColor="accent1" w:themeShade="80"/>
            </w:tcBorders>
            <w:shd w:val="clear" w:color="auto" w:fill="auto"/>
          </w:tcPr>
          <w:p w14:paraId="3D8E405E" w14:textId="77777777" w:rsidR="00931938" w:rsidRPr="00786B75" w:rsidRDefault="00931938" w:rsidP="00857AE5">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3</w:t>
            </w:r>
          </w:p>
        </w:tc>
        <w:tc>
          <w:tcPr>
            <w:tcW w:w="604" w:type="dxa"/>
            <w:tcBorders>
              <w:top w:val="single" w:sz="2" w:space="0" w:color="1F4E79" w:themeColor="accent1" w:themeShade="80"/>
            </w:tcBorders>
            <w:shd w:val="clear" w:color="auto" w:fill="auto"/>
          </w:tcPr>
          <w:p w14:paraId="15482BCB" w14:textId="77777777" w:rsidR="00931938" w:rsidRPr="00786B75" w:rsidRDefault="00931938" w:rsidP="00857AE5">
            <w:pPr>
              <w:pStyle w:val="08-Tabelageral"/>
              <w:ind w:left="113"/>
              <w:jc w:val="center"/>
              <w:rPr>
                <w:rFonts w:cs="Arial"/>
                <w:szCs w:val="14"/>
              </w:rPr>
            </w:pPr>
          </w:p>
        </w:tc>
        <w:tc>
          <w:tcPr>
            <w:tcW w:w="1411" w:type="dxa"/>
            <w:tcBorders>
              <w:top w:val="single" w:sz="2" w:space="0" w:color="1F4E79" w:themeColor="accent1" w:themeShade="80"/>
            </w:tcBorders>
            <w:shd w:val="clear" w:color="auto" w:fill="auto"/>
          </w:tcPr>
          <w:p w14:paraId="0CC4D5D4" w14:textId="77777777" w:rsidR="00931938" w:rsidRPr="00786B75" w:rsidRDefault="00931938" w:rsidP="00857AE5">
            <w:pPr>
              <w:pStyle w:val="08-Tabelageral"/>
              <w:ind w:left="113"/>
              <w:rPr>
                <w:rFonts w:cs="Arial"/>
                <w:szCs w:val="14"/>
              </w:rPr>
            </w:pPr>
            <w:r>
              <w:rPr>
                <w:rFonts w:cs="Arial"/>
                <w:szCs w:val="14"/>
              </w:rPr>
              <w:t>--</w:t>
            </w:r>
          </w:p>
        </w:tc>
        <w:tc>
          <w:tcPr>
            <w:tcW w:w="1412" w:type="dxa"/>
            <w:tcBorders>
              <w:top w:val="single" w:sz="2" w:space="0" w:color="1F4E79" w:themeColor="accent1" w:themeShade="80"/>
            </w:tcBorders>
            <w:shd w:val="clear" w:color="auto" w:fill="auto"/>
          </w:tcPr>
          <w:p w14:paraId="764BD9A3" w14:textId="77777777" w:rsidR="00931938" w:rsidRPr="00786B75" w:rsidRDefault="00931938" w:rsidP="00857AE5">
            <w:pPr>
              <w:pStyle w:val="08-Tabelageral"/>
              <w:rPr>
                <w:rFonts w:cs="Arial"/>
              </w:rPr>
            </w:pPr>
            <w:r>
              <w:rPr>
                <w:rFonts w:cs="Arial"/>
              </w:rPr>
              <w:t>--</w:t>
            </w:r>
          </w:p>
        </w:tc>
        <w:tc>
          <w:tcPr>
            <w:tcW w:w="283" w:type="dxa"/>
            <w:tcBorders>
              <w:top w:val="single" w:sz="2" w:space="0" w:color="1F4E79" w:themeColor="accent1" w:themeShade="80"/>
            </w:tcBorders>
            <w:shd w:val="clear" w:color="auto" w:fill="auto"/>
          </w:tcPr>
          <w:p w14:paraId="56E94830" w14:textId="77777777" w:rsidR="00931938" w:rsidRPr="00786B75" w:rsidRDefault="00931938" w:rsidP="00857AE5">
            <w:pPr>
              <w:pStyle w:val="08-Tabelageral"/>
              <w:ind w:left="113"/>
              <w:rPr>
                <w:rFonts w:cs="Arial"/>
                <w:szCs w:val="14"/>
              </w:rPr>
            </w:pPr>
          </w:p>
        </w:tc>
        <w:tc>
          <w:tcPr>
            <w:tcW w:w="1417" w:type="dxa"/>
            <w:tcBorders>
              <w:top w:val="single" w:sz="2" w:space="0" w:color="1F4E79" w:themeColor="accent1" w:themeShade="80"/>
            </w:tcBorders>
            <w:shd w:val="clear" w:color="auto" w:fill="auto"/>
          </w:tcPr>
          <w:p w14:paraId="4E832A96" w14:textId="77777777" w:rsidR="00931938" w:rsidRPr="00786B75" w:rsidRDefault="00931938" w:rsidP="00857AE5">
            <w:pPr>
              <w:pStyle w:val="08-Tabelageral"/>
              <w:ind w:left="113"/>
              <w:rPr>
                <w:rFonts w:cs="Arial"/>
                <w:szCs w:val="14"/>
              </w:rPr>
            </w:pPr>
            <w:r>
              <w:rPr>
                <w:rFonts w:cs="Arial"/>
                <w:szCs w:val="14"/>
              </w:rPr>
              <w:t>7,745</w:t>
            </w:r>
          </w:p>
        </w:tc>
        <w:tc>
          <w:tcPr>
            <w:tcW w:w="1418" w:type="dxa"/>
            <w:tcBorders>
              <w:top w:val="single" w:sz="2" w:space="0" w:color="1F4E79" w:themeColor="accent1" w:themeShade="80"/>
            </w:tcBorders>
            <w:shd w:val="clear" w:color="auto" w:fill="auto"/>
          </w:tcPr>
          <w:p w14:paraId="19058B78" w14:textId="77777777" w:rsidR="00931938" w:rsidRPr="00786B75" w:rsidRDefault="00931938" w:rsidP="00857AE5">
            <w:pPr>
              <w:pStyle w:val="08-Tabelageral"/>
              <w:rPr>
                <w:rFonts w:cs="Arial"/>
              </w:rPr>
            </w:pPr>
            <w:r>
              <w:rPr>
                <w:rFonts w:cs="Arial"/>
              </w:rPr>
              <w:t>6,724</w:t>
            </w:r>
          </w:p>
        </w:tc>
      </w:tr>
      <w:tr w:rsidR="00931938" w:rsidRPr="00786B75" w14:paraId="5902468E" w14:textId="77777777" w:rsidTr="00AB4D1D">
        <w:trPr>
          <w:trHeight w:val="238"/>
          <w:jc w:val="center"/>
        </w:trPr>
        <w:tc>
          <w:tcPr>
            <w:tcW w:w="3094" w:type="dxa"/>
            <w:shd w:val="clear" w:color="auto" w:fill="auto"/>
          </w:tcPr>
          <w:p w14:paraId="77BD5C76" w14:textId="77777777" w:rsidR="00931938" w:rsidRPr="00786B75" w:rsidRDefault="00931938" w:rsidP="00857AE5">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4</w:t>
            </w:r>
          </w:p>
        </w:tc>
        <w:tc>
          <w:tcPr>
            <w:tcW w:w="604" w:type="dxa"/>
            <w:shd w:val="clear" w:color="auto" w:fill="auto"/>
          </w:tcPr>
          <w:p w14:paraId="369125DC" w14:textId="77777777" w:rsidR="00931938" w:rsidRPr="00786B75" w:rsidRDefault="00931938" w:rsidP="00857AE5">
            <w:pPr>
              <w:pStyle w:val="08-Tabelageral"/>
              <w:ind w:left="113"/>
              <w:jc w:val="center"/>
              <w:rPr>
                <w:rFonts w:cs="Arial"/>
                <w:szCs w:val="14"/>
              </w:rPr>
            </w:pPr>
          </w:p>
        </w:tc>
        <w:tc>
          <w:tcPr>
            <w:tcW w:w="1411" w:type="dxa"/>
            <w:shd w:val="clear" w:color="auto" w:fill="auto"/>
          </w:tcPr>
          <w:p w14:paraId="796640A9" w14:textId="77777777" w:rsidR="00931938" w:rsidRPr="00786B75" w:rsidRDefault="00931938" w:rsidP="00857AE5">
            <w:pPr>
              <w:pStyle w:val="08-Tabelageral"/>
              <w:ind w:left="113"/>
              <w:rPr>
                <w:rFonts w:cs="Arial"/>
                <w:szCs w:val="14"/>
              </w:rPr>
            </w:pPr>
            <w:r>
              <w:rPr>
                <w:rFonts w:cs="Arial"/>
                <w:szCs w:val="14"/>
              </w:rPr>
              <w:t>28</w:t>
            </w:r>
          </w:p>
        </w:tc>
        <w:tc>
          <w:tcPr>
            <w:tcW w:w="1412" w:type="dxa"/>
            <w:shd w:val="clear" w:color="auto" w:fill="auto"/>
          </w:tcPr>
          <w:p w14:paraId="62CB8822" w14:textId="77777777" w:rsidR="00931938" w:rsidRPr="00786B75" w:rsidRDefault="00931938" w:rsidP="00857AE5">
            <w:pPr>
              <w:pStyle w:val="08-Tabelageral"/>
              <w:rPr>
                <w:rFonts w:cs="Arial"/>
              </w:rPr>
            </w:pPr>
            <w:r>
              <w:rPr>
                <w:rFonts w:cs="Arial"/>
              </w:rPr>
              <w:t>21</w:t>
            </w:r>
          </w:p>
        </w:tc>
        <w:tc>
          <w:tcPr>
            <w:tcW w:w="283" w:type="dxa"/>
            <w:shd w:val="clear" w:color="auto" w:fill="auto"/>
          </w:tcPr>
          <w:p w14:paraId="35325A31" w14:textId="77777777" w:rsidR="00931938" w:rsidRPr="00786B75" w:rsidRDefault="00931938" w:rsidP="00857AE5">
            <w:pPr>
              <w:pStyle w:val="08-Tabelageral"/>
              <w:ind w:left="113"/>
              <w:rPr>
                <w:rFonts w:cs="Arial"/>
                <w:szCs w:val="14"/>
              </w:rPr>
            </w:pPr>
          </w:p>
        </w:tc>
        <w:tc>
          <w:tcPr>
            <w:tcW w:w="1417" w:type="dxa"/>
            <w:shd w:val="clear" w:color="auto" w:fill="auto"/>
          </w:tcPr>
          <w:p w14:paraId="67BADB78" w14:textId="77777777" w:rsidR="00931938" w:rsidRPr="00786B75" w:rsidRDefault="00931938" w:rsidP="00857AE5">
            <w:pPr>
              <w:pStyle w:val="08-Tabelageral"/>
              <w:ind w:left="113"/>
              <w:rPr>
                <w:rFonts w:cs="Arial"/>
                <w:szCs w:val="14"/>
              </w:rPr>
            </w:pPr>
            <w:r>
              <w:rPr>
                <w:rFonts w:cs="Arial"/>
                <w:szCs w:val="14"/>
              </w:rPr>
              <w:t>28</w:t>
            </w:r>
          </w:p>
        </w:tc>
        <w:tc>
          <w:tcPr>
            <w:tcW w:w="1418" w:type="dxa"/>
            <w:shd w:val="clear" w:color="auto" w:fill="auto"/>
          </w:tcPr>
          <w:p w14:paraId="06828A5A" w14:textId="77777777" w:rsidR="00931938" w:rsidRPr="00786B75" w:rsidRDefault="00931938" w:rsidP="00857AE5">
            <w:pPr>
              <w:pStyle w:val="08-Tabelageral"/>
              <w:rPr>
                <w:rFonts w:cs="Arial"/>
              </w:rPr>
            </w:pPr>
            <w:r>
              <w:rPr>
                <w:rFonts w:cs="Arial"/>
              </w:rPr>
              <w:t>21</w:t>
            </w:r>
          </w:p>
        </w:tc>
      </w:tr>
      <w:tr w:rsidR="00931938" w:rsidRPr="00786B75" w14:paraId="02E26F83" w14:textId="77777777" w:rsidTr="00AB4D1D">
        <w:trPr>
          <w:trHeight w:val="238"/>
          <w:jc w:val="center"/>
        </w:trPr>
        <w:tc>
          <w:tcPr>
            <w:tcW w:w="3094" w:type="dxa"/>
            <w:shd w:val="clear" w:color="auto" w:fill="auto"/>
          </w:tcPr>
          <w:p w14:paraId="4759A7B4" w14:textId="77777777" w:rsidR="00931938" w:rsidRPr="00786B75" w:rsidRDefault="00931938" w:rsidP="00857AE5">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5</w:t>
            </w:r>
          </w:p>
        </w:tc>
        <w:tc>
          <w:tcPr>
            <w:tcW w:w="604" w:type="dxa"/>
            <w:shd w:val="clear" w:color="auto" w:fill="auto"/>
          </w:tcPr>
          <w:p w14:paraId="5583705E" w14:textId="77777777" w:rsidR="00931938" w:rsidRPr="00786B75" w:rsidRDefault="00931938" w:rsidP="00857AE5">
            <w:pPr>
              <w:pStyle w:val="08-Tabelageral"/>
              <w:ind w:left="113"/>
              <w:jc w:val="center"/>
              <w:rPr>
                <w:rFonts w:cs="Arial"/>
                <w:szCs w:val="14"/>
              </w:rPr>
            </w:pPr>
          </w:p>
        </w:tc>
        <w:tc>
          <w:tcPr>
            <w:tcW w:w="1411" w:type="dxa"/>
            <w:shd w:val="clear" w:color="auto" w:fill="auto"/>
          </w:tcPr>
          <w:p w14:paraId="2E7AA708" w14:textId="77777777" w:rsidR="00931938" w:rsidRPr="00786B75" w:rsidRDefault="00931938" w:rsidP="00857AE5">
            <w:pPr>
              <w:pStyle w:val="08-Tabelageral"/>
              <w:ind w:left="113"/>
              <w:rPr>
                <w:rFonts w:cs="Arial"/>
                <w:szCs w:val="14"/>
              </w:rPr>
            </w:pPr>
            <w:r>
              <w:rPr>
                <w:rFonts w:cs="Arial"/>
                <w:szCs w:val="14"/>
              </w:rPr>
              <w:t>--</w:t>
            </w:r>
          </w:p>
        </w:tc>
        <w:tc>
          <w:tcPr>
            <w:tcW w:w="1412" w:type="dxa"/>
            <w:shd w:val="clear" w:color="auto" w:fill="auto"/>
          </w:tcPr>
          <w:p w14:paraId="3266B26D" w14:textId="77777777" w:rsidR="00931938" w:rsidRPr="00786B75" w:rsidRDefault="00931938" w:rsidP="00857AE5">
            <w:pPr>
              <w:pStyle w:val="08-Tabelageral"/>
              <w:rPr>
                <w:rFonts w:cs="Arial"/>
              </w:rPr>
            </w:pPr>
            <w:r>
              <w:rPr>
                <w:rFonts w:cs="Arial"/>
              </w:rPr>
              <w:t>--</w:t>
            </w:r>
          </w:p>
        </w:tc>
        <w:tc>
          <w:tcPr>
            <w:tcW w:w="283" w:type="dxa"/>
            <w:shd w:val="clear" w:color="auto" w:fill="auto"/>
          </w:tcPr>
          <w:p w14:paraId="28D7D53E" w14:textId="77777777" w:rsidR="00931938" w:rsidRPr="00786B75" w:rsidRDefault="00931938" w:rsidP="00857AE5">
            <w:pPr>
              <w:pStyle w:val="08-Tabelageral"/>
              <w:ind w:left="113"/>
              <w:rPr>
                <w:rFonts w:cs="Arial"/>
                <w:szCs w:val="14"/>
              </w:rPr>
            </w:pPr>
          </w:p>
        </w:tc>
        <w:tc>
          <w:tcPr>
            <w:tcW w:w="1417" w:type="dxa"/>
            <w:shd w:val="clear" w:color="auto" w:fill="auto"/>
          </w:tcPr>
          <w:p w14:paraId="7B1C7699" w14:textId="77777777" w:rsidR="00931938" w:rsidRPr="00786B75" w:rsidRDefault="00931938" w:rsidP="00857AE5">
            <w:pPr>
              <w:pStyle w:val="08-Tabelageral"/>
              <w:ind w:left="113"/>
              <w:rPr>
                <w:rFonts w:cs="Arial"/>
                <w:szCs w:val="14"/>
              </w:rPr>
            </w:pPr>
            <w:r>
              <w:rPr>
                <w:rFonts w:cs="Arial"/>
                <w:szCs w:val="14"/>
              </w:rPr>
              <w:t>--</w:t>
            </w:r>
          </w:p>
        </w:tc>
        <w:tc>
          <w:tcPr>
            <w:tcW w:w="1418" w:type="dxa"/>
            <w:shd w:val="clear" w:color="auto" w:fill="auto"/>
          </w:tcPr>
          <w:p w14:paraId="0DFECBF0" w14:textId="77777777" w:rsidR="00931938" w:rsidRPr="00786B75" w:rsidRDefault="00931938" w:rsidP="00857AE5">
            <w:pPr>
              <w:pStyle w:val="08-Tabelageral"/>
              <w:rPr>
                <w:rFonts w:cs="Arial"/>
              </w:rPr>
            </w:pPr>
            <w:r>
              <w:rPr>
                <w:rFonts w:cs="Arial"/>
              </w:rPr>
              <w:t>--</w:t>
            </w:r>
          </w:p>
        </w:tc>
      </w:tr>
      <w:tr w:rsidR="00931938" w:rsidRPr="00786B75" w14:paraId="4D251718" w14:textId="77777777" w:rsidTr="00AB4D1D">
        <w:trPr>
          <w:trHeight w:val="238"/>
          <w:jc w:val="center"/>
        </w:trPr>
        <w:tc>
          <w:tcPr>
            <w:tcW w:w="3094" w:type="dxa"/>
            <w:shd w:val="clear" w:color="auto" w:fill="auto"/>
          </w:tcPr>
          <w:p w14:paraId="43DCA658" w14:textId="77777777" w:rsidR="00931938" w:rsidRPr="00786B75" w:rsidRDefault="00931938" w:rsidP="00857AE5">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6</w:t>
            </w:r>
          </w:p>
        </w:tc>
        <w:tc>
          <w:tcPr>
            <w:tcW w:w="604" w:type="dxa"/>
            <w:shd w:val="clear" w:color="auto" w:fill="auto"/>
          </w:tcPr>
          <w:p w14:paraId="02E648D4" w14:textId="77777777" w:rsidR="00931938" w:rsidRPr="00786B75" w:rsidRDefault="00931938" w:rsidP="00857AE5">
            <w:pPr>
              <w:pStyle w:val="08-Tabelageral"/>
              <w:ind w:left="113"/>
              <w:jc w:val="center"/>
              <w:rPr>
                <w:rFonts w:cs="Arial"/>
                <w:szCs w:val="14"/>
              </w:rPr>
            </w:pPr>
          </w:p>
        </w:tc>
        <w:tc>
          <w:tcPr>
            <w:tcW w:w="1411" w:type="dxa"/>
            <w:shd w:val="clear" w:color="auto" w:fill="auto"/>
          </w:tcPr>
          <w:p w14:paraId="5784A2BD" w14:textId="77777777" w:rsidR="00931938" w:rsidRPr="00786B75" w:rsidRDefault="00931938" w:rsidP="00857AE5">
            <w:pPr>
              <w:pStyle w:val="08-Tabelageral"/>
              <w:ind w:left="113"/>
              <w:rPr>
                <w:rFonts w:cs="Arial"/>
                <w:szCs w:val="14"/>
              </w:rPr>
            </w:pPr>
            <w:r>
              <w:rPr>
                <w:rFonts w:cs="Arial"/>
                <w:szCs w:val="14"/>
              </w:rPr>
              <w:t>--</w:t>
            </w:r>
          </w:p>
        </w:tc>
        <w:tc>
          <w:tcPr>
            <w:tcW w:w="1412" w:type="dxa"/>
            <w:shd w:val="clear" w:color="auto" w:fill="auto"/>
          </w:tcPr>
          <w:p w14:paraId="16640F92" w14:textId="77777777" w:rsidR="00931938" w:rsidRPr="00786B75" w:rsidRDefault="00931938" w:rsidP="00857AE5">
            <w:pPr>
              <w:pStyle w:val="08-Tabelageral"/>
              <w:rPr>
                <w:rFonts w:cs="Arial"/>
              </w:rPr>
            </w:pPr>
            <w:r>
              <w:rPr>
                <w:rFonts w:cs="Arial"/>
              </w:rPr>
              <w:t>--</w:t>
            </w:r>
          </w:p>
        </w:tc>
        <w:tc>
          <w:tcPr>
            <w:tcW w:w="283" w:type="dxa"/>
            <w:shd w:val="clear" w:color="auto" w:fill="auto"/>
          </w:tcPr>
          <w:p w14:paraId="17B61587" w14:textId="77777777" w:rsidR="00931938" w:rsidRPr="00786B75" w:rsidRDefault="00931938" w:rsidP="00857AE5">
            <w:pPr>
              <w:pStyle w:val="08-Tabelageral"/>
              <w:ind w:left="113"/>
              <w:rPr>
                <w:rFonts w:cs="Arial"/>
                <w:szCs w:val="14"/>
              </w:rPr>
            </w:pPr>
          </w:p>
        </w:tc>
        <w:tc>
          <w:tcPr>
            <w:tcW w:w="1417" w:type="dxa"/>
            <w:shd w:val="clear" w:color="auto" w:fill="auto"/>
          </w:tcPr>
          <w:p w14:paraId="3F64AC71" w14:textId="77777777" w:rsidR="00931938" w:rsidRPr="00786B75" w:rsidRDefault="00931938" w:rsidP="00857AE5">
            <w:pPr>
              <w:pStyle w:val="08-Tabelageral"/>
              <w:ind w:left="113"/>
              <w:rPr>
                <w:rFonts w:cs="Arial"/>
                <w:szCs w:val="14"/>
              </w:rPr>
            </w:pPr>
            <w:r>
              <w:rPr>
                <w:rFonts w:cs="Arial"/>
                <w:szCs w:val="14"/>
              </w:rPr>
              <w:t>--</w:t>
            </w:r>
          </w:p>
        </w:tc>
        <w:tc>
          <w:tcPr>
            <w:tcW w:w="1418" w:type="dxa"/>
            <w:shd w:val="clear" w:color="auto" w:fill="auto"/>
          </w:tcPr>
          <w:p w14:paraId="14384112" w14:textId="77777777" w:rsidR="00931938" w:rsidRPr="00786B75" w:rsidRDefault="00931938" w:rsidP="00857AE5">
            <w:pPr>
              <w:pStyle w:val="08-Tabelageral"/>
              <w:rPr>
                <w:rFonts w:cs="Arial"/>
              </w:rPr>
            </w:pPr>
            <w:r>
              <w:rPr>
                <w:rFonts w:cs="Arial"/>
              </w:rPr>
              <w:t>--</w:t>
            </w:r>
          </w:p>
        </w:tc>
      </w:tr>
      <w:tr w:rsidR="00931938" w:rsidRPr="00786B75" w14:paraId="2F1D8AC8" w14:textId="77777777" w:rsidTr="00AB4D1D">
        <w:trPr>
          <w:trHeight w:val="238"/>
          <w:jc w:val="center"/>
        </w:trPr>
        <w:tc>
          <w:tcPr>
            <w:tcW w:w="3094" w:type="dxa"/>
            <w:shd w:val="clear" w:color="auto" w:fill="auto"/>
          </w:tcPr>
          <w:p w14:paraId="22F3DF78" w14:textId="77777777" w:rsidR="00931938" w:rsidRPr="00786B75" w:rsidRDefault="00931938" w:rsidP="00857AE5">
            <w:pPr>
              <w:pStyle w:val="08-Tabelageral"/>
              <w:ind w:left="113"/>
              <w:jc w:val="left"/>
              <w:rPr>
                <w:rFonts w:cs="Arial"/>
                <w:szCs w:val="14"/>
              </w:rPr>
            </w:pPr>
            <w:r>
              <w:rPr>
                <w:rFonts w:cs="Arial"/>
                <w:szCs w:val="14"/>
              </w:rPr>
              <w:t>In</w:t>
            </w:r>
            <w:r w:rsidRPr="00786B75">
              <w:rPr>
                <w:rFonts w:cs="Arial"/>
                <w:szCs w:val="14"/>
              </w:rPr>
              <w:t xml:space="preserve"> 202</w:t>
            </w:r>
            <w:r>
              <w:rPr>
                <w:rFonts w:cs="Arial"/>
                <w:szCs w:val="14"/>
              </w:rPr>
              <w:t>7</w:t>
            </w:r>
          </w:p>
        </w:tc>
        <w:tc>
          <w:tcPr>
            <w:tcW w:w="604" w:type="dxa"/>
            <w:shd w:val="clear" w:color="auto" w:fill="auto"/>
          </w:tcPr>
          <w:p w14:paraId="00D0B9B7" w14:textId="77777777" w:rsidR="00931938" w:rsidRPr="00786B75" w:rsidRDefault="00931938" w:rsidP="00857AE5">
            <w:pPr>
              <w:pStyle w:val="08-Tabelageral"/>
              <w:ind w:left="113"/>
              <w:jc w:val="center"/>
              <w:rPr>
                <w:rFonts w:cs="Arial"/>
                <w:szCs w:val="14"/>
              </w:rPr>
            </w:pPr>
          </w:p>
        </w:tc>
        <w:tc>
          <w:tcPr>
            <w:tcW w:w="1411" w:type="dxa"/>
            <w:shd w:val="clear" w:color="auto" w:fill="auto"/>
          </w:tcPr>
          <w:p w14:paraId="62716105" w14:textId="77777777" w:rsidR="00931938" w:rsidRPr="00786B75" w:rsidRDefault="00931938" w:rsidP="00857AE5">
            <w:pPr>
              <w:pStyle w:val="08-Tabelageral"/>
              <w:ind w:left="113"/>
              <w:rPr>
                <w:rFonts w:cs="Arial"/>
                <w:szCs w:val="14"/>
              </w:rPr>
            </w:pPr>
            <w:r>
              <w:rPr>
                <w:rFonts w:cs="Arial"/>
                <w:szCs w:val="14"/>
              </w:rPr>
              <w:t>--</w:t>
            </w:r>
          </w:p>
        </w:tc>
        <w:tc>
          <w:tcPr>
            <w:tcW w:w="1412" w:type="dxa"/>
            <w:shd w:val="clear" w:color="auto" w:fill="auto"/>
          </w:tcPr>
          <w:p w14:paraId="32A3D7DB" w14:textId="77777777" w:rsidR="00931938" w:rsidRPr="00786B75" w:rsidRDefault="00931938" w:rsidP="00857AE5">
            <w:pPr>
              <w:pStyle w:val="08-Tabelageral"/>
              <w:rPr>
                <w:rFonts w:cs="Arial"/>
              </w:rPr>
            </w:pPr>
            <w:r>
              <w:rPr>
                <w:rFonts w:cs="Arial"/>
              </w:rPr>
              <w:t>--</w:t>
            </w:r>
          </w:p>
        </w:tc>
        <w:tc>
          <w:tcPr>
            <w:tcW w:w="283" w:type="dxa"/>
            <w:shd w:val="clear" w:color="auto" w:fill="auto"/>
          </w:tcPr>
          <w:p w14:paraId="529CC619" w14:textId="77777777" w:rsidR="00931938" w:rsidRPr="00786B75" w:rsidRDefault="00931938" w:rsidP="00857AE5">
            <w:pPr>
              <w:pStyle w:val="08-Tabelageral"/>
              <w:ind w:left="113"/>
              <w:rPr>
                <w:rFonts w:cs="Arial"/>
                <w:szCs w:val="14"/>
              </w:rPr>
            </w:pPr>
          </w:p>
        </w:tc>
        <w:tc>
          <w:tcPr>
            <w:tcW w:w="1417" w:type="dxa"/>
            <w:shd w:val="clear" w:color="auto" w:fill="auto"/>
          </w:tcPr>
          <w:p w14:paraId="6368893E" w14:textId="77777777" w:rsidR="00931938" w:rsidRPr="00786B75" w:rsidRDefault="00931938" w:rsidP="00857AE5">
            <w:pPr>
              <w:pStyle w:val="08-Tabelageral"/>
              <w:ind w:left="113"/>
              <w:rPr>
                <w:rFonts w:cs="Arial"/>
                <w:szCs w:val="14"/>
              </w:rPr>
            </w:pPr>
            <w:r>
              <w:rPr>
                <w:rFonts w:cs="Arial"/>
                <w:szCs w:val="14"/>
              </w:rPr>
              <w:t>--</w:t>
            </w:r>
          </w:p>
        </w:tc>
        <w:tc>
          <w:tcPr>
            <w:tcW w:w="1418" w:type="dxa"/>
            <w:shd w:val="clear" w:color="auto" w:fill="auto"/>
          </w:tcPr>
          <w:p w14:paraId="3C65F966" w14:textId="77777777" w:rsidR="00931938" w:rsidRPr="00786B75" w:rsidRDefault="00931938" w:rsidP="00857AE5">
            <w:pPr>
              <w:pStyle w:val="08-Tabelageral"/>
              <w:rPr>
                <w:rFonts w:cs="Arial"/>
              </w:rPr>
            </w:pPr>
            <w:r>
              <w:rPr>
                <w:rFonts w:cs="Arial"/>
              </w:rPr>
              <w:t>--</w:t>
            </w:r>
          </w:p>
        </w:tc>
      </w:tr>
      <w:tr w:rsidR="00931938" w:rsidRPr="00786B75" w14:paraId="69EC6CD2" w14:textId="77777777" w:rsidTr="00AB4D1D">
        <w:trPr>
          <w:trHeight w:val="238"/>
          <w:jc w:val="center"/>
        </w:trPr>
        <w:tc>
          <w:tcPr>
            <w:tcW w:w="3094" w:type="dxa"/>
            <w:tcBorders>
              <w:bottom w:val="nil"/>
            </w:tcBorders>
            <w:shd w:val="clear" w:color="auto" w:fill="auto"/>
          </w:tcPr>
          <w:p w14:paraId="1B61F47F" w14:textId="77777777" w:rsidR="00931938" w:rsidRPr="00786B75" w:rsidRDefault="00931938" w:rsidP="00857AE5">
            <w:pPr>
              <w:pStyle w:val="08-Tabelageral"/>
              <w:ind w:left="113"/>
              <w:jc w:val="left"/>
              <w:rPr>
                <w:rFonts w:cs="Arial"/>
                <w:szCs w:val="14"/>
              </w:rPr>
            </w:pPr>
            <w:r w:rsidRPr="00786B75">
              <w:rPr>
                <w:rFonts w:cs="Arial"/>
                <w:szCs w:val="14"/>
              </w:rPr>
              <w:t>A</w:t>
            </w:r>
            <w:r>
              <w:rPr>
                <w:rFonts w:cs="Arial"/>
                <w:szCs w:val="14"/>
              </w:rPr>
              <w:t>fther</w:t>
            </w:r>
            <w:r w:rsidRPr="00786B75">
              <w:rPr>
                <w:rFonts w:cs="Arial"/>
                <w:szCs w:val="14"/>
              </w:rPr>
              <w:t xml:space="preserve"> 202</w:t>
            </w:r>
            <w:r>
              <w:rPr>
                <w:rFonts w:cs="Arial"/>
                <w:szCs w:val="14"/>
              </w:rPr>
              <w:t>7</w:t>
            </w:r>
          </w:p>
        </w:tc>
        <w:tc>
          <w:tcPr>
            <w:tcW w:w="604" w:type="dxa"/>
            <w:tcBorders>
              <w:bottom w:val="nil"/>
            </w:tcBorders>
            <w:shd w:val="clear" w:color="auto" w:fill="auto"/>
          </w:tcPr>
          <w:p w14:paraId="17ED7DD0" w14:textId="77777777" w:rsidR="00931938" w:rsidRPr="00786B75" w:rsidRDefault="00931938" w:rsidP="00857AE5">
            <w:pPr>
              <w:pStyle w:val="08-Tabelageral"/>
              <w:jc w:val="center"/>
              <w:rPr>
                <w:rFonts w:cs="Arial"/>
                <w:szCs w:val="14"/>
              </w:rPr>
            </w:pPr>
          </w:p>
        </w:tc>
        <w:tc>
          <w:tcPr>
            <w:tcW w:w="1411" w:type="dxa"/>
            <w:tcBorders>
              <w:bottom w:val="nil"/>
            </w:tcBorders>
            <w:shd w:val="clear" w:color="auto" w:fill="auto"/>
          </w:tcPr>
          <w:p w14:paraId="0D004798" w14:textId="77777777" w:rsidR="00931938" w:rsidRPr="00786B75" w:rsidRDefault="00931938" w:rsidP="00857AE5">
            <w:pPr>
              <w:pStyle w:val="08-Tabelageral"/>
              <w:rPr>
                <w:rFonts w:cs="Arial"/>
                <w:szCs w:val="14"/>
              </w:rPr>
            </w:pPr>
            <w:r>
              <w:rPr>
                <w:rFonts w:cs="Arial"/>
                <w:szCs w:val="14"/>
              </w:rPr>
              <w:t>--</w:t>
            </w:r>
          </w:p>
        </w:tc>
        <w:tc>
          <w:tcPr>
            <w:tcW w:w="1412" w:type="dxa"/>
            <w:tcBorders>
              <w:bottom w:val="nil"/>
            </w:tcBorders>
            <w:shd w:val="clear" w:color="auto" w:fill="auto"/>
          </w:tcPr>
          <w:p w14:paraId="5EC73A14" w14:textId="77777777" w:rsidR="00931938" w:rsidRPr="00786B75" w:rsidRDefault="00931938" w:rsidP="00857AE5">
            <w:pPr>
              <w:pStyle w:val="08-Tabelageral"/>
              <w:rPr>
                <w:rFonts w:cs="Arial"/>
              </w:rPr>
            </w:pPr>
            <w:r>
              <w:rPr>
                <w:rFonts w:cs="Arial"/>
              </w:rPr>
              <w:t>--</w:t>
            </w:r>
          </w:p>
        </w:tc>
        <w:tc>
          <w:tcPr>
            <w:tcW w:w="283" w:type="dxa"/>
            <w:tcBorders>
              <w:bottom w:val="nil"/>
            </w:tcBorders>
            <w:shd w:val="clear" w:color="auto" w:fill="auto"/>
          </w:tcPr>
          <w:p w14:paraId="1C0C0362" w14:textId="77777777" w:rsidR="00931938" w:rsidRPr="00786B75" w:rsidRDefault="00931938" w:rsidP="00857AE5">
            <w:pPr>
              <w:pStyle w:val="08-Tabelageral"/>
              <w:rPr>
                <w:rFonts w:cs="Arial"/>
                <w:szCs w:val="14"/>
              </w:rPr>
            </w:pPr>
          </w:p>
        </w:tc>
        <w:tc>
          <w:tcPr>
            <w:tcW w:w="1417" w:type="dxa"/>
            <w:tcBorders>
              <w:bottom w:val="nil"/>
            </w:tcBorders>
            <w:shd w:val="clear" w:color="auto" w:fill="auto"/>
          </w:tcPr>
          <w:p w14:paraId="13EA9295" w14:textId="77777777" w:rsidR="00931938" w:rsidRPr="00786B75" w:rsidRDefault="00931938" w:rsidP="00857AE5">
            <w:pPr>
              <w:pStyle w:val="08-Tabelageral"/>
              <w:rPr>
                <w:rFonts w:cs="Arial"/>
                <w:szCs w:val="14"/>
              </w:rPr>
            </w:pPr>
            <w:r>
              <w:rPr>
                <w:rFonts w:cs="Arial"/>
                <w:szCs w:val="14"/>
              </w:rPr>
              <w:t>--</w:t>
            </w:r>
          </w:p>
        </w:tc>
        <w:tc>
          <w:tcPr>
            <w:tcW w:w="1418" w:type="dxa"/>
            <w:tcBorders>
              <w:bottom w:val="nil"/>
            </w:tcBorders>
            <w:shd w:val="clear" w:color="auto" w:fill="auto"/>
          </w:tcPr>
          <w:p w14:paraId="290618A6" w14:textId="77777777" w:rsidR="00931938" w:rsidRPr="00786B75" w:rsidRDefault="00931938" w:rsidP="00857AE5">
            <w:pPr>
              <w:pStyle w:val="08-Tabelageral"/>
              <w:rPr>
                <w:rFonts w:cs="Arial"/>
              </w:rPr>
            </w:pPr>
            <w:r>
              <w:rPr>
                <w:rFonts w:cs="Arial"/>
              </w:rPr>
              <w:t>--</w:t>
            </w:r>
          </w:p>
        </w:tc>
      </w:tr>
      <w:tr w:rsidR="00931938" w:rsidRPr="00786B75" w14:paraId="742CC9C9" w14:textId="77777777" w:rsidTr="00AB4D1D">
        <w:trPr>
          <w:trHeight w:val="238"/>
          <w:jc w:val="center"/>
        </w:trPr>
        <w:tc>
          <w:tcPr>
            <w:tcW w:w="3094" w:type="dxa"/>
            <w:tcBorders>
              <w:top w:val="nil"/>
              <w:bottom w:val="single" w:sz="2" w:space="0" w:color="1F4E79" w:themeColor="accent1" w:themeShade="80"/>
            </w:tcBorders>
            <w:shd w:val="clear" w:color="auto" w:fill="auto"/>
          </w:tcPr>
          <w:p w14:paraId="2E17B04C" w14:textId="77777777" w:rsidR="00931938" w:rsidRPr="00786B75" w:rsidRDefault="00931938" w:rsidP="00857AE5">
            <w:pPr>
              <w:pStyle w:val="08-Tabelageral"/>
              <w:jc w:val="left"/>
              <w:rPr>
                <w:rFonts w:cs="Arial"/>
                <w:b/>
              </w:rPr>
            </w:pPr>
            <w:r w:rsidRPr="00786B75">
              <w:rPr>
                <w:rFonts w:cs="Arial"/>
                <w:b/>
              </w:rPr>
              <w:t>Total</w:t>
            </w:r>
          </w:p>
        </w:tc>
        <w:tc>
          <w:tcPr>
            <w:tcW w:w="604" w:type="dxa"/>
            <w:tcBorders>
              <w:top w:val="nil"/>
              <w:bottom w:val="single" w:sz="2" w:space="0" w:color="1F4E79" w:themeColor="accent1" w:themeShade="80"/>
            </w:tcBorders>
            <w:shd w:val="clear" w:color="auto" w:fill="auto"/>
          </w:tcPr>
          <w:p w14:paraId="5DD31EB0" w14:textId="77777777" w:rsidR="00931938" w:rsidRPr="00786B75" w:rsidRDefault="00931938" w:rsidP="00857AE5">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tcPr>
          <w:p w14:paraId="074D1FEE" w14:textId="77777777" w:rsidR="00931938" w:rsidRPr="00786B75" w:rsidRDefault="00931938" w:rsidP="00857AE5">
            <w:pPr>
              <w:pStyle w:val="08-Tabelageral"/>
              <w:rPr>
                <w:rFonts w:cs="Arial"/>
                <w:b/>
                <w:szCs w:val="14"/>
              </w:rPr>
            </w:pPr>
            <w:r>
              <w:rPr>
                <w:rFonts w:cs="Arial"/>
                <w:b/>
                <w:szCs w:val="14"/>
              </w:rPr>
              <w:t>28</w:t>
            </w:r>
          </w:p>
        </w:tc>
        <w:tc>
          <w:tcPr>
            <w:tcW w:w="1412" w:type="dxa"/>
            <w:tcBorders>
              <w:top w:val="nil"/>
              <w:bottom w:val="single" w:sz="2" w:space="0" w:color="1F4E79" w:themeColor="accent1" w:themeShade="80"/>
            </w:tcBorders>
            <w:shd w:val="clear" w:color="auto" w:fill="auto"/>
          </w:tcPr>
          <w:p w14:paraId="34CEA6B5" w14:textId="77777777" w:rsidR="00931938" w:rsidRPr="00786B75" w:rsidRDefault="00931938" w:rsidP="00857AE5">
            <w:pPr>
              <w:pStyle w:val="08-Tabelageral"/>
              <w:rPr>
                <w:rFonts w:cs="Arial"/>
                <w:b/>
              </w:rPr>
            </w:pPr>
            <w:r>
              <w:rPr>
                <w:rFonts w:cs="Arial"/>
                <w:b/>
              </w:rPr>
              <w:t>21</w:t>
            </w:r>
          </w:p>
        </w:tc>
        <w:tc>
          <w:tcPr>
            <w:tcW w:w="283" w:type="dxa"/>
            <w:tcBorders>
              <w:top w:val="nil"/>
              <w:bottom w:val="single" w:sz="2" w:space="0" w:color="1F4E79" w:themeColor="accent1" w:themeShade="80"/>
            </w:tcBorders>
            <w:shd w:val="clear" w:color="auto" w:fill="auto"/>
          </w:tcPr>
          <w:p w14:paraId="76DE3EE6" w14:textId="77777777" w:rsidR="00931938" w:rsidRPr="00786B75" w:rsidRDefault="00931938" w:rsidP="00857AE5">
            <w:pPr>
              <w:pStyle w:val="08-Tabelageral"/>
              <w:rPr>
                <w:rFonts w:cs="Arial"/>
                <w:b/>
                <w:szCs w:val="14"/>
              </w:rPr>
            </w:pPr>
          </w:p>
        </w:tc>
        <w:tc>
          <w:tcPr>
            <w:tcW w:w="1417" w:type="dxa"/>
            <w:tcBorders>
              <w:top w:val="nil"/>
              <w:bottom w:val="single" w:sz="2" w:space="0" w:color="1F4E79" w:themeColor="accent1" w:themeShade="80"/>
            </w:tcBorders>
            <w:shd w:val="clear" w:color="auto" w:fill="auto"/>
          </w:tcPr>
          <w:p w14:paraId="471FF2E4" w14:textId="77777777" w:rsidR="00931938" w:rsidRPr="00786B75" w:rsidRDefault="00931938" w:rsidP="00857AE5">
            <w:pPr>
              <w:pStyle w:val="08-Tabelageral"/>
              <w:rPr>
                <w:rFonts w:cs="Arial"/>
                <w:b/>
                <w:szCs w:val="14"/>
              </w:rPr>
            </w:pPr>
            <w:r>
              <w:rPr>
                <w:rFonts w:cs="Arial"/>
                <w:b/>
                <w:szCs w:val="14"/>
              </w:rPr>
              <w:t>7,773</w:t>
            </w:r>
          </w:p>
        </w:tc>
        <w:tc>
          <w:tcPr>
            <w:tcW w:w="1418" w:type="dxa"/>
            <w:tcBorders>
              <w:top w:val="nil"/>
              <w:bottom w:val="single" w:sz="2" w:space="0" w:color="1F4E79" w:themeColor="accent1" w:themeShade="80"/>
            </w:tcBorders>
            <w:shd w:val="clear" w:color="auto" w:fill="auto"/>
          </w:tcPr>
          <w:p w14:paraId="2FB6000D" w14:textId="77777777" w:rsidR="00931938" w:rsidRPr="00786B75" w:rsidRDefault="00931938" w:rsidP="00857AE5">
            <w:pPr>
              <w:pStyle w:val="08-Tabelageral"/>
              <w:rPr>
                <w:rFonts w:cs="Arial"/>
                <w:b/>
              </w:rPr>
            </w:pPr>
            <w:r>
              <w:rPr>
                <w:rFonts w:cs="Arial"/>
                <w:b/>
              </w:rPr>
              <w:t>6,745</w:t>
            </w:r>
          </w:p>
        </w:tc>
      </w:tr>
    </w:tbl>
    <w:p w14:paraId="754626C4" w14:textId="77777777" w:rsidR="00931938" w:rsidRDefault="00931938" w:rsidP="00D061BE">
      <w:pPr>
        <w:keepNext/>
        <w:keepLines/>
        <w:rPr>
          <w:rFonts w:cs="Arial"/>
          <w:b/>
          <w:color w:val="1F4E79" w:themeColor="accent1" w:themeShade="80"/>
          <w:szCs w:val="18"/>
        </w:rPr>
      </w:pPr>
    </w:p>
    <w:p w14:paraId="1F4A2C0F" w14:textId="77777777" w:rsidR="00931938" w:rsidRDefault="00931938" w:rsidP="00D061BE">
      <w:pPr>
        <w:pStyle w:val="05-Textonormal"/>
        <w:keepNext/>
        <w:keepLines/>
        <w:rPr>
          <w:lang w:val="en-US"/>
        </w:rPr>
      </w:pPr>
      <w:r w:rsidRPr="003E2305">
        <w:rPr>
          <w:lang w:val="en-US"/>
        </w:rPr>
        <w:t xml:space="preserve">The expected realization of deferred tax assets (tax credits) is supported by a technical study prepared </w:t>
      </w:r>
      <w:r>
        <w:rPr>
          <w:lang w:val="en-US"/>
        </w:rPr>
        <w:t>for de base date of</w:t>
      </w:r>
      <w:r w:rsidRPr="003E2305">
        <w:rPr>
          <w:lang w:val="en-US"/>
        </w:rPr>
        <w:t xml:space="preserve"> Dec 31, 20</w:t>
      </w:r>
      <w:r>
        <w:rPr>
          <w:lang w:val="en-US"/>
        </w:rPr>
        <w:t>21</w:t>
      </w:r>
      <w:r w:rsidRPr="003E2305">
        <w:rPr>
          <w:lang w:val="en-US"/>
        </w:rPr>
        <w:t>, and is calculated based on the discounted present value of the average Selic rate (TMS) projected for each reporting period</w:t>
      </w:r>
    </w:p>
    <w:p w14:paraId="7B8902DA" w14:textId="77777777" w:rsidR="00931938" w:rsidRDefault="00931938" w:rsidP="002B70D3">
      <w:pPr>
        <w:pStyle w:val="05-Textonormal"/>
        <w:rPr>
          <w:lang w:val="en-US"/>
        </w:rPr>
      </w:pPr>
      <w:r w:rsidRPr="00E54AB3">
        <w:rPr>
          <w:lang w:val="en-US"/>
        </w:rPr>
        <w:t>During the year of 202</w:t>
      </w:r>
      <w:r>
        <w:rPr>
          <w:lang w:val="en-US"/>
        </w:rPr>
        <w:t>2</w:t>
      </w:r>
      <w:r w:rsidRPr="00E54AB3">
        <w:rPr>
          <w:lang w:val="en-US"/>
        </w:rPr>
        <w:t xml:space="preserve">, tax credits were realized in the amount </w:t>
      </w:r>
      <w:r w:rsidRPr="003E2305">
        <w:rPr>
          <w:lang w:val="en-US"/>
        </w:rPr>
        <w:t xml:space="preserve">R$ </w:t>
      </w:r>
      <w:r>
        <w:rPr>
          <w:lang w:val="en-US"/>
        </w:rPr>
        <w:t>57,296</w:t>
      </w:r>
      <w:r w:rsidRPr="003E2305">
        <w:rPr>
          <w:lang w:val="en-US"/>
        </w:rPr>
        <w:t xml:space="preserve"> thousand in the consolidated</w:t>
      </w:r>
      <w:r>
        <w:rPr>
          <w:lang w:val="en-US"/>
        </w:rPr>
        <w:t>.</w:t>
      </w:r>
    </w:p>
    <w:p w14:paraId="523F695E" w14:textId="77777777" w:rsidR="00931938" w:rsidRPr="00E54AB3" w:rsidRDefault="00931938" w:rsidP="001D2354">
      <w:pPr>
        <w:pStyle w:val="05-Textonormal"/>
        <w:keepNext/>
        <w:keepLines/>
        <w:rPr>
          <w:rFonts w:cs="Arial"/>
          <w:b/>
          <w:color w:val="1F4E79" w:themeColor="accent1" w:themeShade="80"/>
          <w:lang w:val="en-US"/>
        </w:rPr>
      </w:pPr>
      <w:r w:rsidRPr="00E54AB3">
        <w:rPr>
          <w:rFonts w:cs="Arial"/>
          <w:b/>
          <w:color w:val="1F4E79" w:themeColor="accent1" w:themeShade="80"/>
          <w:lang w:val="en-US"/>
        </w:rPr>
        <w:t xml:space="preserve">g) </w:t>
      </w:r>
      <w:r w:rsidRPr="00662308">
        <w:rPr>
          <w:rFonts w:cs="Arial"/>
          <w:b/>
          <w:color w:val="1F4E79" w:themeColor="accent1" w:themeShade="80"/>
          <w:lang w:val="en-US"/>
        </w:rPr>
        <w:t>Current tax liabilities</w:t>
      </w:r>
    </w:p>
    <w:p w14:paraId="65BA24DF" w14:textId="77777777" w:rsidR="00931938" w:rsidRPr="00E54AB3" w:rsidRDefault="00931938" w:rsidP="00AE5F9B">
      <w:pPr>
        <w:spacing w:after="0" w:line="240" w:lineRule="auto"/>
        <w:jc w:val="right"/>
        <w:rPr>
          <w:rFonts w:cs="Arial"/>
          <w:b/>
          <w:sz w:val="14"/>
          <w:lang w:val="en-US" w:eastAsia="pt-BR"/>
        </w:rPr>
      </w:pPr>
      <w:r w:rsidRPr="00E54AB3">
        <w:rPr>
          <w:rFonts w:cs="Arial"/>
          <w:b/>
          <w:sz w:val="14"/>
          <w:lang w:val="en-US" w:eastAsia="pt-BR"/>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402"/>
        <w:gridCol w:w="296"/>
        <w:gridCol w:w="1411"/>
        <w:gridCol w:w="1412"/>
        <w:gridCol w:w="283"/>
        <w:gridCol w:w="1417"/>
        <w:gridCol w:w="1418"/>
      </w:tblGrid>
      <w:tr w:rsidR="00931938" w:rsidRPr="00E16069" w14:paraId="401F3DFF" w14:textId="77777777" w:rsidTr="00AB4D1D">
        <w:trPr>
          <w:trHeight w:val="238"/>
          <w:jc w:val="center"/>
        </w:trPr>
        <w:tc>
          <w:tcPr>
            <w:tcW w:w="3402" w:type="dxa"/>
            <w:tcBorders>
              <w:top w:val="single" w:sz="2" w:space="0" w:color="1F4E79" w:themeColor="accent1" w:themeShade="80"/>
              <w:bottom w:val="nil"/>
            </w:tcBorders>
            <w:shd w:val="clear" w:color="auto" w:fill="auto"/>
          </w:tcPr>
          <w:p w14:paraId="3125642B" w14:textId="77777777" w:rsidR="00931938" w:rsidRPr="00E54AB3" w:rsidRDefault="00931938" w:rsidP="00967A0F">
            <w:pPr>
              <w:spacing w:after="0"/>
              <w:jc w:val="center"/>
              <w:rPr>
                <w:rFonts w:cs="Arial"/>
                <w:b/>
                <w:szCs w:val="18"/>
                <w:lang w:val="en-US"/>
              </w:rPr>
            </w:pPr>
          </w:p>
        </w:tc>
        <w:tc>
          <w:tcPr>
            <w:tcW w:w="296" w:type="dxa"/>
            <w:tcBorders>
              <w:top w:val="single" w:sz="2" w:space="0" w:color="1F4E79" w:themeColor="accent1" w:themeShade="80"/>
              <w:bottom w:val="nil"/>
            </w:tcBorders>
            <w:shd w:val="clear" w:color="auto" w:fill="auto"/>
          </w:tcPr>
          <w:p w14:paraId="02808158" w14:textId="77777777" w:rsidR="00931938" w:rsidRPr="00E54AB3" w:rsidRDefault="00931938" w:rsidP="00967A0F">
            <w:pPr>
              <w:spacing w:after="0"/>
              <w:jc w:val="center"/>
              <w:rPr>
                <w:rFonts w:cs="Arial"/>
                <w:b/>
                <w:szCs w:val="18"/>
                <w:lang w:val="en-US"/>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16EEB788" w14:textId="77777777" w:rsidR="00931938" w:rsidRPr="00E16069" w:rsidRDefault="00931938" w:rsidP="001C6A68">
            <w:pPr>
              <w:spacing w:after="0"/>
              <w:jc w:val="center"/>
              <w:rPr>
                <w:rFonts w:cs="Arial"/>
                <w:b/>
                <w:sz w:val="14"/>
                <w:szCs w:val="18"/>
              </w:rPr>
            </w:pPr>
            <w:r w:rsidRPr="00775513">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5F03967A" w14:textId="77777777" w:rsidR="00931938" w:rsidRPr="00E16069" w:rsidRDefault="00931938" w:rsidP="00382266">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27B0AE66" w14:textId="77777777" w:rsidR="00931938" w:rsidRPr="00E16069" w:rsidRDefault="00931938" w:rsidP="0031672C">
            <w:pPr>
              <w:spacing w:after="0"/>
              <w:jc w:val="center"/>
              <w:rPr>
                <w:rFonts w:cs="Arial"/>
                <w:b/>
                <w:szCs w:val="18"/>
                <w:vertAlign w:val="superscript"/>
              </w:rPr>
            </w:pPr>
            <w:r w:rsidRPr="00775513">
              <w:rPr>
                <w:rFonts w:cs="Arial"/>
                <w:b/>
                <w:sz w:val="14"/>
                <w:szCs w:val="18"/>
              </w:rPr>
              <w:t>Consolidated</w:t>
            </w:r>
          </w:p>
        </w:tc>
      </w:tr>
      <w:tr w:rsidR="00931938" w:rsidRPr="00E16069" w14:paraId="3706CA99" w14:textId="77777777" w:rsidTr="00AB4D1D">
        <w:trPr>
          <w:trHeight w:val="238"/>
          <w:jc w:val="center"/>
        </w:trPr>
        <w:tc>
          <w:tcPr>
            <w:tcW w:w="3402" w:type="dxa"/>
            <w:tcBorders>
              <w:top w:val="nil"/>
              <w:bottom w:val="single" w:sz="2" w:space="0" w:color="1F4E79" w:themeColor="accent1" w:themeShade="80"/>
            </w:tcBorders>
            <w:shd w:val="clear" w:color="auto" w:fill="auto"/>
          </w:tcPr>
          <w:p w14:paraId="099A294B" w14:textId="77777777" w:rsidR="00931938" w:rsidRPr="00E16069" w:rsidRDefault="00931938" w:rsidP="00C057A8">
            <w:pPr>
              <w:pStyle w:val="08-Tabelageral"/>
              <w:rPr>
                <w:rFonts w:cs="Arial"/>
                <w:b/>
              </w:rPr>
            </w:pPr>
          </w:p>
        </w:tc>
        <w:tc>
          <w:tcPr>
            <w:tcW w:w="296" w:type="dxa"/>
            <w:tcBorders>
              <w:top w:val="nil"/>
              <w:bottom w:val="single" w:sz="2" w:space="0" w:color="1F4E79" w:themeColor="accent1" w:themeShade="80"/>
            </w:tcBorders>
            <w:shd w:val="clear" w:color="auto" w:fill="auto"/>
          </w:tcPr>
          <w:p w14:paraId="7A2EEAEC" w14:textId="77777777" w:rsidR="00931938" w:rsidRPr="00E16069" w:rsidRDefault="00931938" w:rsidP="00C057A8">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74F76747" w14:textId="77777777" w:rsidR="00931938" w:rsidRPr="00C057A8" w:rsidRDefault="00931938" w:rsidP="00452B38">
            <w:pPr>
              <w:pStyle w:val="08-Tabelageral"/>
              <w:rPr>
                <w:rFonts w:cs="Arial"/>
                <w:b/>
                <w:vertAlign w:val="superscript"/>
              </w:rPr>
            </w:pPr>
            <w:r>
              <w:rPr>
                <w:b/>
              </w:rPr>
              <w:t>Dec</w:t>
            </w:r>
            <w:r w:rsidRPr="00C057A8">
              <w:rPr>
                <w:b/>
              </w:rPr>
              <w:t xml:space="preserve"> 3</w:t>
            </w:r>
            <w:r>
              <w:rPr>
                <w:b/>
              </w:rPr>
              <w:t>1</w:t>
            </w:r>
            <w:r w:rsidRPr="00C057A8">
              <w:rPr>
                <w:b/>
              </w:rPr>
              <w:t>, 202</w:t>
            </w:r>
            <w:r>
              <w:rPr>
                <w:b/>
              </w:rPr>
              <w:t>2</w:t>
            </w:r>
          </w:p>
        </w:tc>
        <w:tc>
          <w:tcPr>
            <w:tcW w:w="1412" w:type="dxa"/>
            <w:tcBorders>
              <w:top w:val="single" w:sz="2" w:space="0" w:color="1F4E79" w:themeColor="accent1" w:themeShade="80"/>
              <w:bottom w:val="single" w:sz="2" w:space="0" w:color="1F4E79" w:themeColor="accent1" w:themeShade="80"/>
            </w:tcBorders>
            <w:shd w:val="clear" w:color="auto" w:fill="auto"/>
          </w:tcPr>
          <w:p w14:paraId="5241FF42" w14:textId="77777777" w:rsidR="00931938" w:rsidRPr="00C057A8" w:rsidRDefault="00931938" w:rsidP="0079094F">
            <w:pPr>
              <w:pStyle w:val="08-Tabelageral"/>
              <w:rPr>
                <w:rFonts w:cs="Arial"/>
                <w:b/>
                <w:vertAlign w:val="superscript"/>
              </w:rPr>
            </w:pPr>
            <w:r w:rsidRPr="00C057A8">
              <w:rPr>
                <w:b/>
              </w:rPr>
              <w:t>Dec 31, 20</w:t>
            </w:r>
            <w:r>
              <w:rPr>
                <w:b/>
              </w:rPr>
              <w:t>21</w:t>
            </w:r>
          </w:p>
        </w:tc>
        <w:tc>
          <w:tcPr>
            <w:tcW w:w="283" w:type="dxa"/>
            <w:tcBorders>
              <w:top w:val="nil"/>
              <w:bottom w:val="single" w:sz="2" w:space="0" w:color="1F4E79" w:themeColor="accent1" w:themeShade="80"/>
            </w:tcBorders>
            <w:shd w:val="clear" w:color="auto" w:fill="auto"/>
          </w:tcPr>
          <w:p w14:paraId="48EA798B" w14:textId="77777777" w:rsidR="00931938" w:rsidRPr="00C057A8" w:rsidRDefault="00931938" w:rsidP="00C057A8">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664598EB" w14:textId="77777777" w:rsidR="00931938" w:rsidRPr="00C057A8" w:rsidRDefault="00931938" w:rsidP="00962269">
            <w:pPr>
              <w:pStyle w:val="08-Tabelageral"/>
              <w:rPr>
                <w:rFonts w:cs="Arial"/>
                <w:b/>
              </w:rPr>
            </w:pPr>
            <w:r>
              <w:rPr>
                <w:b/>
              </w:rPr>
              <w:t>Dec</w:t>
            </w:r>
            <w:r w:rsidRPr="00C057A8">
              <w:rPr>
                <w:b/>
              </w:rPr>
              <w:t xml:space="preserve"> 3</w:t>
            </w:r>
            <w:r>
              <w:rPr>
                <w:b/>
              </w:rPr>
              <w:t>1</w:t>
            </w:r>
            <w:r w:rsidRPr="00C057A8">
              <w:rPr>
                <w:b/>
              </w:rPr>
              <w:t>, 202</w:t>
            </w:r>
            <w:r>
              <w:rPr>
                <w:b/>
              </w:rPr>
              <w:t>2</w:t>
            </w:r>
          </w:p>
        </w:tc>
        <w:tc>
          <w:tcPr>
            <w:tcW w:w="1418" w:type="dxa"/>
            <w:tcBorders>
              <w:top w:val="single" w:sz="2" w:space="0" w:color="1F4E79" w:themeColor="accent1" w:themeShade="80"/>
              <w:bottom w:val="single" w:sz="2" w:space="0" w:color="1F4E79" w:themeColor="accent1" w:themeShade="80"/>
            </w:tcBorders>
            <w:shd w:val="clear" w:color="auto" w:fill="auto"/>
          </w:tcPr>
          <w:p w14:paraId="17085DE5" w14:textId="77777777" w:rsidR="00931938" w:rsidRPr="00C057A8" w:rsidRDefault="00931938" w:rsidP="0079094F">
            <w:pPr>
              <w:pStyle w:val="08-Tabelageral"/>
              <w:rPr>
                <w:rFonts w:cs="Arial"/>
                <w:b/>
              </w:rPr>
            </w:pPr>
            <w:r w:rsidRPr="00C057A8">
              <w:rPr>
                <w:b/>
              </w:rPr>
              <w:t>Dec 31, 20</w:t>
            </w:r>
            <w:r>
              <w:rPr>
                <w:b/>
              </w:rPr>
              <w:t>21</w:t>
            </w:r>
          </w:p>
        </w:tc>
      </w:tr>
      <w:tr w:rsidR="00931938" w:rsidRPr="00E16069" w14:paraId="156C9756" w14:textId="77777777" w:rsidTr="00AB4D1D">
        <w:trPr>
          <w:trHeight w:val="238"/>
          <w:jc w:val="center"/>
        </w:trPr>
        <w:tc>
          <w:tcPr>
            <w:tcW w:w="3402" w:type="dxa"/>
            <w:tcBorders>
              <w:top w:val="single" w:sz="2" w:space="0" w:color="1F4E79" w:themeColor="accent1" w:themeShade="80"/>
              <w:bottom w:val="nil"/>
            </w:tcBorders>
            <w:shd w:val="clear" w:color="auto" w:fill="auto"/>
          </w:tcPr>
          <w:p w14:paraId="1A971019" w14:textId="77777777" w:rsidR="00931938" w:rsidRPr="00E16069" w:rsidRDefault="00931938" w:rsidP="00DD705D">
            <w:pPr>
              <w:pStyle w:val="08-Tabelageral"/>
              <w:ind w:left="113"/>
              <w:jc w:val="left"/>
              <w:rPr>
                <w:rFonts w:cs="Arial"/>
                <w:szCs w:val="14"/>
              </w:rPr>
            </w:pPr>
            <w:r>
              <w:rPr>
                <w:rFonts w:cs="Arial"/>
                <w:szCs w:val="14"/>
              </w:rPr>
              <w:t>Icome tax</w:t>
            </w:r>
          </w:p>
        </w:tc>
        <w:tc>
          <w:tcPr>
            <w:tcW w:w="296" w:type="dxa"/>
            <w:tcBorders>
              <w:top w:val="single" w:sz="2" w:space="0" w:color="1F4E79" w:themeColor="accent1" w:themeShade="80"/>
            </w:tcBorders>
            <w:shd w:val="clear" w:color="auto" w:fill="auto"/>
          </w:tcPr>
          <w:p w14:paraId="3051519F" w14:textId="77777777" w:rsidR="00931938" w:rsidRPr="00E16069" w:rsidRDefault="00931938" w:rsidP="00DD705D">
            <w:pPr>
              <w:pStyle w:val="08-Tabelageral"/>
              <w:ind w:left="113"/>
              <w:jc w:val="center"/>
              <w:rPr>
                <w:rFonts w:cs="Arial"/>
                <w:szCs w:val="14"/>
              </w:rPr>
            </w:pPr>
          </w:p>
        </w:tc>
        <w:tc>
          <w:tcPr>
            <w:tcW w:w="1411" w:type="dxa"/>
            <w:tcBorders>
              <w:top w:val="single" w:sz="2" w:space="0" w:color="1F4E79" w:themeColor="accent1" w:themeShade="80"/>
            </w:tcBorders>
            <w:shd w:val="clear" w:color="auto" w:fill="auto"/>
            <w:vAlign w:val="center"/>
          </w:tcPr>
          <w:p w14:paraId="3AB4FFA1" w14:textId="77777777" w:rsidR="00931938" w:rsidRPr="00E16069" w:rsidRDefault="00931938" w:rsidP="00DD705D">
            <w:pPr>
              <w:pStyle w:val="08-Tabelageral"/>
              <w:ind w:left="113"/>
              <w:rPr>
                <w:rFonts w:cs="Arial"/>
                <w:szCs w:val="14"/>
              </w:rPr>
            </w:pPr>
            <w:r>
              <w:rPr>
                <w:rFonts w:cs="Arial"/>
                <w:szCs w:val="14"/>
              </w:rPr>
              <w:t>--</w:t>
            </w:r>
          </w:p>
        </w:tc>
        <w:tc>
          <w:tcPr>
            <w:tcW w:w="1412" w:type="dxa"/>
            <w:tcBorders>
              <w:top w:val="single" w:sz="2" w:space="0" w:color="1F4E79" w:themeColor="accent1" w:themeShade="80"/>
            </w:tcBorders>
            <w:shd w:val="clear" w:color="auto" w:fill="auto"/>
            <w:vAlign w:val="center"/>
          </w:tcPr>
          <w:p w14:paraId="4CBF862D" w14:textId="77777777" w:rsidR="00931938" w:rsidRPr="00E16069" w:rsidRDefault="00931938" w:rsidP="00DD705D">
            <w:pPr>
              <w:pStyle w:val="08-Tabelageral"/>
              <w:ind w:left="113"/>
              <w:rPr>
                <w:rFonts w:cs="Arial"/>
                <w:szCs w:val="14"/>
              </w:rPr>
            </w:pPr>
            <w:r>
              <w:rPr>
                <w:rFonts w:cs="Arial"/>
                <w:szCs w:val="14"/>
              </w:rPr>
              <w:t>346</w:t>
            </w:r>
          </w:p>
        </w:tc>
        <w:tc>
          <w:tcPr>
            <w:tcW w:w="283" w:type="dxa"/>
            <w:tcBorders>
              <w:top w:val="single" w:sz="2" w:space="0" w:color="1F4E79" w:themeColor="accent1" w:themeShade="80"/>
            </w:tcBorders>
            <w:shd w:val="clear" w:color="auto" w:fill="auto"/>
            <w:vAlign w:val="center"/>
          </w:tcPr>
          <w:p w14:paraId="6A8B3926" w14:textId="77777777" w:rsidR="00931938" w:rsidRPr="00E16069" w:rsidRDefault="00931938" w:rsidP="00DD705D">
            <w:pPr>
              <w:pStyle w:val="08-Tabelageral"/>
              <w:ind w:left="113"/>
              <w:rPr>
                <w:rFonts w:cs="Arial"/>
                <w:szCs w:val="14"/>
              </w:rPr>
            </w:pPr>
          </w:p>
        </w:tc>
        <w:tc>
          <w:tcPr>
            <w:tcW w:w="1417" w:type="dxa"/>
            <w:tcBorders>
              <w:top w:val="single" w:sz="2" w:space="0" w:color="1F4E79" w:themeColor="accent1" w:themeShade="80"/>
            </w:tcBorders>
            <w:shd w:val="clear" w:color="auto" w:fill="auto"/>
            <w:vAlign w:val="center"/>
          </w:tcPr>
          <w:p w14:paraId="7A1C479C" w14:textId="77777777" w:rsidR="00931938" w:rsidRPr="00E16069" w:rsidRDefault="00931938" w:rsidP="00DD705D">
            <w:pPr>
              <w:pStyle w:val="08-Tabelageral"/>
              <w:ind w:left="113"/>
              <w:rPr>
                <w:rFonts w:cs="Arial"/>
                <w:szCs w:val="14"/>
              </w:rPr>
            </w:pPr>
            <w:r>
              <w:rPr>
                <w:rFonts w:cs="Arial"/>
                <w:szCs w:val="14"/>
              </w:rPr>
              <w:t>720,405</w:t>
            </w:r>
          </w:p>
        </w:tc>
        <w:tc>
          <w:tcPr>
            <w:tcW w:w="1418" w:type="dxa"/>
            <w:tcBorders>
              <w:top w:val="single" w:sz="2" w:space="0" w:color="1F4E79" w:themeColor="accent1" w:themeShade="80"/>
            </w:tcBorders>
            <w:shd w:val="clear" w:color="auto" w:fill="auto"/>
            <w:vAlign w:val="center"/>
          </w:tcPr>
          <w:p w14:paraId="29F41F96" w14:textId="77777777" w:rsidR="00931938" w:rsidRPr="00E16069" w:rsidRDefault="00931938" w:rsidP="00DD705D">
            <w:pPr>
              <w:pStyle w:val="08-Tabelageral"/>
              <w:ind w:left="113"/>
              <w:rPr>
                <w:rFonts w:cs="Arial"/>
                <w:szCs w:val="14"/>
              </w:rPr>
            </w:pPr>
            <w:r>
              <w:rPr>
                <w:rFonts w:cs="Arial"/>
                <w:szCs w:val="14"/>
              </w:rPr>
              <w:t>554,013</w:t>
            </w:r>
          </w:p>
        </w:tc>
      </w:tr>
      <w:tr w:rsidR="00931938" w:rsidRPr="00E16069" w14:paraId="6174EF29" w14:textId="77777777" w:rsidTr="00AB4D1D">
        <w:trPr>
          <w:trHeight w:val="238"/>
          <w:jc w:val="center"/>
        </w:trPr>
        <w:tc>
          <w:tcPr>
            <w:tcW w:w="3402" w:type="dxa"/>
            <w:shd w:val="clear" w:color="auto" w:fill="auto"/>
          </w:tcPr>
          <w:p w14:paraId="01F6698E" w14:textId="77777777" w:rsidR="00931938" w:rsidRPr="00E16069" w:rsidRDefault="00931938" w:rsidP="00DD705D">
            <w:pPr>
              <w:pStyle w:val="08-Tabelageral"/>
              <w:tabs>
                <w:tab w:val="right" w:pos="2878"/>
              </w:tabs>
              <w:ind w:left="113"/>
              <w:jc w:val="left"/>
              <w:rPr>
                <w:rFonts w:cs="Arial"/>
                <w:szCs w:val="14"/>
              </w:rPr>
            </w:pPr>
            <w:r>
              <w:rPr>
                <w:rFonts w:cs="Arial"/>
                <w:szCs w:val="14"/>
              </w:rPr>
              <w:t>Social contribution</w:t>
            </w:r>
            <w:r w:rsidRPr="00E16069">
              <w:rPr>
                <w:rFonts w:cs="Arial"/>
                <w:szCs w:val="14"/>
              </w:rPr>
              <w:tab/>
            </w:r>
          </w:p>
        </w:tc>
        <w:tc>
          <w:tcPr>
            <w:tcW w:w="296" w:type="dxa"/>
            <w:shd w:val="clear" w:color="auto" w:fill="auto"/>
          </w:tcPr>
          <w:p w14:paraId="653C1F9C" w14:textId="77777777" w:rsidR="00931938" w:rsidRPr="00E16069" w:rsidRDefault="00931938" w:rsidP="00DD705D">
            <w:pPr>
              <w:pStyle w:val="08-Tabelageral"/>
              <w:ind w:left="113"/>
              <w:jc w:val="center"/>
              <w:rPr>
                <w:rFonts w:cs="Arial"/>
                <w:szCs w:val="14"/>
              </w:rPr>
            </w:pPr>
          </w:p>
        </w:tc>
        <w:tc>
          <w:tcPr>
            <w:tcW w:w="1411" w:type="dxa"/>
            <w:shd w:val="clear" w:color="auto" w:fill="auto"/>
            <w:vAlign w:val="center"/>
          </w:tcPr>
          <w:p w14:paraId="4E959843" w14:textId="77777777" w:rsidR="00931938" w:rsidRPr="00E16069" w:rsidRDefault="00931938" w:rsidP="00DD705D">
            <w:pPr>
              <w:pStyle w:val="08-Tabelageral"/>
              <w:ind w:left="113"/>
              <w:rPr>
                <w:rFonts w:cs="Arial"/>
                <w:szCs w:val="14"/>
              </w:rPr>
            </w:pPr>
            <w:r>
              <w:rPr>
                <w:rFonts w:cs="Arial"/>
                <w:szCs w:val="14"/>
              </w:rPr>
              <w:t>--</w:t>
            </w:r>
          </w:p>
        </w:tc>
        <w:tc>
          <w:tcPr>
            <w:tcW w:w="1412" w:type="dxa"/>
            <w:shd w:val="clear" w:color="auto" w:fill="auto"/>
            <w:vAlign w:val="center"/>
          </w:tcPr>
          <w:p w14:paraId="5BFF2518" w14:textId="77777777" w:rsidR="00931938" w:rsidRPr="00E16069" w:rsidRDefault="00931938" w:rsidP="00DD705D">
            <w:pPr>
              <w:pStyle w:val="08-Tabelageral"/>
              <w:ind w:left="113"/>
              <w:rPr>
                <w:rFonts w:cs="Arial"/>
                <w:szCs w:val="14"/>
              </w:rPr>
            </w:pPr>
            <w:r>
              <w:rPr>
                <w:rFonts w:cs="Arial"/>
                <w:szCs w:val="14"/>
              </w:rPr>
              <w:t>104</w:t>
            </w:r>
          </w:p>
        </w:tc>
        <w:tc>
          <w:tcPr>
            <w:tcW w:w="283" w:type="dxa"/>
            <w:shd w:val="clear" w:color="auto" w:fill="auto"/>
            <w:vAlign w:val="center"/>
          </w:tcPr>
          <w:p w14:paraId="663EF2FE" w14:textId="77777777" w:rsidR="00931938" w:rsidRPr="00E16069" w:rsidRDefault="00931938" w:rsidP="00DD705D">
            <w:pPr>
              <w:pStyle w:val="08-Tabelageral"/>
              <w:ind w:left="113"/>
              <w:rPr>
                <w:rFonts w:cs="Arial"/>
                <w:szCs w:val="14"/>
              </w:rPr>
            </w:pPr>
          </w:p>
        </w:tc>
        <w:tc>
          <w:tcPr>
            <w:tcW w:w="1417" w:type="dxa"/>
            <w:shd w:val="clear" w:color="auto" w:fill="auto"/>
            <w:vAlign w:val="center"/>
          </w:tcPr>
          <w:p w14:paraId="17FCDBFC" w14:textId="77777777" w:rsidR="00931938" w:rsidRPr="00E16069" w:rsidRDefault="00931938" w:rsidP="00DD705D">
            <w:pPr>
              <w:pStyle w:val="08-Tabelageral"/>
              <w:ind w:left="113"/>
              <w:rPr>
                <w:rFonts w:cs="Arial"/>
                <w:szCs w:val="14"/>
              </w:rPr>
            </w:pPr>
            <w:r>
              <w:rPr>
                <w:rFonts w:cs="Arial"/>
                <w:szCs w:val="14"/>
              </w:rPr>
              <w:t>235,655</w:t>
            </w:r>
          </w:p>
        </w:tc>
        <w:tc>
          <w:tcPr>
            <w:tcW w:w="1418" w:type="dxa"/>
            <w:shd w:val="clear" w:color="auto" w:fill="auto"/>
            <w:vAlign w:val="center"/>
          </w:tcPr>
          <w:p w14:paraId="5A9000A0" w14:textId="77777777" w:rsidR="00931938" w:rsidRPr="00E16069" w:rsidRDefault="00931938" w:rsidP="00DD705D">
            <w:pPr>
              <w:pStyle w:val="08-Tabelageral"/>
              <w:ind w:left="113"/>
              <w:rPr>
                <w:rFonts w:cs="Arial"/>
                <w:szCs w:val="14"/>
              </w:rPr>
            </w:pPr>
            <w:r>
              <w:rPr>
                <w:rFonts w:cs="Arial"/>
                <w:szCs w:val="14"/>
              </w:rPr>
              <w:t>198,361</w:t>
            </w:r>
          </w:p>
        </w:tc>
      </w:tr>
      <w:tr w:rsidR="00931938" w:rsidRPr="00E16069" w14:paraId="7AE27AF2" w14:textId="77777777" w:rsidTr="00AB4D1D">
        <w:trPr>
          <w:trHeight w:val="238"/>
          <w:jc w:val="center"/>
        </w:trPr>
        <w:tc>
          <w:tcPr>
            <w:tcW w:w="3402" w:type="dxa"/>
            <w:shd w:val="clear" w:color="auto" w:fill="auto"/>
          </w:tcPr>
          <w:p w14:paraId="5E07ED75" w14:textId="77777777" w:rsidR="00931938" w:rsidRPr="00E16069" w:rsidRDefault="00931938" w:rsidP="00DD705D">
            <w:pPr>
              <w:pStyle w:val="08-Tabelageral"/>
              <w:ind w:left="113"/>
              <w:jc w:val="left"/>
              <w:rPr>
                <w:rFonts w:cs="Arial"/>
                <w:szCs w:val="14"/>
              </w:rPr>
            </w:pPr>
            <w:r w:rsidRPr="00E16069">
              <w:rPr>
                <w:rFonts w:cs="Arial"/>
                <w:szCs w:val="14"/>
              </w:rPr>
              <w:t>Cofins</w:t>
            </w:r>
          </w:p>
        </w:tc>
        <w:tc>
          <w:tcPr>
            <w:tcW w:w="296" w:type="dxa"/>
            <w:shd w:val="clear" w:color="auto" w:fill="auto"/>
          </w:tcPr>
          <w:p w14:paraId="712D7B1E" w14:textId="77777777" w:rsidR="00931938" w:rsidRPr="00E16069" w:rsidRDefault="00931938" w:rsidP="00DD705D">
            <w:pPr>
              <w:pStyle w:val="08-Tabelageral"/>
              <w:ind w:left="113"/>
              <w:jc w:val="center"/>
              <w:rPr>
                <w:rFonts w:cs="Arial"/>
                <w:szCs w:val="14"/>
              </w:rPr>
            </w:pPr>
          </w:p>
        </w:tc>
        <w:tc>
          <w:tcPr>
            <w:tcW w:w="1411" w:type="dxa"/>
            <w:shd w:val="clear" w:color="auto" w:fill="auto"/>
            <w:vAlign w:val="center"/>
          </w:tcPr>
          <w:p w14:paraId="78D91107" w14:textId="77777777" w:rsidR="00931938" w:rsidRPr="00E16069" w:rsidRDefault="00931938" w:rsidP="00DD705D">
            <w:pPr>
              <w:pStyle w:val="08-Tabelageral"/>
              <w:ind w:left="113"/>
              <w:rPr>
                <w:rFonts w:cs="Arial"/>
                <w:szCs w:val="14"/>
              </w:rPr>
            </w:pPr>
            <w:r>
              <w:rPr>
                <w:rFonts w:cs="Arial"/>
                <w:szCs w:val="14"/>
              </w:rPr>
              <w:t>52</w:t>
            </w:r>
          </w:p>
        </w:tc>
        <w:tc>
          <w:tcPr>
            <w:tcW w:w="1412" w:type="dxa"/>
            <w:shd w:val="clear" w:color="auto" w:fill="auto"/>
            <w:vAlign w:val="center"/>
          </w:tcPr>
          <w:p w14:paraId="3A6F1F5F" w14:textId="77777777" w:rsidR="00931938" w:rsidRPr="00E16069" w:rsidRDefault="00931938" w:rsidP="00DD705D">
            <w:pPr>
              <w:pStyle w:val="08-Tabelageral"/>
              <w:ind w:left="113"/>
              <w:rPr>
                <w:rFonts w:cs="Arial"/>
                <w:szCs w:val="14"/>
              </w:rPr>
            </w:pPr>
            <w:r>
              <w:rPr>
                <w:rFonts w:cs="Arial"/>
                <w:szCs w:val="14"/>
              </w:rPr>
              <w:t>126</w:t>
            </w:r>
          </w:p>
        </w:tc>
        <w:tc>
          <w:tcPr>
            <w:tcW w:w="283" w:type="dxa"/>
            <w:shd w:val="clear" w:color="auto" w:fill="auto"/>
            <w:vAlign w:val="center"/>
          </w:tcPr>
          <w:p w14:paraId="541353A8" w14:textId="77777777" w:rsidR="00931938" w:rsidRPr="00E16069" w:rsidRDefault="00931938" w:rsidP="00DD705D">
            <w:pPr>
              <w:pStyle w:val="08-Tabelageral"/>
              <w:ind w:left="113"/>
              <w:rPr>
                <w:rFonts w:cs="Arial"/>
                <w:szCs w:val="14"/>
              </w:rPr>
            </w:pPr>
          </w:p>
        </w:tc>
        <w:tc>
          <w:tcPr>
            <w:tcW w:w="1417" w:type="dxa"/>
            <w:shd w:val="clear" w:color="auto" w:fill="auto"/>
            <w:vAlign w:val="center"/>
          </w:tcPr>
          <w:p w14:paraId="047D2D33" w14:textId="77777777" w:rsidR="00931938" w:rsidRPr="00E16069" w:rsidRDefault="00931938" w:rsidP="00DD705D">
            <w:pPr>
              <w:pStyle w:val="08-Tabelageral"/>
              <w:ind w:left="113"/>
              <w:rPr>
                <w:rFonts w:cs="Arial"/>
                <w:szCs w:val="14"/>
              </w:rPr>
            </w:pPr>
            <w:r>
              <w:rPr>
                <w:rFonts w:cs="Arial"/>
                <w:szCs w:val="14"/>
              </w:rPr>
              <w:t>56,710</w:t>
            </w:r>
          </w:p>
        </w:tc>
        <w:tc>
          <w:tcPr>
            <w:tcW w:w="1418" w:type="dxa"/>
            <w:shd w:val="clear" w:color="auto" w:fill="auto"/>
            <w:vAlign w:val="center"/>
          </w:tcPr>
          <w:p w14:paraId="513BB6D9" w14:textId="77777777" w:rsidR="00931938" w:rsidRPr="00E16069" w:rsidRDefault="00931938" w:rsidP="00DD705D">
            <w:pPr>
              <w:pStyle w:val="08-Tabelageral"/>
              <w:ind w:left="113"/>
              <w:rPr>
                <w:rFonts w:cs="Arial"/>
                <w:szCs w:val="14"/>
              </w:rPr>
            </w:pPr>
            <w:r>
              <w:rPr>
                <w:rFonts w:cs="Arial"/>
                <w:szCs w:val="14"/>
              </w:rPr>
              <w:t>41,428</w:t>
            </w:r>
          </w:p>
        </w:tc>
      </w:tr>
      <w:tr w:rsidR="00931938" w:rsidRPr="00E16069" w14:paraId="3002E9EC" w14:textId="77777777" w:rsidTr="00AB4D1D">
        <w:trPr>
          <w:trHeight w:val="238"/>
          <w:jc w:val="center"/>
        </w:trPr>
        <w:tc>
          <w:tcPr>
            <w:tcW w:w="3402" w:type="dxa"/>
            <w:shd w:val="clear" w:color="auto" w:fill="auto"/>
          </w:tcPr>
          <w:p w14:paraId="5D938721" w14:textId="77777777" w:rsidR="00931938" w:rsidRPr="00E16069" w:rsidRDefault="00931938" w:rsidP="00DD705D">
            <w:pPr>
              <w:pStyle w:val="08-Tabelageral"/>
              <w:ind w:left="113"/>
              <w:jc w:val="left"/>
              <w:rPr>
                <w:rFonts w:cs="Arial"/>
                <w:szCs w:val="14"/>
              </w:rPr>
            </w:pPr>
            <w:r w:rsidRPr="00E16069">
              <w:rPr>
                <w:rFonts w:cs="Arial"/>
                <w:szCs w:val="14"/>
              </w:rPr>
              <w:t>ISS</w:t>
            </w:r>
          </w:p>
        </w:tc>
        <w:tc>
          <w:tcPr>
            <w:tcW w:w="296" w:type="dxa"/>
            <w:shd w:val="clear" w:color="auto" w:fill="auto"/>
          </w:tcPr>
          <w:p w14:paraId="7FB3E882" w14:textId="77777777" w:rsidR="00931938" w:rsidRPr="00E16069" w:rsidRDefault="00931938" w:rsidP="00DD705D">
            <w:pPr>
              <w:pStyle w:val="08-Tabelageral"/>
              <w:ind w:left="113"/>
              <w:jc w:val="center"/>
              <w:rPr>
                <w:rFonts w:cs="Arial"/>
                <w:szCs w:val="14"/>
              </w:rPr>
            </w:pPr>
          </w:p>
        </w:tc>
        <w:tc>
          <w:tcPr>
            <w:tcW w:w="1411" w:type="dxa"/>
            <w:shd w:val="clear" w:color="auto" w:fill="auto"/>
            <w:vAlign w:val="center"/>
          </w:tcPr>
          <w:p w14:paraId="33EBB62B" w14:textId="77777777" w:rsidR="00931938" w:rsidRPr="00E16069" w:rsidRDefault="00931938" w:rsidP="00DD705D">
            <w:pPr>
              <w:pStyle w:val="08-Tabelageral"/>
              <w:ind w:left="113"/>
              <w:rPr>
                <w:rFonts w:cs="Arial"/>
                <w:szCs w:val="14"/>
              </w:rPr>
            </w:pPr>
            <w:r>
              <w:rPr>
                <w:rFonts w:cs="Arial"/>
                <w:szCs w:val="14"/>
              </w:rPr>
              <w:t>--</w:t>
            </w:r>
          </w:p>
        </w:tc>
        <w:tc>
          <w:tcPr>
            <w:tcW w:w="1412" w:type="dxa"/>
            <w:shd w:val="clear" w:color="auto" w:fill="auto"/>
            <w:vAlign w:val="center"/>
          </w:tcPr>
          <w:p w14:paraId="74B85BAC" w14:textId="77777777" w:rsidR="00931938" w:rsidRPr="00E16069" w:rsidRDefault="00931938" w:rsidP="00DD705D">
            <w:pPr>
              <w:pStyle w:val="08-Tabelageral"/>
              <w:ind w:left="113"/>
              <w:rPr>
                <w:rFonts w:cs="Arial"/>
                <w:szCs w:val="14"/>
              </w:rPr>
            </w:pPr>
            <w:r>
              <w:rPr>
                <w:rFonts w:cs="Arial"/>
                <w:szCs w:val="14"/>
              </w:rPr>
              <w:t>--</w:t>
            </w:r>
          </w:p>
        </w:tc>
        <w:tc>
          <w:tcPr>
            <w:tcW w:w="283" w:type="dxa"/>
            <w:shd w:val="clear" w:color="auto" w:fill="auto"/>
            <w:vAlign w:val="center"/>
          </w:tcPr>
          <w:p w14:paraId="5FA1BD55" w14:textId="77777777" w:rsidR="00931938" w:rsidRPr="00E16069" w:rsidRDefault="00931938" w:rsidP="00DD705D">
            <w:pPr>
              <w:pStyle w:val="08-Tabelageral"/>
              <w:ind w:left="113"/>
              <w:rPr>
                <w:rFonts w:cs="Arial"/>
                <w:szCs w:val="14"/>
              </w:rPr>
            </w:pPr>
          </w:p>
        </w:tc>
        <w:tc>
          <w:tcPr>
            <w:tcW w:w="1417" w:type="dxa"/>
            <w:shd w:val="clear" w:color="auto" w:fill="auto"/>
            <w:vAlign w:val="center"/>
          </w:tcPr>
          <w:p w14:paraId="5AE95CCA" w14:textId="77777777" w:rsidR="00931938" w:rsidRPr="00E16069" w:rsidRDefault="00931938" w:rsidP="00DD705D">
            <w:pPr>
              <w:pStyle w:val="08-Tabelageral"/>
              <w:ind w:left="113"/>
              <w:rPr>
                <w:rFonts w:cs="Arial"/>
                <w:szCs w:val="14"/>
              </w:rPr>
            </w:pPr>
            <w:r>
              <w:rPr>
                <w:rFonts w:cs="Arial"/>
                <w:szCs w:val="14"/>
              </w:rPr>
              <w:t>14,121</w:t>
            </w:r>
          </w:p>
        </w:tc>
        <w:tc>
          <w:tcPr>
            <w:tcW w:w="1418" w:type="dxa"/>
            <w:shd w:val="clear" w:color="auto" w:fill="auto"/>
            <w:vAlign w:val="center"/>
          </w:tcPr>
          <w:p w14:paraId="45999556" w14:textId="77777777" w:rsidR="00931938" w:rsidRPr="00E16069" w:rsidRDefault="00931938" w:rsidP="00DD705D">
            <w:pPr>
              <w:pStyle w:val="08-Tabelageral"/>
              <w:ind w:left="113"/>
              <w:rPr>
                <w:rFonts w:cs="Arial"/>
                <w:szCs w:val="14"/>
              </w:rPr>
            </w:pPr>
            <w:r>
              <w:rPr>
                <w:rFonts w:cs="Arial"/>
                <w:szCs w:val="14"/>
              </w:rPr>
              <w:t>14,436</w:t>
            </w:r>
          </w:p>
        </w:tc>
      </w:tr>
      <w:tr w:rsidR="00931938" w:rsidRPr="00E16069" w14:paraId="1D433E99" w14:textId="77777777" w:rsidTr="00AB4D1D">
        <w:trPr>
          <w:trHeight w:val="238"/>
          <w:jc w:val="center"/>
        </w:trPr>
        <w:tc>
          <w:tcPr>
            <w:tcW w:w="3402" w:type="dxa"/>
            <w:shd w:val="clear" w:color="auto" w:fill="auto"/>
          </w:tcPr>
          <w:p w14:paraId="7AD4C8DD" w14:textId="77777777" w:rsidR="00931938" w:rsidRPr="00E16069" w:rsidRDefault="00931938" w:rsidP="00DD705D">
            <w:pPr>
              <w:pStyle w:val="08-Tabelageral"/>
              <w:ind w:left="113"/>
              <w:jc w:val="left"/>
              <w:rPr>
                <w:rFonts w:cs="Arial"/>
                <w:szCs w:val="14"/>
              </w:rPr>
            </w:pPr>
            <w:r w:rsidRPr="00E16069">
              <w:rPr>
                <w:rFonts w:cs="Arial"/>
                <w:szCs w:val="14"/>
              </w:rPr>
              <w:t>Pasep</w:t>
            </w:r>
          </w:p>
        </w:tc>
        <w:tc>
          <w:tcPr>
            <w:tcW w:w="296" w:type="dxa"/>
            <w:shd w:val="clear" w:color="auto" w:fill="auto"/>
          </w:tcPr>
          <w:p w14:paraId="502AC716" w14:textId="77777777" w:rsidR="00931938" w:rsidRPr="00E16069" w:rsidRDefault="00931938" w:rsidP="00DD705D">
            <w:pPr>
              <w:pStyle w:val="08-Tabelageral"/>
              <w:ind w:left="113"/>
              <w:jc w:val="center"/>
              <w:rPr>
                <w:rFonts w:cs="Arial"/>
                <w:szCs w:val="14"/>
              </w:rPr>
            </w:pPr>
          </w:p>
        </w:tc>
        <w:tc>
          <w:tcPr>
            <w:tcW w:w="1411" w:type="dxa"/>
            <w:shd w:val="clear" w:color="auto" w:fill="auto"/>
            <w:vAlign w:val="center"/>
          </w:tcPr>
          <w:p w14:paraId="14247A20" w14:textId="77777777" w:rsidR="00931938" w:rsidRPr="00E16069" w:rsidRDefault="00931938" w:rsidP="00DD705D">
            <w:pPr>
              <w:pStyle w:val="08-Tabelageral"/>
              <w:ind w:left="113"/>
              <w:rPr>
                <w:rFonts w:cs="Arial"/>
                <w:szCs w:val="14"/>
              </w:rPr>
            </w:pPr>
            <w:r>
              <w:rPr>
                <w:rFonts w:cs="Arial"/>
                <w:szCs w:val="14"/>
              </w:rPr>
              <w:t>8</w:t>
            </w:r>
          </w:p>
        </w:tc>
        <w:tc>
          <w:tcPr>
            <w:tcW w:w="1412" w:type="dxa"/>
            <w:shd w:val="clear" w:color="auto" w:fill="auto"/>
            <w:vAlign w:val="center"/>
          </w:tcPr>
          <w:p w14:paraId="566DDD03" w14:textId="77777777" w:rsidR="00931938" w:rsidRPr="00E16069" w:rsidRDefault="00931938" w:rsidP="00DD705D">
            <w:pPr>
              <w:pStyle w:val="08-Tabelageral"/>
              <w:ind w:left="113"/>
              <w:rPr>
                <w:rFonts w:cs="Arial"/>
                <w:szCs w:val="14"/>
              </w:rPr>
            </w:pPr>
            <w:r>
              <w:rPr>
                <w:rFonts w:cs="Arial"/>
                <w:szCs w:val="14"/>
              </w:rPr>
              <w:t>21</w:t>
            </w:r>
          </w:p>
        </w:tc>
        <w:tc>
          <w:tcPr>
            <w:tcW w:w="283" w:type="dxa"/>
            <w:shd w:val="clear" w:color="auto" w:fill="auto"/>
            <w:vAlign w:val="center"/>
          </w:tcPr>
          <w:p w14:paraId="4FC4AF8E" w14:textId="77777777" w:rsidR="00931938" w:rsidRPr="00E16069" w:rsidRDefault="00931938" w:rsidP="00DD705D">
            <w:pPr>
              <w:pStyle w:val="08-Tabelageral"/>
              <w:ind w:left="113"/>
              <w:rPr>
                <w:rFonts w:cs="Arial"/>
                <w:szCs w:val="14"/>
              </w:rPr>
            </w:pPr>
          </w:p>
        </w:tc>
        <w:tc>
          <w:tcPr>
            <w:tcW w:w="1417" w:type="dxa"/>
            <w:shd w:val="clear" w:color="auto" w:fill="auto"/>
            <w:vAlign w:val="center"/>
          </w:tcPr>
          <w:p w14:paraId="478FB0E7" w14:textId="77777777" w:rsidR="00931938" w:rsidRPr="00E16069" w:rsidRDefault="00931938" w:rsidP="00DD705D">
            <w:pPr>
              <w:pStyle w:val="08-Tabelageral"/>
              <w:ind w:left="113"/>
              <w:rPr>
                <w:rFonts w:cs="Arial"/>
                <w:szCs w:val="14"/>
              </w:rPr>
            </w:pPr>
            <w:r>
              <w:rPr>
                <w:rFonts w:cs="Arial"/>
                <w:szCs w:val="14"/>
              </w:rPr>
              <w:t>12,162</w:t>
            </w:r>
          </w:p>
        </w:tc>
        <w:tc>
          <w:tcPr>
            <w:tcW w:w="1418" w:type="dxa"/>
            <w:shd w:val="clear" w:color="auto" w:fill="auto"/>
            <w:vAlign w:val="center"/>
          </w:tcPr>
          <w:p w14:paraId="6E827158" w14:textId="77777777" w:rsidR="00931938" w:rsidRPr="00E16069" w:rsidRDefault="00931938" w:rsidP="00DD705D">
            <w:pPr>
              <w:pStyle w:val="08-Tabelageral"/>
              <w:ind w:left="113"/>
              <w:rPr>
                <w:rFonts w:cs="Arial"/>
                <w:szCs w:val="14"/>
              </w:rPr>
            </w:pPr>
            <w:r>
              <w:rPr>
                <w:rFonts w:cs="Arial"/>
                <w:szCs w:val="14"/>
              </w:rPr>
              <w:t>8,928</w:t>
            </w:r>
          </w:p>
        </w:tc>
      </w:tr>
      <w:tr w:rsidR="00931938" w:rsidRPr="00E16069" w14:paraId="7C8845FE" w14:textId="77777777" w:rsidTr="00AB4D1D">
        <w:trPr>
          <w:trHeight w:val="238"/>
          <w:jc w:val="center"/>
        </w:trPr>
        <w:tc>
          <w:tcPr>
            <w:tcW w:w="3402" w:type="dxa"/>
            <w:shd w:val="clear" w:color="auto" w:fill="auto"/>
          </w:tcPr>
          <w:p w14:paraId="37C5305A" w14:textId="77777777" w:rsidR="00931938" w:rsidRPr="00E16069" w:rsidRDefault="00931938" w:rsidP="00DD705D">
            <w:pPr>
              <w:pStyle w:val="08-Tabelageral"/>
              <w:ind w:left="113"/>
              <w:jc w:val="left"/>
              <w:rPr>
                <w:rFonts w:cs="Arial"/>
                <w:szCs w:val="14"/>
              </w:rPr>
            </w:pPr>
            <w:r>
              <w:rPr>
                <w:rFonts w:cs="Arial"/>
                <w:szCs w:val="14"/>
              </w:rPr>
              <w:t>Other</w:t>
            </w:r>
          </w:p>
        </w:tc>
        <w:tc>
          <w:tcPr>
            <w:tcW w:w="296" w:type="dxa"/>
            <w:shd w:val="clear" w:color="auto" w:fill="auto"/>
          </w:tcPr>
          <w:p w14:paraId="22DCAC16" w14:textId="77777777" w:rsidR="00931938" w:rsidRPr="00E16069" w:rsidRDefault="00931938" w:rsidP="00DD705D">
            <w:pPr>
              <w:pStyle w:val="08-Tabelageral"/>
              <w:jc w:val="center"/>
              <w:rPr>
                <w:rFonts w:cs="Arial"/>
                <w:szCs w:val="14"/>
              </w:rPr>
            </w:pPr>
          </w:p>
        </w:tc>
        <w:tc>
          <w:tcPr>
            <w:tcW w:w="1411" w:type="dxa"/>
            <w:shd w:val="clear" w:color="auto" w:fill="auto"/>
            <w:vAlign w:val="center"/>
          </w:tcPr>
          <w:p w14:paraId="06C29519" w14:textId="77777777" w:rsidR="00931938" w:rsidRPr="00E16069" w:rsidRDefault="00931938" w:rsidP="00DD705D">
            <w:pPr>
              <w:pStyle w:val="08-Tabelageral"/>
              <w:rPr>
                <w:rFonts w:cs="Arial"/>
                <w:szCs w:val="14"/>
              </w:rPr>
            </w:pPr>
            <w:r>
              <w:rPr>
                <w:rFonts w:cs="Arial"/>
                <w:szCs w:val="14"/>
              </w:rPr>
              <w:t>31</w:t>
            </w:r>
          </w:p>
        </w:tc>
        <w:tc>
          <w:tcPr>
            <w:tcW w:w="1412" w:type="dxa"/>
            <w:shd w:val="clear" w:color="auto" w:fill="auto"/>
            <w:vAlign w:val="center"/>
          </w:tcPr>
          <w:p w14:paraId="71DE9009" w14:textId="77777777" w:rsidR="00931938" w:rsidRPr="00E16069" w:rsidRDefault="00931938" w:rsidP="00DD705D">
            <w:pPr>
              <w:pStyle w:val="08-Tabelageral"/>
              <w:rPr>
                <w:rFonts w:cs="Arial"/>
                <w:szCs w:val="14"/>
              </w:rPr>
            </w:pPr>
            <w:r>
              <w:rPr>
                <w:rFonts w:cs="Arial"/>
                <w:szCs w:val="14"/>
              </w:rPr>
              <w:t>19</w:t>
            </w:r>
          </w:p>
        </w:tc>
        <w:tc>
          <w:tcPr>
            <w:tcW w:w="283" w:type="dxa"/>
            <w:shd w:val="clear" w:color="auto" w:fill="auto"/>
            <w:vAlign w:val="center"/>
          </w:tcPr>
          <w:p w14:paraId="02488CB4" w14:textId="77777777" w:rsidR="00931938" w:rsidRPr="00E16069" w:rsidRDefault="00931938" w:rsidP="00DD705D">
            <w:pPr>
              <w:pStyle w:val="08-Tabelageral"/>
              <w:rPr>
                <w:rFonts w:cs="Arial"/>
                <w:szCs w:val="14"/>
              </w:rPr>
            </w:pPr>
          </w:p>
        </w:tc>
        <w:tc>
          <w:tcPr>
            <w:tcW w:w="1417" w:type="dxa"/>
            <w:shd w:val="clear" w:color="auto" w:fill="auto"/>
            <w:vAlign w:val="center"/>
          </w:tcPr>
          <w:p w14:paraId="344A8A5E" w14:textId="77777777" w:rsidR="00931938" w:rsidRPr="00E16069" w:rsidRDefault="00931938" w:rsidP="00DD705D">
            <w:pPr>
              <w:pStyle w:val="08-Tabelageral"/>
              <w:rPr>
                <w:rFonts w:cs="Arial"/>
                <w:szCs w:val="14"/>
              </w:rPr>
            </w:pPr>
            <w:r>
              <w:rPr>
                <w:rFonts w:cs="Arial"/>
                <w:szCs w:val="14"/>
              </w:rPr>
              <w:t>62</w:t>
            </w:r>
          </w:p>
        </w:tc>
        <w:tc>
          <w:tcPr>
            <w:tcW w:w="1418" w:type="dxa"/>
            <w:shd w:val="clear" w:color="auto" w:fill="auto"/>
            <w:vAlign w:val="center"/>
          </w:tcPr>
          <w:p w14:paraId="2AAAFBBD" w14:textId="77777777" w:rsidR="00931938" w:rsidRPr="00E16069" w:rsidRDefault="00931938" w:rsidP="00DD705D">
            <w:pPr>
              <w:pStyle w:val="08-Tabelageral"/>
              <w:rPr>
                <w:rFonts w:cs="Arial"/>
                <w:szCs w:val="14"/>
              </w:rPr>
            </w:pPr>
            <w:r>
              <w:rPr>
                <w:rFonts w:cs="Arial"/>
                <w:szCs w:val="14"/>
              </w:rPr>
              <w:t>28</w:t>
            </w:r>
          </w:p>
        </w:tc>
      </w:tr>
      <w:tr w:rsidR="00931938" w:rsidRPr="00E16069" w14:paraId="54B11ED7" w14:textId="77777777" w:rsidTr="00AB4D1D">
        <w:trPr>
          <w:trHeight w:val="238"/>
          <w:jc w:val="center"/>
        </w:trPr>
        <w:tc>
          <w:tcPr>
            <w:tcW w:w="3402" w:type="dxa"/>
            <w:tcBorders>
              <w:bottom w:val="nil"/>
            </w:tcBorders>
            <w:shd w:val="clear" w:color="auto" w:fill="auto"/>
          </w:tcPr>
          <w:p w14:paraId="12F2144B" w14:textId="77777777" w:rsidR="00931938" w:rsidRPr="00E16069" w:rsidRDefault="00931938" w:rsidP="00DD705D">
            <w:pPr>
              <w:pStyle w:val="08-Tabelageral"/>
              <w:ind w:left="113"/>
              <w:jc w:val="left"/>
              <w:rPr>
                <w:rFonts w:cs="Arial"/>
                <w:szCs w:val="14"/>
              </w:rPr>
            </w:pPr>
            <w:r w:rsidRPr="00E16069">
              <w:rPr>
                <w:rFonts w:cs="Arial"/>
                <w:szCs w:val="14"/>
              </w:rPr>
              <w:t>(-)</w:t>
            </w:r>
            <w:r>
              <w:rPr>
                <w:rFonts w:cs="Arial"/>
                <w:szCs w:val="14"/>
              </w:rPr>
              <w:t xml:space="preserve"> Current taxes deducted/offset</w:t>
            </w:r>
          </w:p>
        </w:tc>
        <w:tc>
          <w:tcPr>
            <w:tcW w:w="296" w:type="dxa"/>
            <w:tcBorders>
              <w:bottom w:val="nil"/>
            </w:tcBorders>
            <w:shd w:val="clear" w:color="auto" w:fill="auto"/>
          </w:tcPr>
          <w:p w14:paraId="6C012DD3" w14:textId="77777777" w:rsidR="00931938" w:rsidRPr="00E16069" w:rsidRDefault="00931938" w:rsidP="00DD705D">
            <w:pPr>
              <w:pStyle w:val="08-Tabelageral"/>
              <w:ind w:left="113"/>
              <w:jc w:val="center"/>
              <w:rPr>
                <w:rFonts w:cs="Arial"/>
                <w:szCs w:val="14"/>
              </w:rPr>
            </w:pPr>
          </w:p>
        </w:tc>
        <w:tc>
          <w:tcPr>
            <w:tcW w:w="1411" w:type="dxa"/>
            <w:tcBorders>
              <w:bottom w:val="nil"/>
            </w:tcBorders>
            <w:shd w:val="clear" w:color="auto" w:fill="auto"/>
            <w:vAlign w:val="center"/>
          </w:tcPr>
          <w:p w14:paraId="0447FAC8" w14:textId="77777777" w:rsidR="00931938" w:rsidRPr="00E16069" w:rsidRDefault="00931938" w:rsidP="00DD705D">
            <w:pPr>
              <w:pStyle w:val="08-Tabelageral"/>
              <w:ind w:left="113"/>
              <w:rPr>
                <w:rFonts w:cs="Arial"/>
                <w:szCs w:val="14"/>
              </w:rPr>
            </w:pPr>
            <w:r>
              <w:rPr>
                <w:rFonts w:cs="Arial"/>
                <w:szCs w:val="14"/>
              </w:rPr>
              <w:t>(60)</w:t>
            </w:r>
          </w:p>
        </w:tc>
        <w:tc>
          <w:tcPr>
            <w:tcW w:w="1412" w:type="dxa"/>
            <w:tcBorders>
              <w:bottom w:val="nil"/>
            </w:tcBorders>
            <w:shd w:val="clear" w:color="auto" w:fill="auto"/>
            <w:vAlign w:val="center"/>
          </w:tcPr>
          <w:p w14:paraId="586C7956" w14:textId="77777777" w:rsidR="00931938" w:rsidRPr="00E16069" w:rsidRDefault="00931938" w:rsidP="00DD705D">
            <w:pPr>
              <w:pStyle w:val="08-Tabelageral"/>
              <w:ind w:left="113"/>
              <w:rPr>
                <w:rFonts w:cs="Arial"/>
                <w:szCs w:val="14"/>
              </w:rPr>
            </w:pPr>
            <w:r>
              <w:rPr>
                <w:rFonts w:cs="Arial"/>
                <w:szCs w:val="14"/>
              </w:rPr>
              <w:t>(172)</w:t>
            </w:r>
          </w:p>
        </w:tc>
        <w:tc>
          <w:tcPr>
            <w:tcW w:w="283" w:type="dxa"/>
            <w:tcBorders>
              <w:bottom w:val="nil"/>
            </w:tcBorders>
            <w:shd w:val="clear" w:color="auto" w:fill="auto"/>
            <w:vAlign w:val="center"/>
          </w:tcPr>
          <w:p w14:paraId="5477B84D" w14:textId="77777777" w:rsidR="00931938" w:rsidRPr="00E16069" w:rsidRDefault="00931938" w:rsidP="00DD705D">
            <w:pPr>
              <w:pStyle w:val="08-Tabelageral"/>
              <w:ind w:left="113"/>
              <w:rPr>
                <w:rFonts w:cs="Arial"/>
                <w:szCs w:val="14"/>
              </w:rPr>
            </w:pPr>
          </w:p>
        </w:tc>
        <w:tc>
          <w:tcPr>
            <w:tcW w:w="1417" w:type="dxa"/>
            <w:tcBorders>
              <w:bottom w:val="nil"/>
            </w:tcBorders>
            <w:shd w:val="clear" w:color="auto" w:fill="auto"/>
            <w:vAlign w:val="center"/>
          </w:tcPr>
          <w:p w14:paraId="0FE63692" w14:textId="77777777" w:rsidR="00931938" w:rsidRPr="00E16069" w:rsidRDefault="00931938" w:rsidP="00DD705D">
            <w:pPr>
              <w:pStyle w:val="08-Tabelageral"/>
              <w:ind w:left="113"/>
              <w:rPr>
                <w:rFonts w:cs="Arial"/>
                <w:szCs w:val="14"/>
              </w:rPr>
            </w:pPr>
            <w:r>
              <w:rPr>
                <w:rFonts w:cs="Arial"/>
                <w:szCs w:val="14"/>
              </w:rPr>
              <w:t>(75,241)</w:t>
            </w:r>
          </w:p>
        </w:tc>
        <w:tc>
          <w:tcPr>
            <w:tcW w:w="1418" w:type="dxa"/>
            <w:tcBorders>
              <w:bottom w:val="nil"/>
            </w:tcBorders>
            <w:shd w:val="clear" w:color="auto" w:fill="auto"/>
            <w:vAlign w:val="center"/>
          </w:tcPr>
          <w:p w14:paraId="0DC8354A" w14:textId="77777777" w:rsidR="00931938" w:rsidRPr="00E16069" w:rsidRDefault="00931938" w:rsidP="00DD705D">
            <w:pPr>
              <w:pStyle w:val="08-Tabelageral"/>
              <w:ind w:left="113"/>
              <w:rPr>
                <w:rFonts w:cs="Arial"/>
                <w:szCs w:val="14"/>
              </w:rPr>
            </w:pPr>
            <w:r>
              <w:rPr>
                <w:rFonts w:cs="Arial"/>
                <w:szCs w:val="14"/>
              </w:rPr>
              <w:t>(54,675)</w:t>
            </w:r>
          </w:p>
        </w:tc>
      </w:tr>
      <w:tr w:rsidR="00931938" w:rsidRPr="00E16069" w14:paraId="44DAC081" w14:textId="77777777" w:rsidTr="00AB4D1D">
        <w:trPr>
          <w:trHeight w:val="238"/>
          <w:jc w:val="center"/>
        </w:trPr>
        <w:tc>
          <w:tcPr>
            <w:tcW w:w="3402" w:type="dxa"/>
            <w:tcBorders>
              <w:top w:val="nil"/>
              <w:bottom w:val="single" w:sz="2" w:space="0" w:color="1F4E79" w:themeColor="accent1" w:themeShade="80"/>
            </w:tcBorders>
            <w:shd w:val="clear" w:color="auto" w:fill="auto"/>
          </w:tcPr>
          <w:p w14:paraId="29F8F878" w14:textId="77777777" w:rsidR="00931938" w:rsidRPr="00E16069" w:rsidRDefault="00931938" w:rsidP="00DD705D">
            <w:pPr>
              <w:pStyle w:val="08-Tabelageral"/>
              <w:jc w:val="left"/>
              <w:rPr>
                <w:rFonts w:cs="Arial"/>
                <w:b/>
                <w:vertAlign w:val="superscript"/>
              </w:rPr>
            </w:pPr>
            <w:r w:rsidRPr="00E16069">
              <w:rPr>
                <w:rFonts w:cs="Arial"/>
                <w:b/>
              </w:rPr>
              <w:t>Total</w:t>
            </w:r>
          </w:p>
        </w:tc>
        <w:tc>
          <w:tcPr>
            <w:tcW w:w="296" w:type="dxa"/>
            <w:tcBorders>
              <w:top w:val="nil"/>
              <w:bottom w:val="single" w:sz="2" w:space="0" w:color="1F4E79" w:themeColor="accent1" w:themeShade="80"/>
            </w:tcBorders>
            <w:shd w:val="clear" w:color="auto" w:fill="auto"/>
          </w:tcPr>
          <w:p w14:paraId="4F60EFAE" w14:textId="77777777" w:rsidR="00931938" w:rsidRPr="00E16069" w:rsidRDefault="00931938" w:rsidP="00DD705D">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54D7C91E" w14:textId="77777777" w:rsidR="00931938" w:rsidRPr="00E16069" w:rsidRDefault="00931938" w:rsidP="00DD705D">
            <w:pPr>
              <w:pStyle w:val="08-Tabelageral"/>
              <w:rPr>
                <w:rFonts w:cs="Arial"/>
                <w:b/>
                <w:szCs w:val="14"/>
              </w:rPr>
            </w:pPr>
            <w:r>
              <w:rPr>
                <w:rFonts w:cs="Arial"/>
                <w:b/>
                <w:szCs w:val="14"/>
              </w:rPr>
              <w:t>31</w:t>
            </w:r>
          </w:p>
        </w:tc>
        <w:tc>
          <w:tcPr>
            <w:tcW w:w="1412" w:type="dxa"/>
            <w:tcBorders>
              <w:top w:val="nil"/>
              <w:bottom w:val="single" w:sz="2" w:space="0" w:color="1F4E79" w:themeColor="accent1" w:themeShade="80"/>
            </w:tcBorders>
            <w:shd w:val="clear" w:color="auto" w:fill="auto"/>
            <w:vAlign w:val="center"/>
          </w:tcPr>
          <w:p w14:paraId="754B54BE" w14:textId="77777777" w:rsidR="00931938" w:rsidRPr="00E16069" w:rsidRDefault="00931938" w:rsidP="00DD705D">
            <w:pPr>
              <w:pStyle w:val="08-Tabelageral"/>
              <w:rPr>
                <w:rFonts w:cs="Arial"/>
                <w:b/>
                <w:szCs w:val="14"/>
              </w:rPr>
            </w:pPr>
            <w:r>
              <w:rPr>
                <w:rFonts w:cs="Arial"/>
                <w:b/>
                <w:szCs w:val="14"/>
              </w:rPr>
              <w:t>444</w:t>
            </w:r>
          </w:p>
        </w:tc>
        <w:tc>
          <w:tcPr>
            <w:tcW w:w="283" w:type="dxa"/>
            <w:tcBorders>
              <w:top w:val="nil"/>
              <w:bottom w:val="single" w:sz="2" w:space="0" w:color="1F4E79" w:themeColor="accent1" w:themeShade="80"/>
            </w:tcBorders>
            <w:shd w:val="clear" w:color="auto" w:fill="auto"/>
            <w:vAlign w:val="center"/>
          </w:tcPr>
          <w:p w14:paraId="65FEFCD9" w14:textId="77777777" w:rsidR="00931938" w:rsidRPr="00E16069" w:rsidRDefault="00931938" w:rsidP="00DD705D">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02370C8B" w14:textId="77777777" w:rsidR="00931938" w:rsidRPr="00E16069" w:rsidRDefault="00931938" w:rsidP="00DD705D">
            <w:pPr>
              <w:pStyle w:val="08-Tabelageral"/>
              <w:rPr>
                <w:rFonts w:cs="Arial"/>
                <w:b/>
                <w:szCs w:val="14"/>
              </w:rPr>
            </w:pPr>
            <w:r>
              <w:rPr>
                <w:rFonts w:cs="Arial"/>
                <w:b/>
                <w:szCs w:val="14"/>
              </w:rPr>
              <w:t>963,874</w:t>
            </w:r>
          </w:p>
        </w:tc>
        <w:tc>
          <w:tcPr>
            <w:tcW w:w="1418" w:type="dxa"/>
            <w:tcBorders>
              <w:top w:val="nil"/>
              <w:bottom w:val="single" w:sz="2" w:space="0" w:color="1F4E79" w:themeColor="accent1" w:themeShade="80"/>
            </w:tcBorders>
            <w:shd w:val="clear" w:color="auto" w:fill="auto"/>
            <w:vAlign w:val="center"/>
          </w:tcPr>
          <w:p w14:paraId="14E8DFB4" w14:textId="77777777" w:rsidR="00931938" w:rsidRPr="00E16069" w:rsidRDefault="00931938" w:rsidP="00DD705D">
            <w:pPr>
              <w:pStyle w:val="08-Tabelageral"/>
              <w:rPr>
                <w:rFonts w:cs="Arial"/>
                <w:b/>
                <w:szCs w:val="14"/>
              </w:rPr>
            </w:pPr>
            <w:r>
              <w:rPr>
                <w:rFonts w:cs="Arial"/>
                <w:b/>
                <w:szCs w:val="14"/>
              </w:rPr>
              <w:t>762,519</w:t>
            </w:r>
          </w:p>
        </w:tc>
      </w:tr>
    </w:tbl>
    <w:p w14:paraId="1717E39E" w14:textId="77777777" w:rsidR="00931938" w:rsidRPr="00D909F0" w:rsidRDefault="00931938" w:rsidP="00931938">
      <w:pPr>
        <w:pStyle w:val="PargrafodaLista"/>
        <w:widowControl w:val="0"/>
        <w:numPr>
          <w:ilvl w:val="0"/>
          <w:numId w:val="39"/>
        </w:numPr>
        <w:spacing w:after="40" w:line="240" w:lineRule="auto"/>
        <w:jc w:val="both"/>
        <w:rPr>
          <w:rFonts w:ascii="Arial" w:hAnsi="Arial" w:cs="Arial"/>
          <w:b/>
          <w:color w:val="1F4E79" w:themeColor="accent1" w:themeShade="80"/>
          <w:sz w:val="14"/>
          <w:szCs w:val="14"/>
          <w:lang w:val="en-US"/>
        </w:rPr>
      </w:pPr>
      <w:r w:rsidRPr="00D909F0">
        <w:rPr>
          <w:rFonts w:ascii="Arial" w:hAnsi="Arial" w:cs="Arial"/>
          <w:sz w:val="14"/>
          <w:szCs w:val="14"/>
          <w:lang w:val="en-US"/>
        </w:rPr>
        <w:t>Refer to tax credits (withholding tax) deducted or offset against tax debts.</w:t>
      </w:r>
    </w:p>
    <w:p w14:paraId="0A83D435" w14:textId="77777777" w:rsidR="00931938" w:rsidRPr="00D909F0" w:rsidRDefault="00931938" w:rsidP="00444B6A">
      <w:pPr>
        <w:keepNext/>
        <w:spacing w:after="40"/>
        <w:rPr>
          <w:rFonts w:cs="Arial"/>
          <w:b/>
          <w:color w:val="1F4E79" w:themeColor="accent1" w:themeShade="80"/>
          <w:szCs w:val="18"/>
          <w:lang w:val="en-US"/>
        </w:rPr>
      </w:pPr>
      <w:r w:rsidRPr="00D909F0">
        <w:rPr>
          <w:rFonts w:cs="Arial"/>
          <w:b/>
          <w:color w:val="1F4E79" w:themeColor="accent1" w:themeShade="80"/>
          <w:szCs w:val="18"/>
          <w:lang w:val="en-US"/>
        </w:rPr>
        <w:t xml:space="preserve">h) </w:t>
      </w:r>
      <w:r w:rsidRPr="00662308">
        <w:rPr>
          <w:rFonts w:cs="Arial"/>
          <w:b/>
          <w:color w:val="1F4E79" w:themeColor="accent1" w:themeShade="80"/>
          <w:szCs w:val="18"/>
          <w:lang w:val="en-US"/>
        </w:rPr>
        <w:t>Deferred Tax Liabilities</w:t>
      </w:r>
    </w:p>
    <w:p w14:paraId="7E70A461" w14:textId="77777777" w:rsidR="00931938" w:rsidRPr="00D909F0" w:rsidRDefault="00931938" w:rsidP="00444B6A">
      <w:pPr>
        <w:keepNext/>
        <w:spacing w:after="0" w:line="240" w:lineRule="auto"/>
        <w:jc w:val="right"/>
        <w:rPr>
          <w:rFonts w:cs="Arial"/>
          <w:b/>
          <w:sz w:val="14"/>
          <w:lang w:val="en-US" w:eastAsia="pt-BR"/>
        </w:rPr>
      </w:pPr>
      <w:r w:rsidRPr="00D909F0">
        <w:rPr>
          <w:rFonts w:cs="Arial"/>
          <w:b/>
          <w:sz w:val="14"/>
          <w:lang w:val="en-US" w:eastAsia="pt-BR"/>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5030"/>
        <w:gridCol w:w="2304"/>
        <w:gridCol w:w="2305"/>
      </w:tblGrid>
      <w:tr w:rsidR="00931938" w:rsidRPr="00BC6379" w14:paraId="6909737D" w14:textId="77777777" w:rsidTr="00AB4D1D">
        <w:trPr>
          <w:trHeight w:val="238"/>
          <w:jc w:val="center"/>
        </w:trPr>
        <w:tc>
          <w:tcPr>
            <w:tcW w:w="5030" w:type="dxa"/>
            <w:tcBorders>
              <w:top w:val="single" w:sz="2" w:space="0" w:color="1F4E79" w:themeColor="accent1" w:themeShade="80"/>
              <w:bottom w:val="nil"/>
            </w:tcBorders>
            <w:shd w:val="clear" w:color="auto" w:fill="auto"/>
          </w:tcPr>
          <w:p w14:paraId="425F271B" w14:textId="77777777" w:rsidR="00931938" w:rsidRPr="00D909F0" w:rsidRDefault="00931938" w:rsidP="00444B6A">
            <w:pPr>
              <w:keepNext/>
              <w:spacing w:after="0"/>
              <w:jc w:val="center"/>
              <w:rPr>
                <w:rFonts w:cs="Arial"/>
                <w:b/>
                <w:szCs w:val="18"/>
                <w:lang w:val="en-US"/>
              </w:rPr>
            </w:pPr>
          </w:p>
        </w:tc>
        <w:tc>
          <w:tcPr>
            <w:tcW w:w="4609" w:type="dxa"/>
            <w:gridSpan w:val="2"/>
            <w:tcBorders>
              <w:top w:val="single" w:sz="2" w:space="0" w:color="1F4E79" w:themeColor="accent1" w:themeShade="80"/>
              <w:bottom w:val="single" w:sz="2" w:space="0" w:color="1F4E79" w:themeColor="accent1" w:themeShade="80"/>
            </w:tcBorders>
            <w:shd w:val="clear" w:color="auto" w:fill="auto"/>
            <w:vAlign w:val="center"/>
          </w:tcPr>
          <w:p w14:paraId="576C190A" w14:textId="77777777" w:rsidR="00931938" w:rsidRPr="003D3118" w:rsidRDefault="00931938" w:rsidP="00444B6A">
            <w:pPr>
              <w:keepNext/>
              <w:spacing w:after="0"/>
              <w:jc w:val="center"/>
              <w:rPr>
                <w:rFonts w:cs="Arial"/>
                <w:b/>
                <w:szCs w:val="18"/>
              </w:rPr>
            </w:pPr>
            <w:r w:rsidRPr="003D3118">
              <w:rPr>
                <w:rFonts w:cs="Arial"/>
                <w:b/>
                <w:sz w:val="14"/>
                <w:szCs w:val="18"/>
              </w:rPr>
              <w:t>Consolidated</w:t>
            </w:r>
          </w:p>
        </w:tc>
      </w:tr>
      <w:tr w:rsidR="00931938" w:rsidRPr="00BC6379" w14:paraId="4C328C35" w14:textId="77777777" w:rsidTr="00AB4D1D">
        <w:trPr>
          <w:trHeight w:val="238"/>
          <w:jc w:val="center"/>
        </w:trPr>
        <w:tc>
          <w:tcPr>
            <w:tcW w:w="5030" w:type="dxa"/>
            <w:tcBorders>
              <w:top w:val="nil"/>
              <w:bottom w:val="single" w:sz="2" w:space="0" w:color="1F4E79" w:themeColor="accent1" w:themeShade="80"/>
            </w:tcBorders>
            <w:shd w:val="clear" w:color="auto" w:fill="auto"/>
          </w:tcPr>
          <w:p w14:paraId="2AA080F7" w14:textId="77777777" w:rsidR="00931938" w:rsidRPr="00BC6379" w:rsidRDefault="00931938" w:rsidP="00444B6A">
            <w:pPr>
              <w:pStyle w:val="08-Tabelageral"/>
              <w:rPr>
                <w:rFonts w:cs="Arial"/>
                <w:b/>
              </w:rPr>
            </w:pPr>
          </w:p>
        </w:tc>
        <w:tc>
          <w:tcPr>
            <w:tcW w:w="2304" w:type="dxa"/>
            <w:tcBorders>
              <w:top w:val="single" w:sz="2" w:space="0" w:color="1F4E79" w:themeColor="accent1" w:themeShade="80"/>
              <w:bottom w:val="single" w:sz="2" w:space="0" w:color="1F4E79" w:themeColor="accent1" w:themeShade="80"/>
            </w:tcBorders>
            <w:shd w:val="clear" w:color="auto" w:fill="auto"/>
            <w:vAlign w:val="center"/>
          </w:tcPr>
          <w:p w14:paraId="6A80558D" w14:textId="77777777" w:rsidR="00931938" w:rsidRPr="00BC6379" w:rsidRDefault="00931938" w:rsidP="00583E84">
            <w:pPr>
              <w:pStyle w:val="08-Tabelageral"/>
              <w:rPr>
                <w:rFonts w:cs="Arial"/>
                <w:b/>
              </w:rPr>
            </w:pPr>
            <w:r>
              <w:rPr>
                <w:rFonts w:cs="Arial"/>
                <w:b/>
              </w:rPr>
              <w:t>Dec 31, 2022</w:t>
            </w:r>
          </w:p>
        </w:tc>
        <w:tc>
          <w:tcPr>
            <w:tcW w:w="2305" w:type="dxa"/>
            <w:tcBorders>
              <w:top w:val="single" w:sz="2" w:space="0" w:color="1F4E79" w:themeColor="accent1" w:themeShade="80"/>
              <w:bottom w:val="single" w:sz="2" w:space="0" w:color="1F4E79" w:themeColor="accent1" w:themeShade="80"/>
            </w:tcBorders>
            <w:shd w:val="clear" w:color="auto" w:fill="auto"/>
            <w:vAlign w:val="center"/>
          </w:tcPr>
          <w:p w14:paraId="585EE98C" w14:textId="77777777" w:rsidR="00931938" w:rsidRPr="00BC6379" w:rsidRDefault="00931938" w:rsidP="00CF0911">
            <w:pPr>
              <w:pStyle w:val="08-Tabelageral"/>
              <w:rPr>
                <w:rFonts w:cs="Arial"/>
                <w:b/>
              </w:rPr>
            </w:pPr>
            <w:r>
              <w:rPr>
                <w:rFonts w:cs="Arial"/>
                <w:b/>
              </w:rPr>
              <w:t>Dec 31, 2021</w:t>
            </w:r>
          </w:p>
        </w:tc>
      </w:tr>
      <w:tr w:rsidR="00931938" w:rsidRPr="00BC6379" w14:paraId="61907AFA" w14:textId="77777777" w:rsidTr="00AB4D1D">
        <w:trPr>
          <w:trHeight w:val="238"/>
          <w:jc w:val="center"/>
        </w:trPr>
        <w:tc>
          <w:tcPr>
            <w:tcW w:w="5030" w:type="dxa"/>
            <w:tcBorders>
              <w:top w:val="single" w:sz="2" w:space="0" w:color="1F4E79" w:themeColor="accent1" w:themeShade="80"/>
            </w:tcBorders>
            <w:shd w:val="clear" w:color="auto" w:fill="auto"/>
          </w:tcPr>
          <w:p w14:paraId="4A3999C1" w14:textId="77777777" w:rsidR="00931938" w:rsidRPr="00E54AB3" w:rsidRDefault="00931938" w:rsidP="00A2713C">
            <w:pPr>
              <w:pStyle w:val="08-Tabelageral"/>
              <w:ind w:left="113"/>
              <w:jc w:val="left"/>
              <w:rPr>
                <w:rFonts w:cs="Arial"/>
                <w:szCs w:val="14"/>
                <w:vertAlign w:val="superscript"/>
                <w:lang w:val="en-US"/>
              </w:rPr>
            </w:pPr>
            <w:r w:rsidRPr="00737F7C">
              <w:rPr>
                <w:rFonts w:cs="Arial"/>
                <w:szCs w:val="14"/>
                <w:lang w:val="en-US"/>
              </w:rPr>
              <w:t>Arising from partnership with M</w:t>
            </w:r>
            <w:r>
              <w:rPr>
                <w:rFonts w:cs="Arial"/>
                <w:szCs w:val="14"/>
                <w:lang w:val="en-US"/>
              </w:rPr>
              <w:t xml:space="preserve">APFRE </w:t>
            </w:r>
            <w:r w:rsidRPr="00E54AB3">
              <w:rPr>
                <w:vertAlign w:val="superscript"/>
                <w:lang w:val="en-US"/>
              </w:rPr>
              <w:t>(1)</w:t>
            </w:r>
          </w:p>
        </w:tc>
        <w:tc>
          <w:tcPr>
            <w:tcW w:w="2304" w:type="dxa"/>
            <w:tcBorders>
              <w:top w:val="single" w:sz="2" w:space="0" w:color="1F4E79" w:themeColor="accent1" w:themeShade="80"/>
            </w:tcBorders>
            <w:shd w:val="clear" w:color="auto" w:fill="auto"/>
            <w:vAlign w:val="center"/>
          </w:tcPr>
          <w:p w14:paraId="1ECC6C6A" w14:textId="77777777" w:rsidR="00931938" w:rsidRPr="00BC6379" w:rsidRDefault="00931938" w:rsidP="00A2713C">
            <w:pPr>
              <w:pStyle w:val="08-Tabelageral"/>
              <w:ind w:left="113"/>
              <w:rPr>
                <w:rFonts w:cs="Arial"/>
                <w:szCs w:val="14"/>
              </w:rPr>
            </w:pPr>
            <w:r>
              <w:rPr>
                <w:rFonts w:cs="Arial"/>
                <w:szCs w:val="14"/>
              </w:rPr>
              <w:t>223,387</w:t>
            </w:r>
          </w:p>
        </w:tc>
        <w:tc>
          <w:tcPr>
            <w:tcW w:w="2305" w:type="dxa"/>
            <w:tcBorders>
              <w:top w:val="single" w:sz="2" w:space="0" w:color="1F4E79" w:themeColor="accent1" w:themeShade="80"/>
            </w:tcBorders>
            <w:shd w:val="clear" w:color="auto" w:fill="auto"/>
            <w:vAlign w:val="center"/>
          </w:tcPr>
          <w:p w14:paraId="2367D62E" w14:textId="77777777" w:rsidR="00931938" w:rsidRPr="00BC6379" w:rsidRDefault="00931938" w:rsidP="00A2713C">
            <w:pPr>
              <w:pStyle w:val="08-Tabelageral"/>
              <w:ind w:left="113"/>
              <w:rPr>
                <w:rFonts w:cs="Arial"/>
                <w:szCs w:val="14"/>
              </w:rPr>
            </w:pPr>
            <w:r>
              <w:rPr>
                <w:rFonts w:cs="Arial"/>
                <w:szCs w:val="14"/>
              </w:rPr>
              <w:t>223,387</w:t>
            </w:r>
          </w:p>
        </w:tc>
      </w:tr>
      <w:tr w:rsidR="00931938" w:rsidRPr="00BC6379" w14:paraId="6E550E0F" w14:textId="77777777" w:rsidTr="00AB4D1D">
        <w:trPr>
          <w:trHeight w:val="238"/>
          <w:jc w:val="center"/>
        </w:trPr>
        <w:tc>
          <w:tcPr>
            <w:tcW w:w="5030" w:type="dxa"/>
            <w:shd w:val="clear" w:color="auto" w:fill="auto"/>
          </w:tcPr>
          <w:p w14:paraId="7ECAA19B" w14:textId="77777777" w:rsidR="00931938" w:rsidRPr="00E54AB3" w:rsidRDefault="00931938" w:rsidP="00A2713C">
            <w:pPr>
              <w:pStyle w:val="08-Tabelageral"/>
              <w:ind w:left="113"/>
              <w:jc w:val="left"/>
              <w:rPr>
                <w:rFonts w:cs="Arial"/>
                <w:szCs w:val="14"/>
                <w:lang w:val="en-US"/>
              </w:rPr>
            </w:pPr>
            <w:r w:rsidRPr="00BD2C9C">
              <w:rPr>
                <w:rFonts w:cs="Arial"/>
                <w:szCs w:val="14"/>
                <w:lang w:val="en-US"/>
              </w:rPr>
              <w:t>Arising from amortization of Brasilcap’s goodwill</w:t>
            </w:r>
          </w:p>
        </w:tc>
        <w:tc>
          <w:tcPr>
            <w:tcW w:w="2304" w:type="dxa"/>
            <w:shd w:val="clear" w:color="auto" w:fill="auto"/>
            <w:vAlign w:val="center"/>
          </w:tcPr>
          <w:p w14:paraId="3EA6C0E1" w14:textId="77777777" w:rsidR="00931938" w:rsidRPr="00BC6379" w:rsidRDefault="00931938" w:rsidP="00A2713C">
            <w:pPr>
              <w:pStyle w:val="08-Tabelageral"/>
              <w:ind w:left="113"/>
              <w:rPr>
                <w:rFonts w:cs="Arial"/>
                <w:szCs w:val="14"/>
              </w:rPr>
            </w:pPr>
            <w:r>
              <w:rPr>
                <w:rFonts w:cs="Arial"/>
                <w:szCs w:val="14"/>
              </w:rPr>
              <w:t>4,647</w:t>
            </w:r>
          </w:p>
        </w:tc>
        <w:tc>
          <w:tcPr>
            <w:tcW w:w="2305" w:type="dxa"/>
            <w:shd w:val="clear" w:color="auto" w:fill="auto"/>
            <w:vAlign w:val="center"/>
          </w:tcPr>
          <w:p w14:paraId="1E423E19" w14:textId="77777777" w:rsidR="00931938" w:rsidRPr="00BC6379" w:rsidRDefault="00931938" w:rsidP="00A2713C">
            <w:pPr>
              <w:pStyle w:val="08-Tabelageral"/>
              <w:ind w:left="113"/>
              <w:rPr>
                <w:rFonts w:cs="Arial"/>
                <w:szCs w:val="14"/>
              </w:rPr>
            </w:pPr>
            <w:r>
              <w:rPr>
                <w:rFonts w:cs="Arial"/>
                <w:szCs w:val="14"/>
              </w:rPr>
              <w:t>4,647</w:t>
            </w:r>
          </w:p>
        </w:tc>
      </w:tr>
      <w:tr w:rsidR="00931938" w:rsidRPr="00BC6379" w14:paraId="01ACA13E" w14:textId="77777777" w:rsidTr="00AB4D1D">
        <w:trPr>
          <w:trHeight w:val="238"/>
          <w:jc w:val="center"/>
        </w:trPr>
        <w:tc>
          <w:tcPr>
            <w:tcW w:w="5030" w:type="dxa"/>
            <w:tcBorders>
              <w:bottom w:val="nil"/>
            </w:tcBorders>
            <w:shd w:val="clear" w:color="auto" w:fill="auto"/>
          </w:tcPr>
          <w:p w14:paraId="50095281" w14:textId="77777777" w:rsidR="00931938" w:rsidRPr="00BD2C9C" w:rsidRDefault="00931938" w:rsidP="00A2713C">
            <w:pPr>
              <w:pStyle w:val="08-Tabelageral"/>
              <w:ind w:left="113"/>
              <w:jc w:val="left"/>
              <w:rPr>
                <w:rFonts w:cs="Arial"/>
                <w:szCs w:val="14"/>
              </w:rPr>
            </w:pPr>
            <w:r w:rsidRPr="00BD2C9C">
              <w:rPr>
                <w:rFonts w:cs="Arial"/>
                <w:szCs w:val="14"/>
              </w:rPr>
              <w:t>Other temporay differences</w:t>
            </w:r>
          </w:p>
        </w:tc>
        <w:tc>
          <w:tcPr>
            <w:tcW w:w="2304" w:type="dxa"/>
            <w:tcBorders>
              <w:bottom w:val="nil"/>
            </w:tcBorders>
            <w:shd w:val="clear" w:color="auto" w:fill="auto"/>
            <w:vAlign w:val="center"/>
          </w:tcPr>
          <w:p w14:paraId="10AEFEDA" w14:textId="77777777" w:rsidR="00931938" w:rsidRPr="00BC6379" w:rsidRDefault="00931938" w:rsidP="00A2713C">
            <w:pPr>
              <w:pStyle w:val="08-Tabelageral"/>
              <w:ind w:left="113"/>
              <w:rPr>
                <w:rFonts w:cs="Arial"/>
                <w:szCs w:val="14"/>
              </w:rPr>
            </w:pPr>
            <w:r>
              <w:rPr>
                <w:rFonts w:cs="Arial"/>
                <w:szCs w:val="14"/>
              </w:rPr>
              <w:t>531</w:t>
            </w:r>
          </w:p>
        </w:tc>
        <w:tc>
          <w:tcPr>
            <w:tcW w:w="2305" w:type="dxa"/>
            <w:tcBorders>
              <w:bottom w:val="nil"/>
            </w:tcBorders>
            <w:shd w:val="clear" w:color="auto" w:fill="auto"/>
            <w:vAlign w:val="center"/>
          </w:tcPr>
          <w:p w14:paraId="24739876" w14:textId="77777777" w:rsidR="00931938" w:rsidRPr="00BC6379" w:rsidRDefault="00931938" w:rsidP="00A2713C">
            <w:pPr>
              <w:pStyle w:val="08-Tabelageral"/>
              <w:ind w:left="113"/>
              <w:rPr>
                <w:rFonts w:cs="Arial"/>
                <w:szCs w:val="14"/>
              </w:rPr>
            </w:pPr>
            <w:r>
              <w:rPr>
                <w:rFonts w:cs="Arial"/>
                <w:szCs w:val="14"/>
              </w:rPr>
              <w:t>531</w:t>
            </w:r>
          </w:p>
        </w:tc>
      </w:tr>
      <w:tr w:rsidR="00931938" w:rsidRPr="00BC6379" w14:paraId="0C9796CA" w14:textId="77777777" w:rsidTr="00AB4D1D">
        <w:trPr>
          <w:trHeight w:val="238"/>
          <w:jc w:val="center"/>
        </w:trPr>
        <w:tc>
          <w:tcPr>
            <w:tcW w:w="5030" w:type="dxa"/>
            <w:tcBorders>
              <w:top w:val="nil"/>
              <w:bottom w:val="single" w:sz="2" w:space="0" w:color="1F4E79" w:themeColor="accent1" w:themeShade="80"/>
            </w:tcBorders>
            <w:shd w:val="clear" w:color="auto" w:fill="auto"/>
          </w:tcPr>
          <w:p w14:paraId="56B267BE" w14:textId="77777777" w:rsidR="00931938" w:rsidRPr="00BC6379" w:rsidRDefault="00931938" w:rsidP="00A2713C">
            <w:pPr>
              <w:pStyle w:val="08-Tabelageral"/>
              <w:jc w:val="left"/>
              <w:rPr>
                <w:rFonts w:cs="Arial"/>
                <w:b/>
                <w:szCs w:val="14"/>
              </w:rPr>
            </w:pPr>
            <w:r w:rsidRPr="00BC6379">
              <w:rPr>
                <w:rFonts w:cs="Arial"/>
                <w:b/>
              </w:rPr>
              <w:t xml:space="preserve">Total </w:t>
            </w:r>
          </w:p>
        </w:tc>
        <w:tc>
          <w:tcPr>
            <w:tcW w:w="2304" w:type="dxa"/>
            <w:tcBorders>
              <w:top w:val="nil"/>
              <w:bottom w:val="single" w:sz="2" w:space="0" w:color="1F4E79" w:themeColor="accent1" w:themeShade="80"/>
            </w:tcBorders>
            <w:shd w:val="clear" w:color="auto" w:fill="auto"/>
            <w:vAlign w:val="center"/>
          </w:tcPr>
          <w:p w14:paraId="1542C1EA" w14:textId="77777777" w:rsidR="00931938" w:rsidRPr="00BC6379" w:rsidRDefault="00931938" w:rsidP="00A2713C">
            <w:pPr>
              <w:pStyle w:val="08-Tabelageral"/>
              <w:rPr>
                <w:rFonts w:cs="Arial"/>
                <w:b/>
                <w:szCs w:val="14"/>
              </w:rPr>
            </w:pPr>
            <w:r>
              <w:rPr>
                <w:rFonts w:cs="Arial"/>
                <w:b/>
                <w:szCs w:val="14"/>
              </w:rPr>
              <w:t>228,565</w:t>
            </w:r>
          </w:p>
        </w:tc>
        <w:tc>
          <w:tcPr>
            <w:tcW w:w="2305" w:type="dxa"/>
            <w:tcBorders>
              <w:top w:val="nil"/>
              <w:bottom w:val="single" w:sz="2" w:space="0" w:color="1F4E79" w:themeColor="accent1" w:themeShade="80"/>
            </w:tcBorders>
            <w:shd w:val="clear" w:color="auto" w:fill="auto"/>
            <w:vAlign w:val="center"/>
          </w:tcPr>
          <w:p w14:paraId="3D15E8FA" w14:textId="77777777" w:rsidR="00931938" w:rsidRPr="00BC6379" w:rsidRDefault="00931938" w:rsidP="00A2713C">
            <w:pPr>
              <w:pStyle w:val="08-Tabelageral"/>
              <w:rPr>
                <w:rFonts w:cs="Arial"/>
                <w:b/>
                <w:szCs w:val="14"/>
              </w:rPr>
            </w:pPr>
            <w:r>
              <w:rPr>
                <w:rFonts w:cs="Arial"/>
                <w:b/>
                <w:szCs w:val="14"/>
              </w:rPr>
              <w:t>228,565</w:t>
            </w:r>
          </w:p>
        </w:tc>
      </w:tr>
    </w:tbl>
    <w:p w14:paraId="2E80804D" w14:textId="77777777" w:rsidR="00931938" w:rsidRPr="00E54AB3" w:rsidRDefault="00931938" w:rsidP="00931938">
      <w:pPr>
        <w:pStyle w:val="07-Legenda"/>
        <w:numPr>
          <w:ilvl w:val="0"/>
          <w:numId w:val="16"/>
        </w:numPr>
        <w:ind w:left="284" w:hanging="284"/>
        <w:rPr>
          <w:rFonts w:cs="Arial"/>
          <w:szCs w:val="14"/>
          <w:lang w:val="en-US"/>
        </w:rPr>
      </w:pPr>
      <w:r w:rsidRPr="00E54AB3">
        <w:rPr>
          <w:rFonts w:cs="Arial"/>
          <w:spacing w:val="0"/>
          <w:szCs w:val="14"/>
          <w:lang w:val="en-US"/>
        </w:rPr>
        <w:t>Refers to the provision for deferred taxes arising from intangibles in the investment in BB M</w:t>
      </w:r>
      <w:r>
        <w:rPr>
          <w:rFonts w:cs="Arial"/>
          <w:spacing w:val="0"/>
          <w:szCs w:val="14"/>
          <w:lang w:val="en-US"/>
        </w:rPr>
        <w:t>APFRE</w:t>
      </w:r>
      <w:r w:rsidRPr="00E54AB3">
        <w:rPr>
          <w:rFonts w:cs="Arial"/>
          <w:spacing w:val="0"/>
          <w:szCs w:val="14"/>
          <w:lang w:val="en-US"/>
        </w:rPr>
        <w:t>.</w:t>
      </w:r>
    </w:p>
    <w:p w14:paraId="12C6D74D" w14:textId="77777777" w:rsidR="00931938" w:rsidRPr="00E54AB3" w:rsidRDefault="00931938" w:rsidP="00290C4E">
      <w:pPr>
        <w:spacing w:after="0"/>
        <w:jc w:val="right"/>
        <w:rPr>
          <w:rFonts w:cs="Arial"/>
          <w:b/>
          <w:sz w:val="14"/>
          <w:lang w:val="en-US" w:eastAsia="pt-BR"/>
        </w:rPr>
      </w:pPr>
    </w:p>
    <w:bookmarkEnd w:id="42"/>
    <w:p w14:paraId="713E69D4" w14:textId="77777777" w:rsidR="00931938" w:rsidRDefault="00931938" w:rsidP="00BD2C9C">
      <w:pPr>
        <w:pStyle w:val="05-Textonormal"/>
        <w:rPr>
          <w:spacing w:val="0"/>
          <w:szCs w:val="20"/>
          <w:lang w:val="en-US"/>
        </w:rPr>
      </w:pPr>
      <w:r w:rsidRPr="003E2305">
        <w:rPr>
          <w:spacing w:val="0"/>
          <w:szCs w:val="20"/>
          <w:lang w:val="en-US"/>
        </w:rPr>
        <w:t>There is no balance of deferred tax liabilities in the Controller</w:t>
      </w:r>
      <w:r>
        <w:rPr>
          <w:spacing w:val="0"/>
          <w:szCs w:val="20"/>
          <w:lang w:val="en-US"/>
        </w:rPr>
        <w:t>.</w:t>
      </w:r>
    </w:p>
    <w:p w14:paraId="5440370B" w14:textId="7A0B07FC" w:rsidR="00931938" w:rsidRPr="00AB4D1D" w:rsidRDefault="00931938" w:rsidP="00FC4475">
      <w:pPr>
        <w:pStyle w:val="Ttulo1"/>
      </w:pPr>
      <w:bookmarkStart w:id="43" w:name="_Toc126781104"/>
      <w:r w:rsidRPr="00AB4D1D">
        <w:t>13 – OTHER INCOME AND EXPENSE</w:t>
      </w:r>
      <w:bookmarkEnd w:id="43"/>
    </w:p>
    <w:p w14:paraId="3E8C8254" w14:textId="77777777" w:rsidR="00931938" w:rsidRPr="00931938" w:rsidRDefault="00931938" w:rsidP="00E26C45">
      <w:pPr>
        <w:spacing w:after="0" w:line="240" w:lineRule="auto"/>
        <w:jc w:val="right"/>
        <w:rPr>
          <w:rFonts w:cs="Arial"/>
          <w:b/>
          <w:sz w:val="14"/>
          <w:szCs w:val="14"/>
          <w:lang w:val="en-US"/>
        </w:rPr>
      </w:pPr>
      <w:r w:rsidRPr="00931938">
        <w:rPr>
          <w:rFonts w:cs="Arial"/>
          <w:b/>
          <w:sz w:val="14"/>
          <w:szCs w:val="14"/>
          <w:lang w:val="en-US"/>
        </w:rPr>
        <w:t>R$ thousand</w:t>
      </w:r>
    </w:p>
    <w:tbl>
      <w:tblPr>
        <w:tblW w:w="9648"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3000"/>
        <w:gridCol w:w="936"/>
        <w:gridCol w:w="160"/>
        <w:gridCol w:w="1199"/>
        <w:gridCol w:w="76"/>
        <w:gridCol w:w="1283"/>
        <w:gridCol w:w="39"/>
        <w:gridCol w:w="96"/>
        <w:gridCol w:w="101"/>
        <w:gridCol w:w="82"/>
        <w:gridCol w:w="82"/>
        <w:gridCol w:w="1436"/>
        <w:gridCol w:w="24"/>
        <w:gridCol w:w="1128"/>
        <w:gridCol w:w="6"/>
      </w:tblGrid>
      <w:tr w:rsidR="00931938" w:rsidRPr="005171F7" w14:paraId="0B04F7C5" w14:textId="77777777" w:rsidTr="007F0195">
        <w:trPr>
          <w:trHeight w:val="20"/>
          <w:jc w:val="center"/>
        </w:trPr>
        <w:tc>
          <w:tcPr>
            <w:tcW w:w="3936" w:type="dxa"/>
            <w:gridSpan w:val="2"/>
            <w:tcBorders>
              <w:top w:val="single" w:sz="2" w:space="0" w:color="8EAADB" w:themeColor="accent5" w:themeTint="99"/>
              <w:bottom w:val="nil"/>
            </w:tcBorders>
            <w:shd w:val="clear" w:color="auto" w:fill="auto"/>
          </w:tcPr>
          <w:p w14:paraId="2F70A87C" w14:textId="77777777" w:rsidR="00931938" w:rsidRPr="00931938" w:rsidRDefault="00931938" w:rsidP="00134866">
            <w:pPr>
              <w:keepNext/>
              <w:keepLines/>
              <w:spacing w:before="40" w:after="40"/>
              <w:jc w:val="center"/>
              <w:rPr>
                <w:rFonts w:cs="Arial"/>
                <w:b/>
                <w:bCs/>
                <w:spacing w:val="-2"/>
                <w:sz w:val="14"/>
                <w:szCs w:val="14"/>
                <w:lang w:val="en-US"/>
              </w:rPr>
            </w:pPr>
          </w:p>
        </w:tc>
        <w:tc>
          <w:tcPr>
            <w:tcW w:w="2757" w:type="dxa"/>
            <w:gridSpan w:val="5"/>
            <w:tcBorders>
              <w:top w:val="single" w:sz="2" w:space="0" w:color="8EAADB" w:themeColor="accent5" w:themeTint="99"/>
              <w:bottom w:val="single" w:sz="2" w:space="0" w:color="8EAADB" w:themeColor="accent5" w:themeTint="99"/>
            </w:tcBorders>
            <w:shd w:val="clear" w:color="auto" w:fill="auto"/>
            <w:vAlign w:val="center"/>
          </w:tcPr>
          <w:p w14:paraId="0FFC59F8" w14:textId="77777777" w:rsidR="00931938" w:rsidRPr="005171F7" w:rsidRDefault="00931938" w:rsidP="00134866">
            <w:pPr>
              <w:keepNext/>
              <w:keepLines/>
              <w:spacing w:before="40" w:after="40"/>
              <w:jc w:val="center"/>
              <w:rPr>
                <w:rFonts w:cs="Arial"/>
                <w:b/>
                <w:spacing w:val="-2"/>
                <w:sz w:val="14"/>
                <w:szCs w:val="14"/>
              </w:rPr>
            </w:pPr>
            <w:r>
              <w:rPr>
                <w:rFonts w:cs="Arial"/>
                <w:b/>
                <w:spacing w:val="-2"/>
                <w:sz w:val="14"/>
                <w:szCs w:val="14"/>
              </w:rPr>
              <w:t>Parent</w:t>
            </w:r>
          </w:p>
        </w:tc>
        <w:tc>
          <w:tcPr>
            <w:tcW w:w="279" w:type="dxa"/>
            <w:gridSpan w:val="3"/>
            <w:tcBorders>
              <w:top w:val="single" w:sz="2" w:space="0" w:color="8EAADB" w:themeColor="accent5" w:themeTint="99"/>
              <w:bottom w:val="nil"/>
            </w:tcBorders>
            <w:shd w:val="clear" w:color="auto" w:fill="auto"/>
            <w:vAlign w:val="center"/>
          </w:tcPr>
          <w:p w14:paraId="5F14260E" w14:textId="77777777" w:rsidR="00931938" w:rsidRPr="005171F7" w:rsidRDefault="00931938" w:rsidP="00134866">
            <w:pPr>
              <w:keepNext/>
              <w:keepLines/>
              <w:spacing w:before="40" w:after="40"/>
              <w:jc w:val="center"/>
              <w:rPr>
                <w:rFonts w:cs="Arial"/>
                <w:b/>
                <w:bCs/>
                <w:spacing w:val="-2"/>
                <w:sz w:val="14"/>
                <w:szCs w:val="14"/>
              </w:rPr>
            </w:pPr>
          </w:p>
        </w:tc>
        <w:tc>
          <w:tcPr>
            <w:tcW w:w="2676" w:type="dxa"/>
            <w:gridSpan w:val="5"/>
            <w:tcBorders>
              <w:top w:val="single" w:sz="2" w:space="0" w:color="8EAADB" w:themeColor="accent5" w:themeTint="99"/>
              <w:bottom w:val="single" w:sz="2" w:space="0" w:color="8EAADB" w:themeColor="accent5" w:themeTint="99"/>
            </w:tcBorders>
            <w:shd w:val="clear" w:color="auto" w:fill="auto"/>
            <w:vAlign w:val="center"/>
          </w:tcPr>
          <w:p w14:paraId="2304D24F" w14:textId="77777777" w:rsidR="00931938" w:rsidRPr="005171F7" w:rsidRDefault="00931938" w:rsidP="00134866">
            <w:pPr>
              <w:keepNext/>
              <w:keepLines/>
              <w:spacing w:before="40" w:after="40"/>
              <w:jc w:val="center"/>
              <w:rPr>
                <w:rFonts w:cs="Arial"/>
                <w:b/>
                <w:spacing w:val="-2"/>
                <w:sz w:val="14"/>
                <w:szCs w:val="14"/>
              </w:rPr>
            </w:pPr>
            <w:r>
              <w:rPr>
                <w:rFonts w:cs="Arial"/>
                <w:b/>
                <w:spacing w:val="-2"/>
                <w:sz w:val="14"/>
                <w:szCs w:val="14"/>
              </w:rPr>
              <w:t>Consolidated</w:t>
            </w:r>
          </w:p>
        </w:tc>
      </w:tr>
      <w:tr w:rsidR="00931938" w:rsidRPr="00EB1911" w14:paraId="60B62F19" w14:textId="77777777" w:rsidTr="007F0195">
        <w:trPr>
          <w:gridAfter w:val="1"/>
          <w:wAfter w:w="6" w:type="dxa"/>
          <w:trHeight w:val="20"/>
          <w:jc w:val="center"/>
        </w:trPr>
        <w:tc>
          <w:tcPr>
            <w:tcW w:w="3000" w:type="dxa"/>
            <w:tcBorders>
              <w:top w:val="nil"/>
              <w:bottom w:val="single" w:sz="2" w:space="0" w:color="8EAADB" w:themeColor="accent5" w:themeTint="99"/>
            </w:tcBorders>
            <w:shd w:val="clear" w:color="auto" w:fill="auto"/>
            <w:vAlign w:val="center"/>
          </w:tcPr>
          <w:p w14:paraId="58A1F697" w14:textId="77777777" w:rsidR="00931938" w:rsidRPr="00EB1911" w:rsidRDefault="00931938" w:rsidP="007F0195">
            <w:pPr>
              <w:keepNext/>
              <w:keepLines/>
              <w:spacing w:before="40" w:after="40"/>
              <w:jc w:val="right"/>
              <w:rPr>
                <w:rFonts w:cs="Arial"/>
                <w:b/>
                <w:spacing w:val="-2"/>
                <w:sz w:val="14"/>
                <w:szCs w:val="14"/>
              </w:rPr>
            </w:pPr>
          </w:p>
        </w:tc>
        <w:tc>
          <w:tcPr>
            <w:tcW w:w="1096" w:type="dxa"/>
            <w:gridSpan w:val="2"/>
            <w:tcBorders>
              <w:top w:val="nil"/>
              <w:bottom w:val="single" w:sz="2" w:space="0" w:color="8EAADB" w:themeColor="accent5" w:themeTint="99"/>
            </w:tcBorders>
            <w:shd w:val="clear" w:color="auto" w:fill="auto"/>
            <w:vAlign w:val="center"/>
          </w:tcPr>
          <w:p w14:paraId="587DD745" w14:textId="77777777" w:rsidR="00931938" w:rsidRPr="00EB1911" w:rsidRDefault="00931938" w:rsidP="007F0195">
            <w:pPr>
              <w:keepNext/>
              <w:keepLines/>
              <w:spacing w:before="40" w:after="40"/>
              <w:jc w:val="right"/>
              <w:rPr>
                <w:rFonts w:cs="Arial"/>
                <w:b/>
                <w:spacing w:val="-2"/>
                <w:sz w:val="14"/>
                <w:szCs w:val="14"/>
              </w:rPr>
            </w:pPr>
          </w:p>
        </w:tc>
        <w:tc>
          <w:tcPr>
            <w:tcW w:w="1275" w:type="dxa"/>
            <w:gridSpan w:val="2"/>
            <w:tcBorders>
              <w:top w:val="single" w:sz="4" w:space="0" w:color="1F4E79" w:themeColor="accent1" w:themeShade="80"/>
              <w:bottom w:val="single" w:sz="2" w:space="0" w:color="1F4E79" w:themeColor="accent1" w:themeShade="80"/>
            </w:tcBorders>
            <w:shd w:val="clear" w:color="auto" w:fill="auto"/>
            <w:vAlign w:val="center"/>
          </w:tcPr>
          <w:p w14:paraId="6EB858CA" w14:textId="77777777" w:rsidR="00931938" w:rsidRPr="00EB1911" w:rsidRDefault="00931938" w:rsidP="007F0195">
            <w:pPr>
              <w:pStyle w:val="08-Tabelageral"/>
              <w:rPr>
                <w:rFonts w:cs="Arial"/>
                <w:b/>
                <w:szCs w:val="14"/>
              </w:rPr>
            </w:pPr>
            <w:r>
              <w:rPr>
                <w:rFonts w:cs="Arial"/>
                <w:b/>
                <w:szCs w:val="14"/>
              </w:rPr>
              <w:t>2022</w:t>
            </w:r>
          </w:p>
        </w:tc>
        <w:tc>
          <w:tcPr>
            <w:tcW w:w="1418" w:type="dxa"/>
            <w:gridSpan w:val="3"/>
            <w:tcBorders>
              <w:top w:val="single" w:sz="4" w:space="0" w:color="1F4E79" w:themeColor="accent1" w:themeShade="80"/>
              <w:bottom w:val="single" w:sz="2" w:space="0" w:color="1F4E79" w:themeColor="accent1" w:themeShade="80"/>
            </w:tcBorders>
            <w:shd w:val="clear" w:color="auto" w:fill="auto"/>
            <w:vAlign w:val="center"/>
          </w:tcPr>
          <w:p w14:paraId="31333EB6" w14:textId="77777777" w:rsidR="00931938" w:rsidRPr="00EB1911" w:rsidRDefault="00931938" w:rsidP="007F0195">
            <w:pPr>
              <w:pStyle w:val="08-Tabelageral"/>
              <w:rPr>
                <w:rFonts w:cs="Arial"/>
                <w:b/>
                <w:szCs w:val="14"/>
              </w:rPr>
            </w:pPr>
            <w:r>
              <w:rPr>
                <w:rFonts w:cs="Arial"/>
                <w:b/>
                <w:szCs w:val="14"/>
              </w:rPr>
              <w:t>2021</w:t>
            </w:r>
          </w:p>
        </w:tc>
        <w:tc>
          <w:tcPr>
            <w:tcW w:w="265" w:type="dxa"/>
            <w:gridSpan w:val="3"/>
            <w:tcBorders>
              <w:top w:val="nil"/>
              <w:left w:val="nil"/>
              <w:bottom w:val="single" w:sz="2" w:space="0" w:color="1F4E79" w:themeColor="accent1" w:themeShade="80"/>
              <w:right w:val="nil"/>
            </w:tcBorders>
            <w:shd w:val="clear" w:color="auto" w:fill="auto"/>
            <w:vAlign w:val="center"/>
          </w:tcPr>
          <w:p w14:paraId="15F99360" w14:textId="77777777" w:rsidR="00931938" w:rsidRPr="00EB1911" w:rsidRDefault="00931938" w:rsidP="007F0195">
            <w:pPr>
              <w:pStyle w:val="08-Tabelageral"/>
              <w:rPr>
                <w:rFonts w:cs="Arial"/>
                <w:b/>
                <w:szCs w:val="14"/>
              </w:rPr>
            </w:pPr>
          </w:p>
        </w:tc>
        <w:tc>
          <w:tcPr>
            <w:tcW w:w="1436" w:type="dxa"/>
            <w:tcBorders>
              <w:top w:val="single" w:sz="4" w:space="0" w:color="1F4E79" w:themeColor="accent1" w:themeShade="80"/>
              <w:bottom w:val="single" w:sz="2" w:space="0" w:color="1F4E79" w:themeColor="accent1" w:themeShade="80"/>
            </w:tcBorders>
            <w:shd w:val="clear" w:color="auto" w:fill="auto"/>
            <w:vAlign w:val="center"/>
          </w:tcPr>
          <w:p w14:paraId="229799C0" w14:textId="77777777" w:rsidR="00931938" w:rsidRPr="00EB1911" w:rsidRDefault="00931938" w:rsidP="007F0195">
            <w:pPr>
              <w:pStyle w:val="08-Tabelageral"/>
              <w:rPr>
                <w:rFonts w:cs="Arial"/>
                <w:b/>
                <w:szCs w:val="14"/>
              </w:rPr>
            </w:pPr>
            <w:r>
              <w:rPr>
                <w:rFonts w:cs="Arial"/>
                <w:b/>
                <w:szCs w:val="14"/>
              </w:rPr>
              <w:t>2022</w:t>
            </w:r>
          </w:p>
        </w:tc>
        <w:tc>
          <w:tcPr>
            <w:tcW w:w="1152" w:type="dxa"/>
            <w:gridSpan w:val="2"/>
            <w:tcBorders>
              <w:top w:val="single" w:sz="4" w:space="0" w:color="1F4E79" w:themeColor="accent1" w:themeShade="80"/>
              <w:bottom w:val="single" w:sz="2" w:space="0" w:color="1F4E79" w:themeColor="accent1" w:themeShade="80"/>
            </w:tcBorders>
            <w:shd w:val="clear" w:color="auto" w:fill="auto"/>
            <w:vAlign w:val="center"/>
          </w:tcPr>
          <w:p w14:paraId="2CF2265B" w14:textId="77777777" w:rsidR="00931938" w:rsidRPr="00EB1911" w:rsidRDefault="00931938" w:rsidP="007F0195">
            <w:pPr>
              <w:pStyle w:val="08-Tabelageral"/>
              <w:rPr>
                <w:b/>
              </w:rPr>
            </w:pPr>
            <w:r>
              <w:rPr>
                <w:b/>
              </w:rPr>
              <w:t>2021</w:t>
            </w:r>
          </w:p>
        </w:tc>
      </w:tr>
      <w:tr w:rsidR="00931938" w:rsidRPr="005171F7" w14:paraId="0B49B1CE" w14:textId="77777777" w:rsidTr="007F0195">
        <w:trPr>
          <w:trHeight w:val="20"/>
          <w:jc w:val="center"/>
        </w:trPr>
        <w:tc>
          <w:tcPr>
            <w:tcW w:w="3936" w:type="dxa"/>
            <w:gridSpan w:val="2"/>
            <w:shd w:val="clear" w:color="auto" w:fill="auto"/>
            <w:vAlign w:val="center"/>
          </w:tcPr>
          <w:p w14:paraId="4839BB35" w14:textId="77777777" w:rsidR="00931938" w:rsidRPr="005171F7" w:rsidRDefault="00931938" w:rsidP="00AB15FD">
            <w:pPr>
              <w:pStyle w:val="08-Tabelageral"/>
              <w:ind w:left="113"/>
              <w:jc w:val="left"/>
              <w:rPr>
                <w:rFonts w:cs="Arial"/>
                <w:szCs w:val="14"/>
              </w:rPr>
            </w:pPr>
            <w:r w:rsidRPr="00A2009E">
              <w:rPr>
                <w:rFonts w:cs="Arial"/>
                <w:szCs w:val="14"/>
              </w:rPr>
              <w:t>Income of ADR</w:t>
            </w:r>
            <w:r w:rsidRPr="005171F7">
              <w:rPr>
                <w:rFonts w:cs="Arial"/>
                <w:szCs w:val="14"/>
              </w:rPr>
              <w:t xml:space="preserve">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359" w:type="dxa"/>
            <w:gridSpan w:val="2"/>
            <w:tcBorders>
              <w:top w:val="single" w:sz="2" w:space="0" w:color="1F4E79" w:themeColor="accent1" w:themeShade="80"/>
              <w:left w:val="nil"/>
              <w:bottom w:val="nil"/>
              <w:right w:val="nil"/>
            </w:tcBorders>
            <w:shd w:val="clear" w:color="auto" w:fill="auto"/>
            <w:vAlign w:val="center"/>
          </w:tcPr>
          <w:p w14:paraId="69CFB406" w14:textId="77777777" w:rsidR="00931938" w:rsidRPr="00AE31F4" w:rsidRDefault="00931938" w:rsidP="00AB15FD">
            <w:pPr>
              <w:pStyle w:val="08-Tabelageral"/>
            </w:pPr>
            <w:r>
              <w:rPr>
                <w:rFonts w:cs="Arial"/>
                <w:color w:val="000000"/>
                <w:szCs w:val="14"/>
              </w:rPr>
              <w:t>8,530</w:t>
            </w:r>
          </w:p>
        </w:tc>
        <w:tc>
          <w:tcPr>
            <w:tcW w:w="1359" w:type="dxa"/>
            <w:gridSpan w:val="2"/>
            <w:tcBorders>
              <w:top w:val="single" w:sz="2" w:space="0" w:color="1F4E79" w:themeColor="accent1" w:themeShade="80"/>
              <w:left w:val="nil"/>
              <w:bottom w:val="nil"/>
              <w:right w:val="nil"/>
            </w:tcBorders>
            <w:shd w:val="clear" w:color="auto" w:fill="auto"/>
            <w:vAlign w:val="center"/>
          </w:tcPr>
          <w:p w14:paraId="603A26DD" w14:textId="77777777" w:rsidR="00931938" w:rsidRPr="00AE31F4" w:rsidRDefault="00931938" w:rsidP="00AB15FD">
            <w:pPr>
              <w:pStyle w:val="08-Tabelageral"/>
            </w:pPr>
            <w:r>
              <w:t>8,599</w:t>
            </w:r>
          </w:p>
        </w:tc>
        <w:tc>
          <w:tcPr>
            <w:tcW w:w="236" w:type="dxa"/>
            <w:gridSpan w:val="3"/>
            <w:tcBorders>
              <w:top w:val="single" w:sz="2" w:space="0" w:color="1F4E79" w:themeColor="accent1" w:themeShade="80"/>
              <w:left w:val="nil"/>
              <w:bottom w:val="nil"/>
              <w:right w:val="nil"/>
            </w:tcBorders>
            <w:shd w:val="clear" w:color="auto" w:fill="auto"/>
            <w:vAlign w:val="center"/>
          </w:tcPr>
          <w:p w14:paraId="31F1E093" w14:textId="77777777" w:rsidR="00931938" w:rsidRPr="00AE31F4" w:rsidRDefault="00931938" w:rsidP="00AB15FD">
            <w:pPr>
              <w:pStyle w:val="08-Tabelageral"/>
            </w:pPr>
          </w:p>
        </w:tc>
        <w:tc>
          <w:tcPr>
            <w:tcW w:w="1624" w:type="dxa"/>
            <w:gridSpan w:val="4"/>
            <w:tcBorders>
              <w:top w:val="single" w:sz="2" w:space="0" w:color="1F4E79" w:themeColor="accent1" w:themeShade="80"/>
              <w:left w:val="nil"/>
              <w:bottom w:val="nil"/>
              <w:right w:val="nil"/>
            </w:tcBorders>
            <w:shd w:val="clear" w:color="auto" w:fill="auto"/>
            <w:vAlign w:val="center"/>
          </w:tcPr>
          <w:p w14:paraId="27413DA6" w14:textId="77777777" w:rsidR="00931938" w:rsidRPr="00AE31F4" w:rsidRDefault="00931938" w:rsidP="00AB15FD">
            <w:pPr>
              <w:pStyle w:val="08-Tabelageral"/>
            </w:pPr>
            <w:r>
              <w:rPr>
                <w:rFonts w:cs="Arial"/>
                <w:color w:val="000000"/>
                <w:szCs w:val="14"/>
              </w:rPr>
              <w:t>8,530</w:t>
            </w:r>
          </w:p>
        </w:tc>
        <w:tc>
          <w:tcPr>
            <w:tcW w:w="1134" w:type="dxa"/>
            <w:gridSpan w:val="2"/>
            <w:tcBorders>
              <w:top w:val="single" w:sz="2" w:space="0" w:color="1F4E79" w:themeColor="accent1" w:themeShade="80"/>
              <w:left w:val="nil"/>
              <w:bottom w:val="nil"/>
              <w:right w:val="nil"/>
            </w:tcBorders>
            <w:shd w:val="clear" w:color="auto" w:fill="auto"/>
            <w:vAlign w:val="center"/>
          </w:tcPr>
          <w:p w14:paraId="0CE6BF68" w14:textId="77777777" w:rsidR="00931938" w:rsidRPr="00AE31F4" w:rsidRDefault="00931938" w:rsidP="00AB15FD">
            <w:pPr>
              <w:pStyle w:val="08-Tabelageral"/>
            </w:pPr>
            <w:r>
              <w:t>8,599</w:t>
            </w:r>
          </w:p>
        </w:tc>
      </w:tr>
      <w:tr w:rsidR="00931938" w:rsidRPr="005171F7" w14:paraId="68ABA921" w14:textId="77777777" w:rsidTr="007F0195">
        <w:trPr>
          <w:trHeight w:val="20"/>
          <w:jc w:val="center"/>
        </w:trPr>
        <w:tc>
          <w:tcPr>
            <w:tcW w:w="3936" w:type="dxa"/>
            <w:gridSpan w:val="2"/>
            <w:shd w:val="clear" w:color="auto" w:fill="auto"/>
            <w:vAlign w:val="center"/>
          </w:tcPr>
          <w:p w14:paraId="2536E815" w14:textId="77777777" w:rsidR="00931938" w:rsidRPr="00931938" w:rsidRDefault="00931938" w:rsidP="00AB15FD">
            <w:pPr>
              <w:pStyle w:val="08-Tabelageral"/>
              <w:ind w:left="113"/>
              <w:jc w:val="left"/>
              <w:rPr>
                <w:rFonts w:cs="Arial"/>
                <w:szCs w:val="14"/>
                <w:lang w:val="en-US"/>
              </w:rPr>
            </w:pPr>
            <w:r w:rsidRPr="00931938">
              <w:rPr>
                <w:rFonts w:cs="Arial"/>
                <w:szCs w:val="14"/>
                <w:lang w:val="en-US"/>
              </w:rPr>
              <w:t>(Addition)/Reversal of provisions for labor, tax and civil lawsuits</w:t>
            </w:r>
          </w:p>
        </w:tc>
        <w:tc>
          <w:tcPr>
            <w:tcW w:w="1359" w:type="dxa"/>
            <w:gridSpan w:val="2"/>
            <w:tcBorders>
              <w:top w:val="nil"/>
            </w:tcBorders>
            <w:shd w:val="clear" w:color="auto" w:fill="auto"/>
            <w:vAlign w:val="center"/>
          </w:tcPr>
          <w:p w14:paraId="4672229A" w14:textId="77777777" w:rsidR="00931938" w:rsidRPr="00AE31F4" w:rsidRDefault="00931938" w:rsidP="00AB15FD">
            <w:pPr>
              <w:pStyle w:val="08-Tabelageral"/>
            </w:pPr>
            <w:r>
              <w:rPr>
                <w:rFonts w:cs="Arial"/>
                <w:color w:val="000000"/>
                <w:szCs w:val="14"/>
              </w:rPr>
              <w:t>(53)</w:t>
            </w:r>
          </w:p>
        </w:tc>
        <w:tc>
          <w:tcPr>
            <w:tcW w:w="1359" w:type="dxa"/>
            <w:gridSpan w:val="2"/>
            <w:tcBorders>
              <w:top w:val="nil"/>
            </w:tcBorders>
            <w:shd w:val="clear" w:color="auto" w:fill="auto"/>
            <w:vAlign w:val="center"/>
          </w:tcPr>
          <w:p w14:paraId="23A657E5" w14:textId="77777777" w:rsidR="00931938" w:rsidRPr="00AE31F4" w:rsidRDefault="00931938" w:rsidP="00AB15FD">
            <w:pPr>
              <w:pStyle w:val="08-Tabelageral"/>
            </w:pPr>
            <w:r>
              <w:t>202</w:t>
            </w:r>
          </w:p>
        </w:tc>
        <w:tc>
          <w:tcPr>
            <w:tcW w:w="236" w:type="dxa"/>
            <w:gridSpan w:val="3"/>
            <w:tcBorders>
              <w:top w:val="nil"/>
            </w:tcBorders>
            <w:shd w:val="clear" w:color="auto" w:fill="auto"/>
            <w:vAlign w:val="center"/>
          </w:tcPr>
          <w:p w14:paraId="3F86BFE3" w14:textId="77777777" w:rsidR="00931938" w:rsidRPr="00AE31F4" w:rsidRDefault="00931938" w:rsidP="00AB15FD">
            <w:pPr>
              <w:pStyle w:val="08-Tabelageral"/>
            </w:pPr>
          </w:p>
        </w:tc>
        <w:tc>
          <w:tcPr>
            <w:tcW w:w="1624" w:type="dxa"/>
            <w:gridSpan w:val="4"/>
            <w:tcBorders>
              <w:top w:val="nil"/>
            </w:tcBorders>
            <w:shd w:val="clear" w:color="auto" w:fill="auto"/>
            <w:vAlign w:val="center"/>
          </w:tcPr>
          <w:p w14:paraId="2F7C3D2F" w14:textId="77777777" w:rsidR="00931938" w:rsidRPr="00AE31F4" w:rsidRDefault="00931938" w:rsidP="00AB15FD">
            <w:pPr>
              <w:pStyle w:val="08-Tabelageral"/>
            </w:pPr>
            <w:r>
              <w:rPr>
                <w:rFonts w:cs="Arial"/>
                <w:color w:val="000000"/>
                <w:szCs w:val="14"/>
              </w:rPr>
              <w:t>1,531</w:t>
            </w:r>
          </w:p>
        </w:tc>
        <w:tc>
          <w:tcPr>
            <w:tcW w:w="1134" w:type="dxa"/>
            <w:gridSpan w:val="2"/>
            <w:tcBorders>
              <w:top w:val="nil"/>
            </w:tcBorders>
            <w:shd w:val="clear" w:color="auto" w:fill="auto"/>
            <w:vAlign w:val="center"/>
          </w:tcPr>
          <w:p w14:paraId="4C44061F" w14:textId="77777777" w:rsidR="00931938" w:rsidRPr="00AE31F4" w:rsidRDefault="00931938" w:rsidP="00AB15FD">
            <w:pPr>
              <w:pStyle w:val="08-Tabelageral"/>
            </w:pPr>
            <w:r>
              <w:t>2,571</w:t>
            </w:r>
          </w:p>
        </w:tc>
      </w:tr>
      <w:tr w:rsidR="00931938" w:rsidRPr="005171F7" w14:paraId="1731999E" w14:textId="77777777" w:rsidTr="007F0195">
        <w:trPr>
          <w:trHeight w:val="20"/>
          <w:jc w:val="center"/>
        </w:trPr>
        <w:tc>
          <w:tcPr>
            <w:tcW w:w="3936" w:type="dxa"/>
            <w:gridSpan w:val="2"/>
            <w:shd w:val="clear" w:color="auto" w:fill="auto"/>
            <w:vAlign w:val="center"/>
          </w:tcPr>
          <w:p w14:paraId="1C8436F9" w14:textId="77777777" w:rsidR="00931938" w:rsidRPr="005171F7" w:rsidRDefault="00931938" w:rsidP="00AB15FD">
            <w:pPr>
              <w:pStyle w:val="08-Tabelageral"/>
              <w:ind w:left="113"/>
              <w:jc w:val="left"/>
              <w:rPr>
                <w:rFonts w:cs="Arial"/>
                <w:szCs w:val="14"/>
              </w:rPr>
            </w:pPr>
            <w:r w:rsidRPr="00A2009E">
              <w:rPr>
                <w:rFonts w:cs="Arial"/>
                <w:szCs w:val="14"/>
              </w:rPr>
              <w:t>Depreciation/amortization expense</w:t>
            </w:r>
          </w:p>
        </w:tc>
        <w:tc>
          <w:tcPr>
            <w:tcW w:w="1359" w:type="dxa"/>
            <w:gridSpan w:val="2"/>
            <w:shd w:val="clear" w:color="auto" w:fill="auto"/>
            <w:vAlign w:val="center"/>
          </w:tcPr>
          <w:p w14:paraId="173DBC16" w14:textId="77777777" w:rsidR="00931938" w:rsidRPr="00AE31F4" w:rsidRDefault="00931938" w:rsidP="00AB15FD">
            <w:pPr>
              <w:pStyle w:val="08-Tabelageral"/>
            </w:pPr>
            <w:r>
              <w:rPr>
                <w:rFonts w:cs="Arial"/>
                <w:color w:val="000000"/>
                <w:szCs w:val="14"/>
              </w:rPr>
              <w:t>(155)</w:t>
            </w:r>
          </w:p>
        </w:tc>
        <w:tc>
          <w:tcPr>
            <w:tcW w:w="1359" w:type="dxa"/>
            <w:gridSpan w:val="2"/>
            <w:shd w:val="clear" w:color="auto" w:fill="auto"/>
            <w:vAlign w:val="center"/>
          </w:tcPr>
          <w:p w14:paraId="3665525D" w14:textId="77777777" w:rsidR="00931938" w:rsidRPr="00AE31F4" w:rsidRDefault="00931938" w:rsidP="00AB15FD">
            <w:pPr>
              <w:pStyle w:val="08-Tabelageral"/>
            </w:pPr>
            <w:r>
              <w:t>(150)</w:t>
            </w:r>
          </w:p>
        </w:tc>
        <w:tc>
          <w:tcPr>
            <w:tcW w:w="236" w:type="dxa"/>
            <w:gridSpan w:val="3"/>
            <w:shd w:val="clear" w:color="auto" w:fill="auto"/>
            <w:vAlign w:val="center"/>
          </w:tcPr>
          <w:p w14:paraId="6815805E" w14:textId="77777777" w:rsidR="00931938" w:rsidRPr="00AE31F4" w:rsidRDefault="00931938" w:rsidP="00AB15FD">
            <w:pPr>
              <w:pStyle w:val="08-Tabelageral"/>
            </w:pPr>
          </w:p>
        </w:tc>
        <w:tc>
          <w:tcPr>
            <w:tcW w:w="1624" w:type="dxa"/>
            <w:gridSpan w:val="4"/>
            <w:shd w:val="clear" w:color="auto" w:fill="auto"/>
            <w:vAlign w:val="center"/>
          </w:tcPr>
          <w:p w14:paraId="1BEA7409" w14:textId="77777777" w:rsidR="00931938" w:rsidRPr="00AE31F4" w:rsidRDefault="00931938" w:rsidP="00AB15FD">
            <w:pPr>
              <w:pStyle w:val="08-Tabelageral"/>
            </w:pPr>
            <w:r>
              <w:rPr>
                <w:rFonts w:cs="Arial"/>
                <w:color w:val="000000"/>
                <w:szCs w:val="14"/>
              </w:rPr>
              <w:t>(1,285)</w:t>
            </w:r>
          </w:p>
        </w:tc>
        <w:tc>
          <w:tcPr>
            <w:tcW w:w="1134" w:type="dxa"/>
            <w:gridSpan w:val="2"/>
            <w:shd w:val="clear" w:color="auto" w:fill="auto"/>
            <w:vAlign w:val="center"/>
          </w:tcPr>
          <w:p w14:paraId="0C72479A" w14:textId="77777777" w:rsidR="00931938" w:rsidRPr="00AE31F4" w:rsidRDefault="00931938" w:rsidP="00AB15FD">
            <w:pPr>
              <w:pStyle w:val="08-Tabelageral"/>
            </w:pPr>
            <w:r>
              <w:t>(1,067)</w:t>
            </w:r>
          </w:p>
        </w:tc>
      </w:tr>
      <w:tr w:rsidR="00931938" w:rsidRPr="005171F7" w14:paraId="3739440E" w14:textId="77777777" w:rsidTr="007F0195">
        <w:trPr>
          <w:trHeight w:val="20"/>
          <w:jc w:val="center"/>
        </w:trPr>
        <w:tc>
          <w:tcPr>
            <w:tcW w:w="3936" w:type="dxa"/>
            <w:gridSpan w:val="2"/>
            <w:shd w:val="clear" w:color="auto" w:fill="auto"/>
            <w:vAlign w:val="center"/>
          </w:tcPr>
          <w:p w14:paraId="64DEFE7D" w14:textId="77777777" w:rsidR="00931938" w:rsidRPr="00931938" w:rsidRDefault="00931938" w:rsidP="00AB15FD">
            <w:pPr>
              <w:pStyle w:val="08-Tabelageral"/>
              <w:ind w:left="113"/>
              <w:jc w:val="left"/>
              <w:rPr>
                <w:rFonts w:cs="Arial"/>
                <w:szCs w:val="14"/>
                <w:lang w:val="en-US"/>
              </w:rPr>
            </w:pPr>
            <w:r w:rsidRPr="00931938">
              <w:rPr>
                <w:rFonts w:cs="Arial"/>
                <w:szCs w:val="14"/>
                <w:lang w:val="en-US"/>
              </w:rPr>
              <w:t xml:space="preserve">Income/(expense) earn in earn out </w:t>
            </w:r>
            <w:r w:rsidRPr="00931938">
              <w:rPr>
                <w:rFonts w:cs="Arial"/>
                <w:szCs w:val="14"/>
                <w:vertAlign w:val="superscript"/>
                <w:lang w:val="en-US"/>
              </w:rPr>
              <w:t>(2)</w:t>
            </w:r>
          </w:p>
        </w:tc>
        <w:tc>
          <w:tcPr>
            <w:tcW w:w="1359" w:type="dxa"/>
            <w:gridSpan w:val="2"/>
            <w:shd w:val="clear" w:color="auto" w:fill="auto"/>
            <w:vAlign w:val="center"/>
          </w:tcPr>
          <w:p w14:paraId="59D5F52C" w14:textId="77777777" w:rsidR="00931938" w:rsidRPr="00AE31F4" w:rsidRDefault="00931938" w:rsidP="00AB15FD">
            <w:pPr>
              <w:pStyle w:val="08-Tabelageral"/>
            </w:pPr>
            <w:r>
              <w:rPr>
                <w:rFonts w:cs="Arial"/>
                <w:color w:val="000000"/>
                <w:szCs w:val="14"/>
              </w:rPr>
              <w:t>--</w:t>
            </w:r>
          </w:p>
        </w:tc>
        <w:tc>
          <w:tcPr>
            <w:tcW w:w="1359" w:type="dxa"/>
            <w:gridSpan w:val="2"/>
            <w:shd w:val="clear" w:color="auto" w:fill="auto"/>
            <w:vAlign w:val="center"/>
          </w:tcPr>
          <w:p w14:paraId="002B8B2E" w14:textId="77777777" w:rsidR="00931938" w:rsidRPr="00AE31F4" w:rsidRDefault="00931938" w:rsidP="00AB15FD">
            <w:pPr>
              <w:pStyle w:val="08-Tabelageral"/>
            </w:pPr>
            <w:r>
              <w:t>--</w:t>
            </w:r>
          </w:p>
        </w:tc>
        <w:tc>
          <w:tcPr>
            <w:tcW w:w="236" w:type="dxa"/>
            <w:gridSpan w:val="3"/>
            <w:shd w:val="clear" w:color="auto" w:fill="auto"/>
            <w:vAlign w:val="center"/>
          </w:tcPr>
          <w:p w14:paraId="2187104C" w14:textId="77777777" w:rsidR="00931938" w:rsidRPr="00AE31F4" w:rsidRDefault="00931938" w:rsidP="00AB15FD">
            <w:pPr>
              <w:pStyle w:val="08-Tabelageral"/>
            </w:pPr>
          </w:p>
        </w:tc>
        <w:tc>
          <w:tcPr>
            <w:tcW w:w="1624" w:type="dxa"/>
            <w:gridSpan w:val="4"/>
            <w:shd w:val="clear" w:color="auto" w:fill="auto"/>
            <w:vAlign w:val="center"/>
          </w:tcPr>
          <w:p w14:paraId="5588EA02" w14:textId="77777777" w:rsidR="00931938" w:rsidRPr="00AE31F4" w:rsidRDefault="00931938" w:rsidP="00AB15FD">
            <w:pPr>
              <w:pStyle w:val="08-Tabelageral"/>
            </w:pPr>
            <w:r>
              <w:rPr>
                <w:rFonts w:cs="Arial"/>
                <w:color w:val="000000"/>
                <w:szCs w:val="14"/>
              </w:rPr>
              <w:t>(25,160)</w:t>
            </w:r>
          </w:p>
        </w:tc>
        <w:tc>
          <w:tcPr>
            <w:tcW w:w="1134" w:type="dxa"/>
            <w:gridSpan w:val="2"/>
            <w:shd w:val="clear" w:color="auto" w:fill="auto"/>
            <w:vAlign w:val="center"/>
          </w:tcPr>
          <w:p w14:paraId="00863203" w14:textId="77777777" w:rsidR="00931938" w:rsidRPr="00AE31F4" w:rsidRDefault="00931938" w:rsidP="00AB15FD">
            <w:pPr>
              <w:pStyle w:val="08-Tabelageral"/>
            </w:pPr>
            <w:r>
              <w:t>(27,677)</w:t>
            </w:r>
          </w:p>
        </w:tc>
      </w:tr>
      <w:tr w:rsidR="00931938" w:rsidRPr="005171F7" w14:paraId="60E4B6D3" w14:textId="77777777" w:rsidTr="007F0195">
        <w:trPr>
          <w:trHeight w:val="20"/>
          <w:jc w:val="center"/>
        </w:trPr>
        <w:tc>
          <w:tcPr>
            <w:tcW w:w="3936" w:type="dxa"/>
            <w:gridSpan w:val="2"/>
            <w:shd w:val="clear" w:color="auto" w:fill="auto"/>
            <w:vAlign w:val="center"/>
          </w:tcPr>
          <w:p w14:paraId="2AF491F3" w14:textId="77777777" w:rsidR="00931938" w:rsidRPr="00931938" w:rsidRDefault="00931938" w:rsidP="00AB15FD">
            <w:pPr>
              <w:pStyle w:val="08-Tabelageral"/>
              <w:ind w:left="113"/>
              <w:jc w:val="left"/>
              <w:rPr>
                <w:rFonts w:cs="Arial"/>
                <w:szCs w:val="14"/>
                <w:lang w:val="en-US"/>
              </w:rPr>
            </w:pPr>
            <w:r w:rsidRPr="00931938">
              <w:rPr>
                <w:rFonts w:cs="Arial"/>
                <w:szCs w:val="14"/>
                <w:lang w:val="en-US"/>
              </w:rPr>
              <w:t xml:space="preserve">Provision for brokerage to returned </w:t>
            </w:r>
            <w:r w:rsidRPr="00931938">
              <w:rPr>
                <w:rFonts w:cs="Arial"/>
                <w:szCs w:val="14"/>
                <w:vertAlign w:val="superscript"/>
                <w:lang w:val="en-US"/>
              </w:rPr>
              <w:t>(3)</w:t>
            </w:r>
          </w:p>
        </w:tc>
        <w:tc>
          <w:tcPr>
            <w:tcW w:w="1359" w:type="dxa"/>
            <w:gridSpan w:val="2"/>
            <w:tcBorders>
              <w:bottom w:val="nil"/>
            </w:tcBorders>
            <w:shd w:val="clear" w:color="auto" w:fill="auto"/>
            <w:vAlign w:val="center"/>
          </w:tcPr>
          <w:p w14:paraId="038FD373" w14:textId="77777777" w:rsidR="00931938" w:rsidRDefault="00931938" w:rsidP="00AB15FD">
            <w:pPr>
              <w:pStyle w:val="08-Tabelageral"/>
            </w:pPr>
            <w:r>
              <w:rPr>
                <w:rFonts w:cs="Arial"/>
                <w:color w:val="000000"/>
                <w:szCs w:val="14"/>
              </w:rPr>
              <w:t>--</w:t>
            </w:r>
          </w:p>
        </w:tc>
        <w:tc>
          <w:tcPr>
            <w:tcW w:w="1359" w:type="dxa"/>
            <w:gridSpan w:val="2"/>
            <w:tcBorders>
              <w:bottom w:val="nil"/>
            </w:tcBorders>
            <w:shd w:val="clear" w:color="auto" w:fill="auto"/>
            <w:vAlign w:val="center"/>
          </w:tcPr>
          <w:p w14:paraId="3FAF90C9" w14:textId="77777777" w:rsidR="00931938" w:rsidRDefault="00931938" w:rsidP="00AB15FD">
            <w:pPr>
              <w:pStyle w:val="08-Tabelageral"/>
            </w:pPr>
            <w:r>
              <w:t>--</w:t>
            </w:r>
          </w:p>
        </w:tc>
        <w:tc>
          <w:tcPr>
            <w:tcW w:w="236" w:type="dxa"/>
            <w:gridSpan w:val="3"/>
            <w:tcBorders>
              <w:bottom w:val="nil"/>
            </w:tcBorders>
            <w:shd w:val="clear" w:color="auto" w:fill="auto"/>
            <w:vAlign w:val="center"/>
          </w:tcPr>
          <w:p w14:paraId="4D5236BA" w14:textId="77777777" w:rsidR="00931938" w:rsidRPr="00AE31F4" w:rsidRDefault="00931938" w:rsidP="00AB15FD">
            <w:pPr>
              <w:pStyle w:val="08-Tabelageral"/>
            </w:pPr>
          </w:p>
        </w:tc>
        <w:tc>
          <w:tcPr>
            <w:tcW w:w="1624" w:type="dxa"/>
            <w:gridSpan w:val="4"/>
            <w:tcBorders>
              <w:bottom w:val="nil"/>
            </w:tcBorders>
            <w:shd w:val="clear" w:color="auto" w:fill="auto"/>
            <w:vAlign w:val="center"/>
          </w:tcPr>
          <w:p w14:paraId="660A50E3" w14:textId="77777777" w:rsidR="00931938" w:rsidRDefault="00931938" w:rsidP="00AB15FD">
            <w:pPr>
              <w:pStyle w:val="08-Tabelageral"/>
            </w:pPr>
            <w:r>
              <w:t>(57,788)</w:t>
            </w:r>
          </w:p>
        </w:tc>
        <w:tc>
          <w:tcPr>
            <w:tcW w:w="1134" w:type="dxa"/>
            <w:gridSpan w:val="2"/>
            <w:tcBorders>
              <w:bottom w:val="nil"/>
            </w:tcBorders>
            <w:shd w:val="clear" w:color="auto" w:fill="auto"/>
            <w:vAlign w:val="center"/>
          </w:tcPr>
          <w:p w14:paraId="34CE1412" w14:textId="77777777" w:rsidR="00931938" w:rsidRDefault="00931938" w:rsidP="00AB15FD">
            <w:pPr>
              <w:pStyle w:val="08-Tabelageral"/>
            </w:pPr>
            <w:r>
              <w:t>(73,145)</w:t>
            </w:r>
          </w:p>
        </w:tc>
      </w:tr>
      <w:tr w:rsidR="00931938" w:rsidRPr="005171F7" w14:paraId="26A1DD96" w14:textId="77777777" w:rsidTr="007F0195">
        <w:trPr>
          <w:trHeight w:val="20"/>
          <w:jc w:val="center"/>
        </w:trPr>
        <w:tc>
          <w:tcPr>
            <w:tcW w:w="3936" w:type="dxa"/>
            <w:gridSpan w:val="2"/>
            <w:shd w:val="clear" w:color="auto" w:fill="auto"/>
            <w:vAlign w:val="center"/>
          </w:tcPr>
          <w:p w14:paraId="4146B703" w14:textId="77777777" w:rsidR="00931938" w:rsidRPr="005171F7" w:rsidRDefault="00931938" w:rsidP="00AB15FD">
            <w:pPr>
              <w:pStyle w:val="08-Tabelageral"/>
              <w:ind w:left="113"/>
              <w:jc w:val="left"/>
              <w:rPr>
                <w:rFonts w:cs="Arial"/>
                <w:szCs w:val="14"/>
              </w:rPr>
            </w:pPr>
            <w:r>
              <w:rPr>
                <w:rFonts w:cs="Arial"/>
                <w:szCs w:val="14"/>
              </w:rPr>
              <w:t>Other</w:t>
            </w:r>
            <w:r w:rsidRPr="005171F7">
              <w:rPr>
                <w:rFonts w:cs="Arial"/>
                <w:szCs w:val="14"/>
              </w:rPr>
              <w:t xml:space="preserve"> </w:t>
            </w:r>
            <w:r w:rsidRPr="005171F7">
              <w:rPr>
                <w:rFonts w:cs="Arial"/>
                <w:szCs w:val="14"/>
                <w:vertAlign w:val="superscript"/>
              </w:rPr>
              <w:t>(</w:t>
            </w:r>
            <w:r>
              <w:rPr>
                <w:rFonts w:cs="Arial"/>
                <w:szCs w:val="14"/>
                <w:vertAlign w:val="superscript"/>
              </w:rPr>
              <w:t>3</w:t>
            </w:r>
            <w:r w:rsidRPr="005171F7">
              <w:rPr>
                <w:rFonts w:cs="Arial"/>
                <w:szCs w:val="14"/>
                <w:vertAlign w:val="superscript"/>
              </w:rPr>
              <w:t>)</w:t>
            </w:r>
          </w:p>
        </w:tc>
        <w:tc>
          <w:tcPr>
            <w:tcW w:w="1359" w:type="dxa"/>
            <w:gridSpan w:val="2"/>
            <w:tcBorders>
              <w:bottom w:val="nil"/>
            </w:tcBorders>
            <w:shd w:val="clear" w:color="auto" w:fill="auto"/>
            <w:vAlign w:val="center"/>
          </w:tcPr>
          <w:p w14:paraId="50E7B951" w14:textId="77777777" w:rsidR="00931938" w:rsidRPr="00AE31F4" w:rsidRDefault="00931938" w:rsidP="00AB15FD">
            <w:pPr>
              <w:pStyle w:val="08-Tabelageral"/>
            </w:pPr>
            <w:r>
              <w:rPr>
                <w:rFonts w:cs="Arial"/>
                <w:color w:val="000000"/>
                <w:szCs w:val="14"/>
              </w:rPr>
              <w:t>(123)</w:t>
            </w:r>
          </w:p>
        </w:tc>
        <w:tc>
          <w:tcPr>
            <w:tcW w:w="1359" w:type="dxa"/>
            <w:gridSpan w:val="2"/>
            <w:tcBorders>
              <w:bottom w:val="nil"/>
            </w:tcBorders>
            <w:shd w:val="clear" w:color="auto" w:fill="auto"/>
            <w:vAlign w:val="center"/>
          </w:tcPr>
          <w:p w14:paraId="64BD4059" w14:textId="77777777" w:rsidR="00931938" w:rsidRPr="00AE31F4" w:rsidRDefault="00931938" w:rsidP="00AB15FD">
            <w:pPr>
              <w:pStyle w:val="08-Tabelageral"/>
            </w:pPr>
            <w:r>
              <w:t>179</w:t>
            </w:r>
          </w:p>
        </w:tc>
        <w:tc>
          <w:tcPr>
            <w:tcW w:w="236" w:type="dxa"/>
            <w:gridSpan w:val="3"/>
            <w:tcBorders>
              <w:bottom w:val="nil"/>
            </w:tcBorders>
            <w:shd w:val="clear" w:color="auto" w:fill="auto"/>
            <w:vAlign w:val="center"/>
          </w:tcPr>
          <w:p w14:paraId="4B5A9410" w14:textId="77777777" w:rsidR="00931938" w:rsidRPr="00AE31F4" w:rsidRDefault="00931938" w:rsidP="00AB15FD">
            <w:pPr>
              <w:pStyle w:val="08-Tabelageral"/>
            </w:pPr>
          </w:p>
        </w:tc>
        <w:tc>
          <w:tcPr>
            <w:tcW w:w="1624" w:type="dxa"/>
            <w:gridSpan w:val="4"/>
            <w:tcBorders>
              <w:bottom w:val="nil"/>
            </w:tcBorders>
            <w:shd w:val="clear" w:color="auto" w:fill="auto"/>
            <w:vAlign w:val="center"/>
          </w:tcPr>
          <w:p w14:paraId="6CEEFBB5" w14:textId="77777777" w:rsidR="00931938" w:rsidRPr="00AE31F4" w:rsidRDefault="00931938" w:rsidP="00AB15FD">
            <w:pPr>
              <w:pStyle w:val="08-Tabelageral"/>
            </w:pPr>
            <w:r>
              <w:rPr>
                <w:rFonts w:cs="Arial"/>
                <w:color w:val="000000"/>
                <w:szCs w:val="14"/>
              </w:rPr>
              <w:t>(5,208)</w:t>
            </w:r>
          </w:p>
        </w:tc>
        <w:tc>
          <w:tcPr>
            <w:tcW w:w="1134" w:type="dxa"/>
            <w:gridSpan w:val="2"/>
            <w:tcBorders>
              <w:bottom w:val="nil"/>
            </w:tcBorders>
            <w:shd w:val="clear" w:color="auto" w:fill="auto"/>
            <w:vAlign w:val="center"/>
          </w:tcPr>
          <w:p w14:paraId="273B3D0D" w14:textId="77777777" w:rsidR="00931938" w:rsidRPr="00AE31F4" w:rsidRDefault="00931938" w:rsidP="00AB15FD">
            <w:pPr>
              <w:pStyle w:val="08-Tabelageral"/>
            </w:pPr>
            <w:r>
              <w:t>14,839</w:t>
            </w:r>
          </w:p>
        </w:tc>
      </w:tr>
      <w:tr w:rsidR="00931938" w:rsidRPr="007D1ACC" w14:paraId="04689AD4" w14:textId="77777777" w:rsidTr="007F0195">
        <w:trPr>
          <w:trHeight w:val="20"/>
          <w:jc w:val="center"/>
        </w:trPr>
        <w:tc>
          <w:tcPr>
            <w:tcW w:w="3936" w:type="dxa"/>
            <w:gridSpan w:val="2"/>
            <w:shd w:val="clear" w:color="auto" w:fill="auto"/>
          </w:tcPr>
          <w:p w14:paraId="2ABE905F" w14:textId="77777777" w:rsidR="00931938" w:rsidRPr="007D1ACC" w:rsidRDefault="00931938" w:rsidP="00AB15FD">
            <w:pPr>
              <w:pStyle w:val="08-Tabelageral"/>
              <w:ind w:left="113"/>
              <w:jc w:val="left"/>
              <w:rPr>
                <w:rFonts w:cs="Arial"/>
                <w:b/>
                <w:szCs w:val="14"/>
              </w:rPr>
            </w:pPr>
            <w:r w:rsidRPr="007D1ACC">
              <w:rPr>
                <w:rFonts w:cs="Arial"/>
                <w:b/>
                <w:szCs w:val="14"/>
              </w:rPr>
              <w:t>Total</w:t>
            </w:r>
          </w:p>
        </w:tc>
        <w:tc>
          <w:tcPr>
            <w:tcW w:w="1359" w:type="dxa"/>
            <w:gridSpan w:val="2"/>
            <w:tcBorders>
              <w:top w:val="nil"/>
              <w:bottom w:val="single" w:sz="2" w:space="0" w:color="1F4E79" w:themeColor="accent1" w:themeShade="80"/>
            </w:tcBorders>
            <w:shd w:val="clear" w:color="auto" w:fill="auto"/>
            <w:vAlign w:val="center"/>
          </w:tcPr>
          <w:p w14:paraId="6BB54DEC" w14:textId="77777777" w:rsidR="00931938" w:rsidRPr="007D1ACC" w:rsidRDefault="00931938" w:rsidP="00AB15FD">
            <w:pPr>
              <w:pStyle w:val="08-Tabelageral"/>
              <w:ind w:left="113"/>
              <w:rPr>
                <w:rFonts w:cs="Arial"/>
                <w:b/>
                <w:szCs w:val="14"/>
              </w:rPr>
            </w:pPr>
            <w:r>
              <w:rPr>
                <w:rFonts w:cs="Arial"/>
                <w:b/>
                <w:bCs/>
                <w:color w:val="000000"/>
                <w:szCs w:val="14"/>
              </w:rPr>
              <w:t>8,199</w:t>
            </w:r>
          </w:p>
        </w:tc>
        <w:tc>
          <w:tcPr>
            <w:tcW w:w="1359" w:type="dxa"/>
            <w:gridSpan w:val="2"/>
            <w:tcBorders>
              <w:top w:val="nil"/>
              <w:bottom w:val="single" w:sz="2" w:space="0" w:color="1F4E79" w:themeColor="accent1" w:themeShade="80"/>
            </w:tcBorders>
            <w:shd w:val="clear" w:color="auto" w:fill="auto"/>
            <w:vAlign w:val="center"/>
          </w:tcPr>
          <w:p w14:paraId="257B4688" w14:textId="77777777" w:rsidR="00931938" w:rsidRPr="007D1ACC" w:rsidRDefault="00931938" w:rsidP="00AB15FD">
            <w:pPr>
              <w:pStyle w:val="08-Tabelageral"/>
              <w:ind w:left="113"/>
              <w:rPr>
                <w:rFonts w:cs="Arial"/>
                <w:b/>
                <w:szCs w:val="14"/>
              </w:rPr>
            </w:pPr>
            <w:r>
              <w:rPr>
                <w:b/>
              </w:rPr>
              <w:t>8,830</w:t>
            </w:r>
          </w:p>
        </w:tc>
        <w:tc>
          <w:tcPr>
            <w:tcW w:w="236" w:type="dxa"/>
            <w:gridSpan w:val="3"/>
            <w:tcBorders>
              <w:top w:val="nil"/>
              <w:bottom w:val="single" w:sz="2" w:space="0" w:color="1F4E79" w:themeColor="accent1" w:themeShade="80"/>
            </w:tcBorders>
            <w:shd w:val="clear" w:color="auto" w:fill="auto"/>
            <w:vAlign w:val="center"/>
          </w:tcPr>
          <w:p w14:paraId="054D8330" w14:textId="77777777" w:rsidR="00931938" w:rsidRPr="007D1ACC" w:rsidRDefault="00931938" w:rsidP="00AB15FD">
            <w:pPr>
              <w:pStyle w:val="08-Tabelageral"/>
              <w:ind w:left="113"/>
              <w:rPr>
                <w:rFonts w:cs="Arial"/>
                <w:b/>
                <w:szCs w:val="14"/>
              </w:rPr>
            </w:pPr>
          </w:p>
        </w:tc>
        <w:tc>
          <w:tcPr>
            <w:tcW w:w="1624" w:type="dxa"/>
            <w:gridSpan w:val="4"/>
            <w:tcBorders>
              <w:top w:val="nil"/>
              <w:bottom w:val="single" w:sz="2" w:space="0" w:color="1F4E79" w:themeColor="accent1" w:themeShade="80"/>
            </w:tcBorders>
            <w:shd w:val="clear" w:color="auto" w:fill="auto"/>
            <w:vAlign w:val="center"/>
          </w:tcPr>
          <w:p w14:paraId="09AE6942" w14:textId="77777777" w:rsidR="00931938" w:rsidRPr="007D1ACC" w:rsidRDefault="00931938" w:rsidP="00AB15FD">
            <w:pPr>
              <w:pStyle w:val="08-Tabelageral"/>
              <w:ind w:left="113"/>
              <w:rPr>
                <w:rFonts w:cs="Arial"/>
                <w:b/>
                <w:szCs w:val="14"/>
              </w:rPr>
            </w:pPr>
            <w:r>
              <w:rPr>
                <w:b/>
              </w:rPr>
              <w:t>(79,380)</w:t>
            </w:r>
          </w:p>
        </w:tc>
        <w:tc>
          <w:tcPr>
            <w:tcW w:w="1134" w:type="dxa"/>
            <w:gridSpan w:val="2"/>
            <w:tcBorders>
              <w:top w:val="nil"/>
              <w:bottom w:val="single" w:sz="2" w:space="0" w:color="1F4E79" w:themeColor="accent1" w:themeShade="80"/>
            </w:tcBorders>
            <w:shd w:val="clear" w:color="auto" w:fill="auto"/>
            <w:vAlign w:val="center"/>
          </w:tcPr>
          <w:p w14:paraId="0308D1E3" w14:textId="77777777" w:rsidR="00931938" w:rsidRPr="007D1ACC" w:rsidRDefault="00931938" w:rsidP="00AB15FD">
            <w:pPr>
              <w:pStyle w:val="08-Tabelageral"/>
              <w:ind w:left="113"/>
              <w:rPr>
                <w:rFonts w:cs="Arial"/>
                <w:b/>
                <w:szCs w:val="14"/>
              </w:rPr>
            </w:pPr>
            <w:r>
              <w:rPr>
                <w:b/>
              </w:rPr>
              <w:t>(75,880)</w:t>
            </w:r>
          </w:p>
        </w:tc>
      </w:tr>
    </w:tbl>
    <w:p w14:paraId="3C0874AF" w14:textId="77777777" w:rsidR="00931938" w:rsidRPr="00F26745" w:rsidRDefault="00931938" w:rsidP="00931938">
      <w:pPr>
        <w:pStyle w:val="07-Legenda"/>
        <w:numPr>
          <w:ilvl w:val="0"/>
          <w:numId w:val="26"/>
        </w:numPr>
        <w:tabs>
          <w:tab w:val="clear" w:pos="284"/>
        </w:tabs>
        <w:ind w:left="284"/>
        <w:rPr>
          <w:rStyle w:val="tlid-translation"/>
          <w:lang w:val="en"/>
        </w:rPr>
      </w:pPr>
      <w:r>
        <w:rPr>
          <w:rStyle w:val="tlid-translation"/>
          <w:lang w:val="en"/>
        </w:rPr>
        <w:t>R</w:t>
      </w:r>
      <w:r w:rsidRPr="00F26745">
        <w:rPr>
          <w:rStyle w:val="tlid-translation"/>
          <w:lang w:val="en"/>
        </w:rPr>
        <w:t>efers to the sharing, by the depositary bank of the ADR Level I program, of the income from issuance fees, cancellation and processing of dividends charged to investors holding ADRs (American Depositary Receipts) of BB Seguridade, with the purpose of defray Program expenses.</w:t>
      </w:r>
    </w:p>
    <w:p w14:paraId="2B713ADA" w14:textId="77777777" w:rsidR="00931938" w:rsidRPr="00CB6A4B" w:rsidRDefault="00931938" w:rsidP="00931938">
      <w:pPr>
        <w:pStyle w:val="07-Legenda"/>
        <w:numPr>
          <w:ilvl w:val="0"/>
          <w:numId w:val="26"/>
        </w:numPr>
        <w:tabs>
          <w:tab w:val="clear" w:pos="284"/>
        </w:tabs>
        <w:ind w:left="284"/>
        <w:rPr>
          <w:rStyle w:val="tlid-translation"/>
          <w:lang w:val="en"/>
        </w:rPr>
      </w:pPr>
      <w:r w:rsidRPr="00CB6A4B">
        <w:rPr>
          <w:rStyle w:val="tlid-translation"/>
          <w:lang w:val="en"/>
        </w:rPr>
        <w:t>Refers to the price adjustment mechanism of the assets</w:t>
      </w:r>
      <w:r>
        <w:rPr>
          <w:rStyle w:val="tlid-translation"/>
          <w:lang w:val="en"/>
        </w:rPr>
        <w:t xml:space="preserve"> of the Brasilveiculos (current Mapfre Seguros Gerais) asset sold to Mapfre Brasil on 11.30.2018, with calculation, monthly provisions, and annual payment, made based on the fulfilment of goals in the sales of auto insurance. </w:t>
      </w:r>
      <w:r w:rsidRPr="00027448">
        <w:rPr>
          <w:rStyle w:val="tlid-translation"/>
          <w:lang w:val="en"/>
        </w:rPr>
        <w:t>The mechanism provides for the possibility of earn in or earn out, that is, payment from MAPFRE Brasil to BB Seguros or from BB Seguros to MAPFRE Brasil</w:t>
      </w:r>
      <w:r>
        <w:rPr>
          <w:rStyle w:val="tlid-translation"/>
          <w:lang w:val="en"/>
        </w:rPr>
        <w:t xml:space="preserve"> and </w:t>
      </w:r>
      <w:r w:rsidRPr="00F05BF8">
        <w:rPr>
          <w:rStyle w:val="tlid-translation"/>
          <w:lang w:val="en"/>
        </w:rPr>
        <w:t>will be calculated for each financial year until 2031</w:t>
      </w:r>
      <w:r>
        <w:rPr>
          <w:rStyle w:val="tlid-translation"/>
          <w:lang w:val="en"/>
        </w:rPr>
        <w:t>.</w:t>
      </w:r>
    </w:p>
    <w:p w14:paraId="31EB8D38" w14:textId="77777777" w:rsidR="00931938" w:rsidRDefault="00931938" w:rsidP="00931938">
      <w:pPr>
        <w:pStyle w:val="07-Legenda"/>
        <w:numPr>
          <w:ilvl w:val="0"/>
          <w:numId w:val="26"/>
        </w:numPr>
        <w:tabs>
          <w:tab w:val="clear" w:pos="284"/>
        </w:tabs>
        <w:ind w:left="284"/>
        <w:rPr>
          <w:rStyle w:val="tlid-translation"/>
          <w:lang w:val="en"/>
        </w:rPr>
      </w:pPr>
      <w:r w:rsidRPr="00FA1D76">
        <w:rPr>
          <w:rStyle w:val="tlid-translation"/>
          <w:lang w:val="en"/>
        </w:rPr>
        <w:t>Refers to the provision for brokerage to returned to Brasilprev. In 2022, there was a reversal of the provision, due to the return made in November</w:t>
      </w:r>
      <w:r>
        <w:rPr>
          <w:rStyle w:val="tlid-translation"/>
          <w:lang w:val="en"/>
        </w:rPr>
        <w:t xml:space="preserve"> </w:t>
      </w:r>
      <w:r w:rsidRPr="00FA1D76">
        <w:rPr>
          <w:rStyle w:val="tlid-translation"/>
          <w:lang w:val="en"/>
        </w:rPr>
        <w:t>2022 and recognition in brokerage return expenses. As of December 2022, returns are processed automatically, with no need to recognize the provision anymore.</w:t>
      </w:r>
    </w:p>
    <w:p w14:paraId="349576E2" w14:textId="77777777" w:rsidR="00931938" w:rsidRPr="00931938" w:rsidRDefault="00931938" w:rsidP="00F602F0">
      <w:pPr>
        <w:pStyle w:val="05-Textonormal"/>
        <w:rPr>
          <w:rFonts w:cs="Arial"/>
          <w:szCs w:val="14"/>
          <w:lang w:val="en-US"/>
        </w:rPr>
      </w:pPr>
      <w:r w:rsidRPr="00931938">
        <w:rPr>
          <w:rFonts w:cs="Arial"/>
          <w:szCs w:val="14"/>
          <w:lang w:val="en-US"/>
        </w:rPr>
        <w:lastRenderedPageBreak/>
        <w:t>In December 29, 2022, the 1</w:t>
      </w:r>
      <w:r w:rsidRPr="00931938">
        <w:rPr>
          <w:rFonts w:cs="Arial"/>
          <w:szCs w:val="14"/>
          <w:vertAlign w:val="superscript"/>
          <w:lang w:val="en-US"/>
        </w:rPr>
        <w:t>st</w:t>
      </w:r>
      <w:r w:rsidRPr="00931938">
        <w:rPr>
          <w:rFonts w:cs="Arial"/>
          <w:szCs w:val="14"/>
          <w:lang w:val="en-US"/>
        </w:rPr>
        <w:t xml:space="preserve"> Amendment to the Partnership Restructuring Agreement was signed, providing for the elimination of the price adjustment mechanism, effective for three years, renewable successively, starting in 2023.</w:t>
      </w:r>
    </w:p>
    <w:p w14:paraId="0FE13754" w14:textId="62DBB74E" w:rsidR="00931938" w:rsidRPr="00AB4D1D" w:rsidRDefault="00931938" w:rsidP="00FC4475">
      <w:pPr>
        <w:pStyle w:val="Ttulo1"/>
      </w:pPr>
      <w:bookmarkStart w:id="44" w:name="_Toc126781105"/>
      <w:bookmarkStart w:id="45" w:name="_Toc28866213"/>
      <w:bookmarkStart w:id="46" w:name="OLE_LINK21"/>
      <w:r w:rsidRPr="00AB4D1D">
        <w:t>14 – FINANCIAL RESULT</w:t>
      </w:r>
      <w:bookmarkEnd w:id="44"/>
    </w:p>
    <w:bookmarkEnd w:id="45"/>
    <w:p w14:paraId="4E1458FF" w14:textId="77777777" w:rsidR="00931938" w:rsidRPr="00D318B6" w:rsidRDefault="00931938" w:rsidP="00D318B6">
      <w:pPr>
        <w:pStyle w:val="06-Rmil"/>
        <w:rPr>
          <w:rFonts w:cs="Arial"/>
        </w:rPr>
      </w:pPr>
      <w:r w:rsidRPr="00FF3418">
        <w:rPr>
          <w:rFonts w:cs="Arial"/>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5"/>
        <w:gridCol w:w="603"/>
        <w:gridCol w:w="1411"/>
        <w:gridCol w:w="1411"/>
        <w:gridCol w:w="283"/>
        <w:gridCol w:w="1417"/>
        <w:gridCol w:w="1419"/>
      </w:tblGrid>
      <w:tr w:rsidR="00931938" w:rsidRPr="00DB06CF" w14:paraId="62768E4A" w14:textId="77777777" w:rsidTr="00AB4D1D">
        <w:trPr>
          <w:trHeight w:val="238"/>
          <w:jc w:val="center"/>
        </w:trPr>
        <w:tc>
          <w:tcPr>
            <w:tcW w:w="1605" w:type="pct"/>
            <w:tcBorders>
              <w:top w:val="single" w:sz="2" w:space="0" w:color="1F4E79" w:themeColor="accent1" w:themeShade="80"/>
              <w:bottom w:val="nil"/>
            </w:tcBorders>
            <w:shd w:val="clear" w:color="auto" w:fill="auto"/>
            <w:vAlign w:val="center"/>
          </w:tcPr>
          <w:p w14:paraId="7DA71369" w14:textId="77777777" w:rsidR="00931938" w:rsidRPr="00DB06CF" w:rsidRDefault="00931938" w:rsidP="00DF3D28">
            <w:pPr>
              <w:spacing w:after="0"/>
              <w:jc w:val="center"/>
              <w:rPr>
                <w:rFonts w:cs="Arial"/>
                <w:b/>
                <w:szCs w:val="18"/>
              </w:rPr>
            </w:pPr>
          </w:p>
        </w:tc>
        <w:tc>
          <w:tcPr>
            <w:tcW w:w="313" w:type="pct"/>
            <w:tcBorders>
              <w:top w:val="single" w:sz="2" w:space="0" w:color="1F4E79" w:themeColor="accent1" w:themeShade="80"/>
              <w:bottom w:val="nil"/>
            </w:tcBorders>
            <w:shd w:val="clear" w:color="auto" w:fill="auto"/>
            <w:vAlign w:val="center"/>
          </w:tcPr>
          <w:p w14:paraId="0DA0AF1D" w14:textId="77777777" w:rsidR="00931938" w:rsidRPr="00DB06CF" w:rsidRDefault="00931938" w:rsidP="00DF3D28">
            <w:pPr>
              <w:spacing w:after="0"/>
              <w:jc w:val="center"/>
              <w:rPr>
                <w:rFonts w:cs="Arial"/>
                <w:b/>
                <w:szCs w:val="18"/>
              </w:rPr>
            </w:pPr>
          </w:p>
        </w:tc>
        <w:tc>
          <w:tcPr>
            <w:tcW w:w="1464" w:type="pct"/>
            <w:gridSpan w:val="2"/>
            <w:tcBorders>
              <w:top w:val="single" w:sz="2" w:space="0" w:color="1F4E79" w:themeColor="accent1" w:themeShade="80"/>
              <w:bottom w:val="single" w:sz="2" w:space="0" w:color="1F4E79" w:themeColor="accent1" w:themeShade="80"/>
            </w:tcBorders>
            <w:shd w:val="clear" w:color="auto" w:fill="auto"/>
            <w:vAlign w:val="center"/>
          </w:tcPr>
          <w:p w14:paraId="686AAAB3" w14:textId="77777777" w:rsidR="00931938" w:rsidRPr="00DB06CF" w:rsidRDefault="00931938" w:rsidP="00DF3D28">
            <w:pPr>
              <w:spacing w:after="0"/>
              <w:jc w:val="center"/>
              <w:rPr>
                <w:rFonts w:cs="Arial"/>
                <w:b/>
                <w:sz w:val="14"/>
                <w:szCs w:val="18"/>
              </w:rPr>
            </w:pPr>
            <w:r w:rsidRPr="00FF3418">
              <w:rPr>
                <w:rFonts w:cs="Arial"/>
                <w:b/>
                <w:sz w:val="14"/>
                <w:szCs w:val="18"/>
              </w:rPr>
              <w:t>Parent</w:t>
            </w:r>
          </w:p>
        </w:tc>
        <w:tc>
          <w:tcPr>
            <w:tcW w:w="147" w:type="pct"/>
            <w:tcBorders>
              <w:top w:val="single" w:sz="2" w:space="0" w:color="1F4E79" w:themeColor="accent1" w:themeShade="80"/>
              <w:bottom w:val="nil"/>
            </w:tcBorders>
            <w:shd w:val="clear" w:color="auto" w:fill="auto"/>
            <w:vAlign w:val="center"/>
          </w:tcPr>
          <w:p w14:paraId="5F237396" w14:textId="77777777" w:rsidR="00931938" w:rsidRPr="00DB06CF" w:rsidRDefault="00931938" w:rsidP="00DF3D28">
            <w:pPr>
              <w:spacing w:after="0"/>
              <w:jc w:val="center"/>
              <w:rPr>
                <w:rFonts w:cs="Arial"/>
                <w:b/>
                <w:szCs w:val="18"/>
              </w:rPr>
            </w:pPr>
          </w:p>
        </w:tc>
        <w:tc>
          <w:tcPr>
            <w:tcW w:w="1471" w:type="pct"/>
            <w:gridSpan w:val="2"/>
            <w:tcBorders>
              <w:top w:val="single" w:sz="2" w:space="0" w:color="1F4E79" w:themeColor="accent1" w:themeShade="80"/>
              <w:bottom w:val="single" w:sz="2" w:space="0" w:color="1F4E79" w:themeColor="accent1" w:themeShade="80"/>
            </w:tcBorders>
            <w:shd w:val="clear" w:color="auto" w:fill="auto"/>
            <w:vAlign w:val="center"/>
          </w:tcPr>
          <w:p w14:paraId="6E16242C" w14:textId="77777777" w:rsidR="00931938" w:rsidRPr="00DB06CF" w:rsidRDefault="00931938" w:rsidP="00DF3D28">
            <w:pPr>
              <w:spacing w:after="0"/>
              <w:jc w:val="center"/>
              <w:rPr>
                <w:rFonts w:cs="Arial"/>
                <w:b/>
                <w:szCs w:val="18"/>
              </w:rPr>
            </w:pPr>
            <w:r w:rsidRPr="00FF3418">
              <w:rPr>
                <w:rFonts w:cs="Arial"/>
                <w:b/>
                <w:sz w:val="14"/>
                <w:szCs w:val="18"/>
              </w:rPr>
              <w:t>Consolidated</w:t>
            </w:r>
          </w:p>
        </w:tc>
      </w:tr>
      <w:tr w:rsidR="00931938" w:rsidRPr="00DB06CF" w14:paraId="5FDEF95F" w14:textId="77777777" w:rsidTr="00AB4D1D">
        <w:trPr>
          <w:trHeight w:val="238"/>
          <w:jc w:val="center"/>
        </w:trPr>
        <w:tc>
          <w:tcPr>
            <w:tcW w:w="1605" w:type="pct"/>
            <w:tcBorders>
              <w:top w:val="nil"/>
              <w:bottom w:val="single" w:sz="2" w:space="0" w:color="1F4E79" w:themeColor="accent1" w:themeShade="80"/>
            </w:tcBorders>
            <w:shd w:val="clear" w:color="auto" w:fill="auto"/>
          </w:tcPr>
          <w:p w14:paraId="793D92B5" w14:textId="77777777" w:rsidR="00931938" w:rsidRPr="00DB06CF" w:rsidRDefault="00931938" w:rsidP="00180262">
            <w:pPr>
              <w:pStyle w:val="08-Tabelageral"/>
              <w:rPr>
                <w:rFonts w:cs="Arial"/>
                <w:b/>
              </w:rPr>
            </w:pPr>
          </w:p>
        </w:tc>
        <w:tc>
          <w:tcPr>
            <w:tcW w:w="313" w:type="pct"/>
            <w:tcBorders>
              <w:top w:val="nil"/>
              <w:bottom w:val="single" w:sz="2" w:space="0" w:color="1F4E79" w:themeColor="accent1" w:themeShade="80"/>
            </w:tcBorders>
            <w:shd w:val="clear" w:color="auto" w:fill="auto"/>
            <w:vAlign w:val="center"/>
          </w:tcPr>
          <w:p w14:paraId="4A322430" w14:textId="77777777" w:rsidR="00931938" w:rsidRPr="00DB06CF" w:rsidRDefault="00931938" w:rsidP="00DF3D28">
            <w:pPr>
              <w:pStyle w:val="08-Tabelageral"/>
              <w:jc w:val="center"/>
              <w:rPr>
                <w:rFonts w:cs="Arial"/>
                <w:b/>
              </w:rPr>
            </w:pPr>
          </w:p>
        </w:tc>
        <w:tc>
          <w:tcPr>
            <w:tcW w:w="732" w:type="pct"/>
            <w:tcBorders>
              <w:top w:val="single" w:sz="2" w:space="0" w:color="1F4E79" w:themeColor="accent1" w:themeShade="80"/>
              <w:bottom w:val="single" w:sz="2" w:space="0" w:color="1F4E79" w:themeColor="accent1" w:themeShade="80"/>
            </w:tcBorders>
            <w:shd w:val="clear" w:color="auto" w:fill="auto"/>
            <w:vAlign w:val="center"/>
          </w:tcPr>
          <w:p w14:paraId="00A317CA" w14:textId="77777777" w:rsidR="00931938" w:rsidRPr="00DB06CF" w:rsidRDefault="00931938" w:rsidP="00DF3D28">
            <w:pPr>
              <w:pStyle w:val="08-Tabelageral"/>
              <w:rPr>
                <w:rFonts w:cs="Arial"/>
                <w:b/>
              </w:rPr>
            </w:pPr>
            <w:r>
              <w:rPr>
                <w:rFonts w:cs="Arial"/>
                <w:b/>
                <w:bCs/>
                <w:szCs w:val="14"/>
              </w:rPr>
              <w:t>2</w:t>
            </w:r>
            <w:r w:rsidRPr="00D43605">
              <w:rPr>
                <w:rFonts w:cs="Arial"/>
                <w:b/>
                <w:bCs/>
                <w:szCs w:val="14"/>
              </w:rPr>
              <w:t>022</w:t>
            </w:r>
          </w:p>
        </w:tc>
        <w:tc>
          <w:tcPr>
            <w:tcW w:w="732" w:type="pct"/>
            <w:tcBorders>
              <w:top w:val="single" w:sz="2" w:space="0" w:color="1F4E79" w:themeColor="accent1" w:themeShade="80"/>
              <w:bottom w:val="single" w:sz="2" w:space="0" w:color="1F4E79" w:themeColor="accent1" w:themeShade="80"/>
            </w:tcBorders>
            <w:shd w:val="clear" w:color="auto" w:fill="auto"/>
            <w:vAlign w:val="center"/>
          </w:tcPr>
          <w:p w14:paraId="0BD44567" w14:textId="77777777" w:rsidR="00931938" w:rsidRPr="00DB06CF" w:rsidRDefault="00931938" w:rsidP="00DF3D28">
            <w:pPr>
              <w:pStyle w:val="08-Tabelageral"/>
              <w:rPr>
                <w:rFonts w:cs="Arial"/>
                <w:b/>
              </w:rPr>
            </w:pPr>
            <w:r w:rsidRPr="00D43605">
              <w:rPr>
                <w:rFonts w:cs="Arial"/>
                <w:b/>
                <w:szCs w:val="14"/>
              </w:rPr>
              <w:t>202</w:t>
            </w:r>
            <w:r>
              <w:rPr>
                <w:rFonts w:cs="Arial"/>
                <w:b/>
                <w:szCs w:val="14"/>
              </w:rPr>
              <w:t>1</w:t>
            </w:r>
          </w:p>
        </w:tc>
        <w:tc>
          <w:tcPr>
            <w:tcW w:w="147" w:type="pct"/>
            <w:tcBorders>
              <w:top w:val="nil"/>
              <w:bottom w:val="single" w:sz="2" w:space="0" w:color="1F4E79" w:themeColor="accent1" w:themeShade="80"/>
            </w:tcBorders>
            <w:shd w:val="clear" w:color="auto" w:fill="auto"/>
            <w:vAlign w:val="center"/>
          </w:tcPr>
          <w:p w14:paraId="6977298D" w14:textId="77777777" w:rsidR="00931938" w:rsidRPr="00DB06CF" w:rsidRDefault="00931938" w:rsidP="00DF3D28">
            <w:pPr>
              <w:pStyle w:val="08-Tabelageral"/>
              <w:rPr>
                <w:rFonts w:cs="Arial"/>
                <w:b/>
              </w:rPr>
            </w:pPr>
          </w:p>
        </w:tc>
        <w:tc>
          <w:tcPr>
            <w:tcW w:w="735" w:type="pct"/>
            <w:tcBorders>
              <w:top w:val="single" w:sz="2" w:space="0" w:color="1F4E79" w:themeColor="accent1" w:themeShade="80"/>
              <w:bottom w:val="single" w:sz="2" w:space="0" w:color="1F4E79" w:themeColor="accent1" w:themeShade="80"/>
            </w:tcBorders>
            <w:shd w:val="clear" w:color="auto" w:fill="auto"/>
            <w:vAlign w:val="center"/>
          </w:tcPr>
          <w:p w14:paraId="1B820737" w14:textId="77777777" w:rsidR="00931938" w:rsidRPr="00DB06CF" w:rsidRDefault="00931938" w:rsidP="00DF3D28">
            <w:pPr>
              <w:pStyle w:val="08-Tabelageral"/>
              <w:rPr>
                <w:rFonts w:cs="Arial"/>
                <w:b/>
              </w:rPr>
            </w:pPr>
            <w:r w:rsidRPr="00AA6CDA">
              <w:rPr>
                <w:rFonts w:cs="Arial"/>
                <w:b/>
                <w:bCs/>
                <w:szCs w:val="14"/>
              </w:rPr>
              <w:t>2022</w:t>
            </w:r>
          </w:p>
        </w:tc>
        <w:tc>
          <w:tcPr>
            <w:tcW w:w="736" w:type="pct"/>
            <w:tcBorders>
              <w:top w:val="single" w:sz="2" w:space="0" w:color="1F4E79" w:themeColor="accent1" w:themeShade="80"/>
              <w:bottom w:val="single" w:sz="2" w:space="0" w:color="1F4E79" w:themeColor="accent1" w:themeShade="80"/>
            </w:tcBorders>
            <w:shd w:val="clear" w:color="auto" w:fill="auto"/>
            <w:vAlign w:val="center"/>
          </w:tcPr>
          <w:p w14:paraId="665B83DF" w14:textId="77777777" w:rsidR="00931938" w:rsidRPr="00DB06CF" w:rsidRDefault="00931938" w:rsidP="00DF3D28">
            <w:pPr>
              <w:pStyle w:val="08-Tabelageral"/>
              <w:rPr>
                <w:rFonts w:cs="Arial"/>
                <w:b/>
              </w:rPr>
            </w:pPr>
            <w:r w:rsidRPr="00AA6CDA">
              <w:rPr>
                <w:rFonts w:cs="Arial"/>
                <w:b/>
                <w:szCs w:val="14"/>
              </w:rPr>
              <w:t>2021</w:t>
            </w:r>
          </w:p>
        </w:tc>
      </w:tr>
      <w:tr w:rsidR="00931938" w:rsidRPr="00DB06CF" w14:paraId="167984D2" w14:textId="77777777" w:rsidTr="00AB4D1D">
        <w:trPr>
          <w:trHeight w:val="238"/>
          <w:jc w:val="center"/>
        </w:trPr>
        <w:tc>
          <w:tcPr>
            <w:tcW w:w="1605" w:type="pct"/>
            <w:tcBorders>
              <w:top w:val="single" w:sz="2" w:space="0" w:color="1F4E79" w:themeColor="accent1" w:themeShade="80"/>
            </w:tcBorders>
            <w:shd w:val="clear" w:color="auto" w:fill="auto"/>
            <w:vAlign w:val="center"/>
          </w:tcPr>
          <w:p w14:paraId="081198EB" w14:textId="77777777" w:rsidR="00931938" w:rsidRPr="00DB06CF" w:rsidRDefault="00931938" w:rsidP="00DF3D28">
            <w:pPr>
              <w:pStyle w:val="08-Tabelageral"/>
              <w:jc w:val="left"/>
              <w:rPr>
                <w:b/>
              </w:rPr>
            </w:pPr>
            <w:r w:rsidRPr="00FF3418">
              <w:rPr>
                <w:b/>
              </w:rPr>
              <w:t>Financial Income</w:t>
            </w:r>
          </w:p>
        </w:tc>
        <w:tc>
          <w:tcPr>
            <w:tcW w:w="313" w:type="pct"/>
            <w:tcBorders>
              <w:top w:val="single" w:sz="2" w:space="0" w:color="1F4E79" w:themeColor="accent1" w:themeShade="80"/>
            </w:tcBorders>
            <w:shd w:val="clear" w:color="auto" w:fill="auto"/>
            <w:vAlign w:val="center"/>
          </w:tcPr>
          <w:p w14:paraId="262415F6" w14:textId="77777777" w:rsidR="00931938" w:rsidRPr="00DB06CF" w:rsidRDefault="00931938" w:rsidP="00DF3D28">
            <w:pPr>
              <w:pStyle w:val="08-Tabelageral"/>
              <w:jc w:val="center"/>
              <w:rPr>
                <w:rFonts w:cs="Arial"/>
                <w:b/>
                <w:szCs w:val="14"/>
              </w:rPr>
            </w:pPr>
          </w:p>
        </w:tc>
        <w:tc>
          <w:tcPr>
            <w:tcW w:w="732" w:type="pct"/>
            <w:tcBorders>
              <w:top w:val="single" w:sz="2" w:space="0" w:color="1F4E79" w:themeColor="accent1" w:themeShade="80"/>
            </w:tcBorders>
            <w:shd w:val="clear" w:color="auto" w:fill="auto"/>
            <w:vAlign w:val="center"/>
          </w:tcPr>
          <w:p w14:paraId="516B46BF" w14:textId="77777777" w:rsidR="00931938" w:rsidRPr="00961673" w:rsidRDefault="00931938" w:rsidP="00DF3D28">
            <w:pPr>
              <w:pStyle w:val="08-Tabelageral"/>
              <w:rPr>
                <w:b/>
              </w:rPr>
            </w:pPr>
            <w:r>
              <w:rPr>
                <w:b/>
                <w:lang w:eastAsia="en-US"/>
              </w:rPr>
              <w:t>44,465</w:t>
            </w:r>
          </w:p>
        </w:tc>
        <w:tc>
          <w:tcPr>
            <w:tcW w:w="732" w:type="pct"/>
            <w:tcBorders>
              <w:top w:val="single" w:sz="2" w:space="0" w:color="1F4E79" w:themeColor="accent1" w:themeShade="80"/>
            </w:tcBorders>
            <w:shd w:val="clear" w:color="auto" w:fill="auto"/>
            <w:vAlign w:val="center"/>
          </w:tcPr>
          <w:p w14:paraId="1B85F910" w14:textId="77777777" w:rsidR="00931938" w:rsidRPr="00961673" w:rsidRDefault="00931938" w:rsidP="00DF3D28">
            <w:pPr>
              <w:pStyle w:val="08-Tabelageral"/>
              <w:rPr>
                <w:b/>
              </w:rPr>
            </w:pPr>
            <w:r>
              <w:rPr>
                <w:b/>
                <w:lang w:eastAsia="en-US"/>
              </w:rPr>
              <w:t>26,992</w:t>
            </w:r>
          </w:p>
        </w:tc>
        <w:tc>
          <w:tcPr>
            <w:tcW w:w="147" w:type="pct"/>
            <w:tcBorders>
              <w:top w:val="single" w:sz="2" w:space="0" w:color="1F4E79" w:themeColor="accent1" w:themeShade="80"/>
            </w:tcBorders>
            <w:shd w:val="clear" w:color="auto" w:fill="auto"/>
            <w:vAlign w:val="center"/>
          </w:tcPr>
          <w:p w14:paraId="7DB08EF6" w14:textId="77777777" w:rsidR="00931938" w:rsidRPr="00961673" w:rsidRDefault="00931938" w:rsidP="00DF3D28">
            <w:pPr>
              <w:pStyle w:val="08-Tabelageral"/>
              <w:rPr>
                <w:b/>
              </w:rPr>
            </w:pPr>
          </w:p>
        </w:tc>
        <w:tc>
          <w:tcPr>
            <w:tcW w:w="735" w:type="pct"/>
            <w:tcBorders>
              <w:top w:val="single" w:sz="2" w:space="0" w:color="1F4E79" w:themeColor="accent1" w:themeShade="80"/>
              <w:left w:val="nil"/>
              <w:bottom w:val="nil"/>
              <w:right w:val="nil"/>
            </w:tcBorders>
            <w:vAlign w:val="center"/>
          </w:tcPr>
          <w:p w14:paraId="79695D63" w14:textId="77777777" w:rsidR="00931938" w:rsidRPr="00D41026" w:rsidRDefault="00931938" w:rsidP="00DF3D28">
            <w:pPr>
              <w:pStyle w:val="08-Tabelageral"/>
              <w:rPr>
                <w:b/>
              </w:rPr>
            </w:pPr>
            <w:r>
              <w:rPr>
                <w:b/>
                <w:lang w:eastAsia="en-US"/>
              </w:rPr>
              <w:t>532,063</w:t>
            </w:r>
          </w:p>
        </w:tc>
        <w:tc>
          <w:tcPr>
            <w:tcW w:w="736" w:type="pct"/>
            <w:tcBorders>
              <w:top w:val="single" w:sz="2" w:space="0" w:color="1F4E79" w:themeColor="accent1" w:themeShade="80"/>
              <w:left w:val="nil"/>
              <w:bottom w:val="nil"/>
              <w:right w:val="nil"/>
            </w:tcBorders>
            <w:vAlign w:val="center"/>
          </w:tcPr>
          <w:p w14:paraId="5A30A011" w14:textId="77777777" w:rsidR="00931938" w:rsidRPr="00961673" w:rsidRDefault="00931938" w:rsidP="00DF3D28">
            <w:pPr>
              <w:pStyle w:val="08-Tabelageral"/>
              <w:rPr>
                <w:b/>
              </w:rPr>
            </w:pPr>
            <w:r>
              <w:rPr>
                <w:b/>
                <w:lang w:eastAsia="en-US"/>
              </w:rPr>
              <w:t>151,739</w:t>
            </w:r>
          </w:p>
        </w:tc>
      </w:tr>
      <w:tr w:rsidR="00931938" w:rsidRPr="00DB06CF" w14:paraId="2723F00C" w14:textId="77777777" w:rsidTr="00AB4D1D">
        <w:trPr>
          <w:trHeight w:val="238"/>
          <w:jc w:val="center"/>
        </w:trPr>
        <w:tc>
          <w:tcPr>
            <w:tcW w:w="1605" w:type="pct"/>
            <w:shd w:val="clear" w:color="auto" w:fill="auto"/>
            <w:vAlign w:val="center"/>
          </w:tcPr>
          <w:p w14:paraId="4EE91B32" w14:textId="77777777" w:rsidR="00931938" w:rsidRPr="00DB06CF" w:rsidRDefault="00931938" w:rsidP="00DF3D28">
            <w:pPr>
              <w:pStyle w:val="08-Tabelageral"/>
              <w:ind w:left="113"/>
              <w:jc w:val="left"/>
            </w:pPr>
            <w:r w:rsidRPr="00FA2ABC">
              <w:t>Yield from financial investments</w:t>
            </w:r>
          </w:p>
        </w:tc>
        <w:tc>
          <w:tcPr>
            <w:tcW w:w="313" w:type="pct"/>
            <w:shd w:val="clear" w:color="auto" w:fill="auto"/>
            <w:vAlign w:val="center"/>
          </w:tcPr>
          <w:p w14:paraId="5FC51BC3" w14:textId="77777777" w:rsidR="00931938" w:rsidRPr="00DB06CF" w:rsidRDefault="00931938" w:rsidP="00DF3D28">
            <w:pPr>
              <w:pStyle w:val="08-Tabelageral"/>
              <w:ind w:left="113"/>
              <w:jc w:val="center"/>
              <w:rPr>
                <w:rFonts w:cs="Arial"/>
                <w:szCs w:val="14"/>
              </w:rPr>
            </w:pPr>
          </w:p>
        </w:tc>
        <w:tc>
          <w:tcPr>
            <w:tcW w:w="732" w:type="pct"/>
            <w:shd w:val="clear" w:color="auto" w:fill="auto"/>
            <w:vAlign w:val="center"/>
          </w:tcPr>
          <w:p w14:paraId="27C6F670" w14:textId="77777777" w:rsidR="00931938" w:rsidRPr="00DB06CF" w:rsidRDefault="00931938" w:rsidP="00DF3D28">
            <w:pPr>
              <w:pStyle w:val="08-Tabelageral"/>
            </w:pPr>
            <w:r>
              <w:rPr>
                <w:lang w:eastAsia="en-US"/>
              </w:rPr>
              <w:t>15,208</w:t>
            </w:r>
          </w:p>
        </w:tc>
        <w:tc>
          <w:tcPr>
            <w:tcW w:w="732" w:type="pct"/>
            <w:shd w:val="clear" w:color="auto" w:fill="auto"/>
            <w:vAlign w:val="center"/>
          </w:tcPr>
          <w:p w14:paraId="16E8DE10" w14:textId="77777777" w:rsidR="00931938" w:rsidRPr="00DB06CF" w:rsidRDefault="00931938" w:rsidP="00DF3D28">
            <w:pPr>
              <w:pStyle w:val="08-Tabelageral"/>
            </w:pPr>
            <w:r>
              <w:rPr>
                <w:lang w:eastAsia="en-US"/>
              </w:rPr>
              <w:t>21,270</w:t>
            </w:r>
          </w:p>
        </w:tc>
        <w:tc>
          <w:tcPr>
            <w:tcW w:w="147" w:type="pct"/>
            <w:shd w:val="clear" w:color="auto" w:fill="auto"/>
            <w:vAlign w:val="center"/>
          </w:tcPr>
          <w:p w14:paraId="7E9BC834" w14:textId="77777777" w:rsidR="00931938" w:rsidRPr="00DB06CF" w:rsidRDefault="00931938" w:rsidP="00DF3D28">
            <w:pPr>
              <w:pStyle w:val="08-Tabelageral"/>
            </w:pPr>
          </w:p>
        </w:tc>
        <w:tc>
          <w:tcPr>
            <w:tcW w:w="735" w:type="pct"/>
            <w:tcBorders>
              <w:top w:val="nil"/>
              <w:left w:val="nil"/>
              <w:bottom w:val="nil"/>
              <w:right w:val="nil"/>
            </w:tcBorders>
            <w:vAlign w:val="center"/>
          </w:tcPr>
          <w:p w14:paraId="395C5C2A" w14:textId="77777777" w:rsidR="00931938" w:rsidRPr="00DB06CF" w:rsidRDefault="00931938" w:rsidP="00DF3D28">
            <w:pPr>
              <w:pStyle w:val="08-Tabelageral"/>
            </w:pPr>
            <w:r>
              <w:rPr>
                <w:lang w:eastAsia="en-US"/>
              </w:rPr>
              <w:t>503,038</w:t>
            </w:r>
          </w:p>
        </w:tc>
        <w:tc>
          <w:tcPr>
            <w:tcW w:w="736" w:type="pct"/>
            <w:tcBorders>
              <w:top w:val="nil"/>
              <w:left w:val="nil"/>
              <w:bottom w:val="nil"/>
              <w:right w:val="nil"/>
            </w:tcBorders>
            <w:vAlign w:val="center"/>
          </w:tcPr>
          <w:p w14:paraId="2748990B" w14:textId="77777777" w:rsidR="00931938" w:rsidRPr="00DB06CF" w:rsidRDefault="00931938" w:rsidP="00DF3D28">
            <w:pPr>
              <w:pStyle w:val="08-Tabelageral"/>
            </w:pPr>
            <w:r>
              <w:rPr>
                <w:lang w:eastAsia="en-US"/>
              </w:rPr>
              <w:t>139,142</w:t>
            </w:r>
          </w:p>
        </w:tc>
      </w:tr>
      <w:tr w:rsidR="00931938" w:rsidRPr="00DB06CF" w14:paraId="722A87A5" w14:textId="77777777" w:rsidTr="00AB4D1D">
        <w:trPr>
          <w:trHeight w:val="238"/>
          <w:jc w:val="center"/>
        </w:trPr>
        <w:tc>
          <w:tcPr>
            <w:tcW w:w="1605" w:type="pct"/>
            <w:shd w:val="clear" w:color="auto" w:fill="auto"/>
            <w:vAlign w:val="center"/>
          </w:tcPr>
          <w:p w14:paraId="28BCC6EA" w14:textId="77777777" w:rsidR="00931938" w:rsidRPr="007F3BA7" w:rsidRDefault="00931938" w:rsidP="00DF3D28">
            <w:pPr>
              <w:pStyle w:val="08-Tabelageral"/>
              <w:ind w:left="113"/>
              <w:jc w:val="left"/>
              <w:rPr>
                <w:lang w:val="en-US"/>
              </w:rPr>
            </w:pPr>
            <w:r w:rsidRPr="007F3BA7">
              <w:rPr>
                <w:lang w:val="en-US"/>
              </w:rPr>
              <w:t>Monetary adjustment of judicial deposits</w:t>
            </w:r>
          </w:p>
        </w:tc>
        <w:tc>
          <w:tcPr>
            <w:tcW w:w="313" w:type="pct"/>
            <w:shd w:val="clear" w:color="auto" w:fill="auto"/>
            <w:vAlign w:val="center"/>
          </w:tcPr>
          <w:p w14:paraId="6D27CE94" w14:textId="77777777" w:rsidR="00931938" w:rsidRPr="007F3BA7" w:rsidRDefault="00931938" w:rsidP="00DF3D28">
            <w:pPr>
              <w:pStyle w:val="08-Tabelageral"/>
              <w:ind w:left="113"/>
              <w:jc w:val="center"/>
              <w:rPr>
                <w:lang w:val="en-US"/>
              </w:rPr>
            </w:pPr>
          </w:p>
        </w:tc>
        <w:tc>
          <w:tcPr>
            <w:tcW w:w="732" w:type="pct"/>
            <w:shd w:val="clear" w:color="auto" w:fill="auto"/>
            <w:vAlign w:val="center"/>
          </w:tcPr>
          <w:p w14:paraId="2B2D0039" w14:textId="77777777" w:rsidR="00931938" w:rsidRPr="00DB06CF" w:rsidRDefault="00931938" w:rsidP="00DF3D28">
            <w:pPr>
              <w:pStyle w:val="08-Tabelageral"/>
            </w:pPr>
            <w:r>
              <w:rPr>
                <w:lang w:eastAsia="en-US"/>
              </w:rPr>
              <w:t>--</w:t>
            </w:r>
          </w:p>
        </w:tc>
        <w:tc>
          <w:tcPr>
            <w:tcW w:w="732" w:type="pct"/>
            <w:shd w:val="clear" w:color="auto" w:fill="auto"/>
            <w:vAlign w:val="center"/>
          </w:tcPr>
          <w:p w14:paraId="786E594E" w14:textId="77777777" w:rsidR="00931938" w:rsidRPr="00DB06CF" w:rsidRDefault="00931938" w:rsidP="00DF3D28">
            <w:pPr>
              <w:pStyle w:val="08-Tabelageral"/>
            </w:pPr>
            <w:r>
              <w:rPr>
                <w:lang w:eastAsia="en-US"/>
              </w:rPr>
              <w:t>--</w:t>
            </w:r>
          </w:p>
        </w:tc>
        <w:tc>
          <w:tcPr>
            <w:tcW w:w="147" w:type="pct"/>
            <w:shd w:val="clear" w:color="auto" w:fill="auto"/>
            <w:vAlign w:val="center"/>
          </w:tcPr>
          <w:p w14:paraId="3C64F3EE" w14:textId="77777777" w:rsidR="00931938" w:rsidRPr="00DB06CF" w:rsidRDefault="00931938" w:rsidP="00DF3D28">
            <w:pPr>
              <w:pStyle w:val="08-Tabelageral"/>
            </w:pPr>
          </w:p>
        </w:tc>
        <w:tc>
          <w:tcPr>
            <w:tcW w:w="735" w:type="pct"/>
            <w:tcBorders>
              <w:top w:val="nil"/>
              <w:left w:val="nil"/>
              <w:bottom w:val="nil"/>
              <w:right w:val="nil"/>
            </w:tcBorders>
            <w:vAlign w:val="center"/>
          </w:tcPr>
          <w:p w14:paraId="07EECF33" w14:textId="77777777" w:rsidR="00931938" w:rsidRPr="00DB06CF" w:rsidRDefault="00931938" w:rsidP="00DF3D28">
            <w:pPr>
              <w:pStyle w:val="08-Tabelageral"/>
            </w:pPr>
            <w:r>
              <w:rPr>
                <w:lang w:eastAsia="en-US"/>
              </w:rPr>
              <w:t>10,038</w:t>
            </w:r>
          </w:p>
        </w:tc>
        <w:tc>
          <w:tcPr>
            <w:tcW w:w="736" w:type="pct"/>
            <w:tcBorders>
              <w:top w:val="nil"/>
              <w:left w:val="nil"/>
              <w:bottom w:val="nil"/>
              <w:right w:val="nil"/>
            </w:tcBorders>
            <w:vAlign w:val="center"/>
          </w:tcPr>
          <w:p w14:paraId="6F8F93EB" w14:textId="77777777" w:rsidR="00931938" w:rsidRPr="00DB06CF" w:rsidRDefault="00931938" w:rsidP="00DF3D28">
            <w:pPr>
              <w:pStyle w:val="08-Tabelageral"/>
            </w:pPr>
            <w:r>
              <w:rPr>
                <w:lang w:eastAsia="en-US"/>
              </w:rPr>
              <w:t>8,830</w:t>
            </w:r>
          </w:p>
        </w:tc>
      </w:tr>
      <w:tr w:rsidR="00931938" w:rsidRPr="00DB06CF" w14:paraId="492B55C2" w14:textId="77777777" w:rsidTr="00AB4D1D">
        <w:trPr>
          <w:trHeight w:val="238"/>
          <w:jc w:val="center"/>
        </w:trPr>
        <w:tc>
          <w:tcPr>
            <w:tcW w:w="1605" w:type="pct"/>
            <w:shd w:val="clear" w:color="auto" w:fill="auto"/>
            <w:vAlign w:val="center"/>
          </w:tcPr>
          <w:p w14:paraId="64A2A6B9" w14:textId="77777777" w:rsidR="00931938" w:rsidRPr="00DB06CF" w:rsidRDefault="00931938" w:rsidP="00DF3D28">
            <w:pPr>
              <w:pStyle w:val="08-Tabelageral"/>
              <w:ind w:left="113"/>
              <w:jc w:val="left"/>
            </w:pPr>
            <w:r w:rsidRPr="00FA2ABC">
              <w:t>Monetary adjustment of taxes</w:t>
            </w:r>
          </w:p>
        </w:tc>
        <w:tc>
          <w:tcPr>
            <w:tcW w:w="313" w:type="pct"/>
            <w:shd w:val="clear" w:color="auto" w:fill="auto"/>
            <w:vAlign w:val="center"/>
          </w:tcPr>
          <w:p w14:paraId="4EE2E2B2" w14:textId="77777777" w:rsidR="00931938" w:rsidRPr="00DB06CF" w:rsidRDefault="00931938" w:rsidP="00DF3D28">
            <w:pPr>
              <w:pStyle w:val="08-Tabelageral"/>
              <w:ind w:left="113"/>
              <w:jc w:val="center"/>
              <w:rPr>
                <w:rFonts w:cs="Arial"/>
                <w:szCs w:val="14"/>
              </w:rPr>
            </w:pPr>
          </w:p>
        </w:tc>
        <w:tc>
          <w:tcPr>
            <w:tcW w:w="732" w:type="pct"/>
            <w:shd w:val="clear" w:color="auto" w:fill="auto"/>
            <w:vAlign w:val="center"/>
          </w:tcPr>
          <w:p w14:paraId="711F982F" w14:textId="77777777" w:rsidR="00931938" w:rsidRPr="00DB06CF" w:rsidRDefault="00931938" w:rsidP="00DF3D28">
            <w:pPr>
              <w:pStyle w:val="08-Tabelageral"/>
            </w:pPr>
            <w:r>
              <w:rPr>
                <w:lang w:eastAsia="en-US"/>
              </w:rPr>
              <w:t>7,147</w:t>
            </w:r>
          </w:p>
        </w:tc>
        <w:tc>
          <w:tcPr>
            <w:tcW w:w="732" w:type="pct"/>
            <w:shd w:val="clear" w:color="auto" w:fill="auto"/>
            <w:vAlign w:val="center"/>
          </w:tcPr>
          <w:p w14:paraId="641E34E3" w14:textId="77777777" w:rsidR="00931938" w:rsidRPr="00DB06CF" w:rsidRDefault="00931938" w:rsidP="00DF3D28">
            <w:pPr>
              <w:pStyle w:val="08-Tabelageral"/>
            </w:pPr>
            <w:r>
              <w:rPr>
                <w:lang w:eastAsia="en-US"/>
              </w:rPr>
              <w:t>2,787</w:t>
            </w:r>
          </w:p>
        </w:tc>
        <w:tc>
          <w:tcPr>
            <w:tcW w:w="147" w:type="pct"/>
            <w:shd w:val="clear" w:color="auto" w:fill="auto"/>
            <w:vAlign w:val="center"/>
          </w:tcPr>
          <w:p w14:paraId="75DFE55E" w14:textId="77777777" w:rsidR="00931938" w:rsidRPr="00DB06CF" w:rsidRDefault="00931938" w:rsidP="00DF3D28">
            <w:pPr>
              <w:pStyle w:val="08-Tabelageral"/>
            </w:pPr>
          </w:p>
        </w:tc>
        <w:tc>
          <w:tcPr>
            <w:tcW w:w="735" w:type="pct"/>
            <w:tcBorders>
              <w:top w:val="nil"/>
              <w:left w:val="nil"/>
              <w:bottom w:val="nil"/>
              <w:right w:val="nil"/>
            </w:tcBorders>
            <w:vAlign w:val="center"/>
          </w:tcPr>
          <w:p w14:paraId="296F3F7C" w14:textId="77777777" w:rsidR="00931938" w:rsidRPr="00DB06CF" w:rsidRDefault="00931938" w:rsidP="00DF3D28">
            <w:pPr>
              <w:pStyle w:val="08-Tabelageral"/>
            </w:pPr>
            <w:r>
              <w:rPr>
                <w:lang w:eastAsia="en-US"/>
              </w:rPr>
              <w:t>18,983</w:t>
            </w:r>
          </w:p>
        </w:tc>
        <w:tc>
          <w:tcPr>
            <w:tcW w:w="736" w:type="pct"/>
            <w:tcBorders>
              <w:top w:val="nil"/>
              <w:left w:val="nil"/>
              <w:bottom w:val="nil"/>
              <w:right w:val="nil"/>
            </w:tcBorders>
            <w:vAlign w:val="center"/>
          </w:tcPr>
          <w:p w14:paraId="2BE34719" w14:textId="77777777" w:rsidR="00931938" w:rsidRPr="00DB06CF" w:rsidRDefault="00931938" w:rsidP="00DF3D28">
            <w:pPr>
              <w:pStyle w:val="08-Tabelageral"/>
            </w:pPr>
            <w:r>
              <w:rPr>
                <w:lang w:eastAsia="en-US"/>
              </w:rPr>
              <w:t>3,766</w:t>
            </w:r>
          </w:p>
        </w:tc>
      </w:tr>
      <w:tr w:rsidR="00931938" w:rsidRPr="00DB06CF" w14:paraId="64D1E045" w14:textId="77777777" w:rsidTr="00AB4D1D">
        <w:trPr>
          <w:trHeight w:val="238"/>
          <w:jc w:val="center"/>
        </w:trPr>
        <w:tc>
          <w:tcPr>
            <w:tcW w:w="1605" w:type="pct"/>
            <w:shd w:val="clear" w:color="auto" w:fill="auto"/>
            <w:vAlign w:val="center"/>
          </w:tcPr>
          <w:p w14:paraId="1E85DEDA" w14:textId="77777777" w:rsidR="00931938" w:rsidRPr="007F3BA7" w:rsidRDefault="00931938" w:rsidP="00DF3D28">
            <w:pPr>
              <w:pStyle w:val="08-Tabelageral"/>
              <w:ind w:left="113"/>
              <w:jc w:val="left"/>
              <w:rPr>
                <w:lang w:val="en-US"/>
              </w:rPr>
            </w:pPr>
            <w:r w:rsidRPr="007F3BA7">
              <w:rPr>
                <w:lang w:val="en-US"/>
              </w:rPr>
              <w:t>Monetary adjustment of dividends and interest on equity capital</w:t>
            </w:r>
          </w:p>
        </w:tc>
        <w:tc>
          <w:tcPr>
            <w:tcW w:w="313" w:type="pct"/>
            <w:shd w:val="clear" w:color="auto" w:fill="auto"/>
            <w:vAlign w:val="center"/>
          </w:tcPr>
          <w:p w14:paraId="10C30FD7" w14:textId="77777777" w:rsidR="00931938" w:rsidRPr="007F3BA7" w:rsidRDefault="00931938" w:rsidP="00DF3D28">
            <w:pPr>
              <w:pStyle w:val="08-Tabelageral"/>
              <w:ind w:left="113"/>
              <w:jc w:val="center"/>
              <w:rPr>
                <w:rFonts w:cs="Arial"/>
                <w:szCs w:val="14"/>
                <w:lang w:val="en-US"/>
              </w:rPr>
            </w:pPr>
          </w:p>
        </w:tc>
        <w:tc>
          <w:tcPr>
            <w:tcW w:w="732" w:type="pct"/>
            <w:shd w:val="clear" w:color="auto" w:fill="auto"/>
            <w:vAlign w:val="center"/>
          </w:tcPr>
          <w:p w14:paraId="264358E3" w14:textId="77777777" w:rsidR="00931938" w:rsidRPr="00FC0F2D" w:rsidRDefault="00931938" w:rsidP="00DF3D28">
            <w:pPr>
              <w:pStyle w:val="08-Tabelageral"/>
            </w:pPr>
            <w:r>
              <w:rPr>
                <w:lang w:eastAsia="en-US"/>
              </w:rPr>
              <w:t>22,106</w:t>
            </w:r>
          </w:p>
        </w:tc>
        <w:tc>
          <w:tcPr>
            <w:tcW w:w="732" w:type="pct"/>
            <w:shd w:val="clear" w:color="auto" w:fill="auto"/>
            <w:vAlign w:val="center"/>
          </w:tcPr>
          <w:p w14:paraId="00B5D5A2" w14:textId="77777777" w:rsidR="00931938" w:rsidRPr="00087BA7" w:rsidRDefault="00931938" w:rsidP="00DF3D28">
            <w:pPr>
              <w:pStyle w:val="08-Tabelageral"/>
            </w:pPr>
            <w:r>
              <w:rPr>
                <w:lang w:eastAsia="en-US"/>
              </w:rPr>
              <w:t>2,934</w:t>
            </w:r>
          </w:p>
        </w:tc>
        <w:tc>
          <w:tcPr>
            <w:tcW w:w="147" w:type="pct"/>
            <w:shd w:val="clear" w:color="auto" w:fill="auto"/>
            <w:vAlign w:val="center"/>
          </w:tcPr>
          <w:p w14:paraId="5AD1612C" w14:textId="77777777" w:rsidR="00931938" w:rsidRPr="00DB06CF" w:rsidRDefault="00931938" w:rsidP="00DF3D28">
            <w:pPr>
              <w:pStyle w:val="08-Tabelageral"/>
            </w:pPr>
          </w:p>
        </w:tc>
        <w:tc>
          <w:tcPr>
            <w:tcW w:w="735" w:type="pct"/>
            <w:tcBorders>
              <w:top w:val="nil"/>
              <w:left w:val="nil"/>
              <w:bottom w:val="nil"/>
              <w:right w:val="nil"/>
            </w:tcBorders>
            <w:vAlign w:val="center"/>
          </w:tcPr>
          <w:p w14:paraId="2D89AD1A" w14:textId="77777777" w:rsidR="00931938" w:rsidRPr="00C30479" w:rsidRDefault="00931938" w:rsidP="00DF3D28">
            <w:pPr>
              <w:pStyle w:val="08-Tabelageral"/>
            </w:pPr>
            <w:r>
              <w:rPr>
                <w:lang w:eastAsia="en-US"/>
              </w:rPr>
              <w:t>--</w:t>
            </w:r>
          </w:p>
        </w:tc>
        <w:tc>
          <w:tcPr>
            <w:tcW w:w="736" w:type="pct"/>
            <w:tcBorders>
              <w:top w:val="nil"/>
              <w:left w:val="nil"/>
              <w:bottom w:val="nil"/>
              <w:right w:val="nil"/>
            </w:tcBorders>
            <w:vAlign w:val="center"/>
          </w:tcPr>
          <w:p w14:paraId="15C294C4" w14:textId="77777777" w:rsidR="00931938" w:rsidRPr="00C30479" w:rsidRDefault="00931938" w:rsidP="00DF3D28">
            <w:pPr>
              <w:pStyle w:val="08-Tabelageral"/>
            </w:pPr>
            <w:r>
              <w:rPr>
                <w:lang w:eastAsia="en-US"/>
              </w:rPr>
              <w:t>--</w:t>
            </w:r>
          </w:p>
        </w:tc>
      </w:tr>
      <w:tr w:rsidR="00931938" w:rsidRPr="00DB06CF" w14:paraId="4962CE2E" w14:textId="77777777" w:rsidTr="00AB4D1D">
        <w:trPr>
          <w:trHeight w:val="238"/>
          <w:jc w:val="center"/>
        </w:trPr>
        <w:tc>
          <w:tcPr>
            <w:tcW w:w="1605" w:type="pct"/>
            <w:shd w:val="clear" w:color="auto" w:fill="auto"/>
            <w:vAlign w:val="center"/>
          </w:tcPr>
          <w:p w14:paraId="62959254" w14:textId="77777777" w:rsidR="00931938" w:rsidRPr="00FA2ABC" w:rsidRDefault="00931938" w:rsidP="00DF3D28">
            <w:pPr>
              <w:pStyle w:val="08-Tabelageral"/>
              <w:ind w:left="113"/>
              <w:jc w:val="left"/>
            </w:pPr>
            <w:r>
              <w:t>Other</w:t>
            </w:r>
          </w:p>
        </w:tc>
        <w:tc>
          <w:tcPr>
            <w:tcW w:w="313" w:type="pct"/>
            <w:shd w:val="clear" w:color="auto" w:fill="auto"/>
            <w:vAlign w:val="center"/>
          </w:tcPr>
          <w:p w14:paraId="1F1B8380" w14:textId="77777777" w:rsidR="00931938" w:rsidRPr="00DB06CF" w:rsidRDefault="00931938" w:rsidP="00DF3D28">
            <w:pPr>
              <w:pStyle w:val="08-Tabelageral"/>
              <w:ind w:left="113"/>
              <w:jc w:val="center"/>
              <w:rPr>
                <w:rFonts w:cs="Arial"/>
                <w:szCs w:val="14"/>
              </w:rPr>
            </w:pPr>
          </w:p>
        </w:tc>
        <w:tc>
          <w:tcPr>
            <w:tcW w:w="732" w:type="pct"/>
            <w:shd w:val="clear" w:color="auto" w:fill="auto"/>
            <w:vAlign w:val="center"/>
          </w:tcPr>
          <w:p w14:paraId="7D9076F3" w14:textId="77777777" w:rsidR="00931938" w:rsidRDefault="00931938" w:rsidP="00DF3D28">
            <w:pPr>
              <w:pStyle w:val="08-Tabelageral"/>
            </w:pPr>
            <w:r>
              <w:rPr>
                <w:lang w:eastAsia="en-US"/>
              </w:rPr>
              <w:t>4</w:t>
            </w:r>
          </w:p>
        </w:tc>
        <w:tc>
          <w:tcPr>
            <w:tcW w:w="732" w:type="pct"/>
            <w:shd w:val="clear" w:color="auto" w:fill="auto"/>
            <w:vAlign w:val="center"/>
          </w:tcPr>
          <w:p w14:paraId="2A3043FC" w14:textId="77777777" w:rsidR="00931938" w:rsidRPr="00914F92" w:rsidRDefault="00931938" w:rsidP="00DF3D28">
            <w:pPr>
              <w:pStyle w:val="08-Tabelageral"/>
            </w:pPr>
            <w:r>
              <w:rPr>
                <w:lang w:eastAsia="en-US"/>
              </w:rPr>
              <w:t>1</w:t>
            </w:r>
          </w:p>
        </w:tc>
        <w:tc>
          <w:tcPr>
            <w:tcW w:w="147" w:type="pct"/>
            <w:shd w:val="clear" w:color="auto" w:fill="auto"/>
            <w:vAlign w:val="center"/>
          </w:tcPr>
          <w:p w14:paraId="18ACF031" w14:textId="77777777" w:rsidR="00931938" w:rsidRPr="00DB06CF" w:rsidRDefault="00931938" w:rsidP="00DF3D28">
            <w:pPr>
              <w:pStyle w:val="08-Tabelageral"/>
            </w:pPr>
          </w:p>
        </w:tc>
        <w:tc>
          <w:tcPr>
            <w:tcW w:w="735" w:type="pct"/>
            <w:tcBorders>
              <w:top w:val="nil"/>
              <w:left w:val="nil"/>
              <w:bottom w:val="nil"/>
              <w:right w:val="nil"/>
            </w:tcBorders>
            <w:vAlign w:val="center"/>
          </w:tcPr>
          <w:p w14:paraId="3D8752E1" w14:textId="77777777" w:rsidR="00931938" w:rsidRDefault="00931938" w:rsidP="00DF3D28">
            <w:pPr>
              <w:pStyle w:val="08-Tabelageral"/>
            </w:pPr>
            <w:r>
              <w:rPr>
                <w:lang w:eastAsia="en-US"/>
              </w:rPr>
              <w:t>4</w:t>
            </w:r>
          </w:p>
        </w:tc>
        <w:tc>
          <w:tcPr>
            <w:tcW w:w="736" w:type="pct"/>
            <w:tcBorders>
              <w:top w:val="nil"/>
              <w:left w:val="nil"/>
              <w:bottom w:val="nil"/>
              <w:right w:val="nil"/>
            </w:tcBorders>
            <w:vAlign w:val="center"/>
          </w:tcPr>
          <w:p w14:paraId="0B835BBB" w14:textId="77777777" w:rsidR="00931938" w:rsidRDefault="00931938" w:rsidP="00DF3D28">
            <w:pPr>
              <w:pStyle w:val="08-Tabelageral"/>
            </w:pPr>
            <w:r>
              <w:rPr>
                <w:lang w:eastAsia="en-US"/>
              </w:rPr>
              <w:t>1</w:t>
            </w:r>
          </w:p>
        </w:tc>
      </w:tr>
      <w:tr w:rsidR="00931938" w:rsidRPr="00DB06CF" w14:paraId="36820AC8" w14:textId="77777777" w:rsidTr="00AB4D1D">
        <w:trPr>
          <w:trHeight w:val="238"/>
          <w:jc w:val="center"/>
        </w:trPr>
        <w:tc>
          <w:tcPr>
            <w:tcW w:w="1605" w:type="pct"/>
            <w:shd w:val="clear" w:color="auto" w:fill="auto"/>
            <w:vAlign w:val="center"/>
          </w:tcPr>
          <w:p w14:paraId="6E8C8BDB" w14:textId="77777777" w:rsidR="00931938" w:rsidRPr="00DB06CF" w:rsidRDefault="00931938" w:rsidP="00DF3D28">
            <w:pPr>
              <w:pStyle w:val="08-Tabelageral"/>
              <w:jc w:val="left"/>
              <w:rPr>
                <w:b/>
              </w:rPr>
            </w:pPr>
            <w:r w:rsidRPr="00FF3418">
              <w:rPr>
                <w:b/>
              </w:rPr>
              <w:t>Financial Expenses</w:t>
            </w:r>
          </w:p>
        </w:tc>
        <w:tc>
          <w:tcPr>
            <w:tcW w:w="313" w:type="pct"/>
            <w:shd w:val="clear" w:color="auto" w:fill="auto"/>
            <w:vAlign w:val="center"/>
          </w:tcPr>
          <w:p w14:paraId="20DE45E6" w14:textId="77777777" w:rsidR="00931938" w:rsidRPr="00DB06CF" w:rsidRDefault="00931938" w:rsidP="00DF3D28">
            <w:pPr>
              <w:pStyle w:val="08-Tabelageral"/>
              <w:jc w:val="center"/>
              <w:rPr>
                <w:rFonts w:cs="Arial"/>
                <w:b/>
                <w:szCs w:val="14"/>
              </w:rPr>
            </w:pPr>
          </w:p>
        </w:tc>
        <w:tc>
          <w:tcPr>
            <w:tcW w:w="732" w:type="pct"/>
            <w:shd w:val="clear" w:color="auto" w:fill="auto"/>
            <w:vAlign w:val="center"/>
          </w:tcPr>
          <w:p w14:paraId="0A2C4D6B" w14:textId="77777777" w:rsidR="00931938" w:rsidRPr="00961673" w:rsidRDefault="00931938" w:rsidP="00DF3D28">
            <w:pPr>
              <w:pStyle w:val="08-Tabelageral"/>
              <w:rPr>
                <w:b/>
              </w:rPr>
            </w:pPr>
            <w:r>
              <w:rPr>
                <w:b/>
                <w:lang w:eastAsia="en-US"/>
              </w:rPr>
              <w:t>(28,095)</w:t>
            </w:r>
          </w:p>
        </w:tc>
        <w:tc>
          <w:tcPr>
            <w:tcW w:w="732" w:type="pct"/>
            <w:shd w:val="clear" w:color="auto" w:fill="auto"/>
            <w:vAlign w:val="center"/>
          </w:tcPr>
          <w:p w14:paraId="60A2B293" w14:textId="77777777" w:rsidR="00931938" w:rsidRPr="00961673" w:rsidRDefault="00931938" w:rsidP="00DF3D28">
            <w:pPr>
              <w:pStyle w:val="08-Tabelageral"/>
              <w:rPr>
                <w:b/>
              </w:rPr>
            </w:pPr>
            <w:r>
              <w:rPr>
                <w:b/>
                <w:lang w:eastAsia="en-US"/>
              </w:rPr>
              <w:t>(4,091)</w:t>
            </w:r>
          </w:p>
        </w:tc>
        <w:tc>
          <w:tcPr>
            <w:tcW w:w="147" w:type="pct"/>
            <w:shd w:val="clear" w:color="auto" w:fill="auto"/>
            <w:vAlign w:val="center"/>
          </w:tcPr>
          <w:p w14:paraId="5CA98DCA" w14:textId="77777777" w:rsidR="00931938" w:rsidRPr="00961673" w:rsidRDefault="00931938" w:rsidP="00DF3D28">
            <w:pPr>
              <w:pStyle w:val="08-Tabelageral"/>
              <w:rPr>
                <w:b/>
              </w:rPr>
            </w:pPr>
          </w:p>
        </w:tc>
        <w:tc>
          <w:tcPr>
            <w:tcW w:w="735" w:type="pct"/>
            <w:tcBorders>
              <w:top w:val="nil"/>
              <w:left w:val="nil"/>
              <w:bottom w:val="nil"/>
              <w:right w:val="nil"/>
            </w:tcBorders>
            <w:vAlign w:val="center"/>
          </w:tcPr>
          <w:p w14:paraId="6FB156CC" w14:textId="77777777" w:rsidR="00931938" w:rsidRPr="00D41026" w:rsidRDefault="00931938" w:rsidP="00DF3D28">
            <w:pPr>
              <w:pStyle w:val="08-Tabelageral"/>
              <w:rPr>
                <w:b/>
              </w:rPr>
            </w:pPr>
            <w:r>
              <w:rPr>
                <w:b/>
                <w:lang w:eastAsia="en-US"/>
              </w:rPr>
              <w:t>(29,501)</w:t>
            </w:r>
          </w:p>
        </w:tc>
        <w:tc>
          <w:tcPr>
            <w:tcW w:w="736" w:type="pct"/>
            <w:tcBorders>
              <w:top w:val="nil"/>
              <w:left w:val="nil"/>
              <w:bottom w:val="nil"/>
              <w:right w:val="nil"/>
            </w:tcBorders>
            <w:vAlign w:val="center"/>
          </w:tcPr>
          <w:p w14:paraId="015BB6D7" w14:textId="77777777" w:rsidR="00931938" w:rsidRPr="00961673" w:rsidRDefault="00931938" w:rsidP="00DF3D28">
            <w:pPr>
              <w:pStyle w:val="08-Tabelageral"/>
              <w:rPr>
                <w:b/>
              </w:rPr>
            </w:pPr>
            <w:r>
              <w:rPr>
                <w:b/>
                <w:lang w:eastAsia="en-US"/>
              </w:rPr>
              <w:t>(4,515)</w:t>
            </w:r>
          </w:p>
        </w:tc>
      </w:tr>
      <w:tr w:rsidR="00931938" w:rsidRPr="00DB06CF" w14:paraId="62EAB787" w14:textId="77777777" w:rsidTr="00AB4D1D">
        <w:trPr>
          <w:trHeight w:val="238"/>
          <w:jc w:val="center"/>
        </w:trPr>
        <w:tc>
          <w:tcPr>
            <w:tcW w:w="1605" w:type="pct"/>
            <w:shd w:val="clear" w:color="auto" w:fill="auto"/>
            <w:vAlign w:val="center"/>
          </w:tcPr>
          <w:p w14:paraId="35E468BC" w14:textId="77777777" w:rsidR="00931938" w:rsidRPr="007F3BA7" w:rsidRDefault="00931938" w:rsidP="00DF3D28">
            <w:pPr>
              <w:pStyle w:val="08-Tabelageral"/>
              <w:ind w:left="113"/>
              <w:jc w:val="left"/>
              <w:rPr>
                <w:lang w:val="en-US"/>
              </w:rPr>
            </w:pPr>
            <w:r w:rsidRPr="007F3BA7">
              <w:rPr>
                <w:lang w:val="en-US"/>
              </w:rPr>
              <w:t>Monetary adjustment of dividends and interest on equity capital</w:t>
            </w:r>
          </w:p>
        </w:tc>
        <w:tc>
          <w:tcPr>
            <w:tcW w:w="313" w:type="pct"/>
            <w:shd w:val="clear" w:color="auto" w:fill="auto"/>
            <w:vAlign w:val="center"/>
          </w:tcPr>
          <w:p w14:paraId="1692BD94" w14:textId="77777777" w:rsidR="00931938" w:rsidRPr="007F3BA7" w:rsidRDefault="00931938" w:rsidP="00DF3D28">
            <w:pPr>
              <w:pStyle w:val="08-Tabelageral"/>
              <w:ind w:left="113"/>
              <w:jc w:val="center"/>
              <w:rPr>
                <w:rFonts w:cs="Arial"/>
                <w:szCs w:val="14"/>
                <w:lang w:val="en-US"/>
              </w:rPr>
            </w:pPr>
          </w:p>
        </w:tc>
        <w:tc>
          <w:tcPr>
            <w:tcW w:w="732" w:type="pct"/>
            <w:shd w:val="clear" w:color="auto" w:fill="auto"/>
            <w:vAlign w:val="center"/>
          </w:tcPr>
          <w:p w14:paraId="167FA2F8" w14:textId="77777777" w:rsidR="00931938" w:rsidRPr="00DB06CF" w:rsidRDefault="00931938" w:rsidP="00DF3D28">
            <w:pPr>
              <w:pStyle w:val="08-Tabelageral"/>
            </w:pPr>
            <w:r>
              <w:rPr>
                <w:lang w:eastAsia="en-US"/>
              </w:rPr>
              <w:t>(25,745)</w:t>
            </w:r>
          </w:p>
        </w:tc>
        <w:tc>
          <w:tcPr>
            <w:tcW w:w="732" w:type="pct"/>
            <w:shd w:val="clear" w:color="auto" w:fill="auto"/>
            <w:vAlign w:val="center"/>
          </w:tcPr>
          <w:p w14:paraId="399BD385" w14:textId="77777777" w:rsidR="00931938" w:rsidRPr="00DB06CF" w:rsidRDefault="00931938" w:rsidP="00DF3D28">
            <w:pPr>
              <w:pStyle w:val="08-Tabelageral"/>
            </w:pPr>
            <w:r>
              <w:rPr>
                <w:lang w:eastAsia="en-US"/>
              </w:rPr>
              <w:t>(2,623)</w:t>
            </w:r>
          </w:p>
        </w:tc>
        <w:tc>
          <w:tcPr>
            <w:tcW w:w="147" w:type="pct"/>
            <w:shd w:val="clear" w:color="auto" w:fill="auto"/>
            <w:vAlign w:val="center"/>
          </w:tcPr>
          <w:p w14:paraId="2A0E5D79" w14:textId="77777777" w:rsidR="00931938" w:rsidRPr="00DB06CF" w:rsidRDefault="00931938" w:rsidP="00DF3D28">
            <w:pPr>
              <w:pStyle w:val="08-Tabelageral"/>
            </w:pPr>
          </w:p>
        </w:tc>
        <w:tc>
          <w:tcPr>
            <w:tcW w:w="735" w:type="pct"/>
            <w:tcBorders>
              <w:top w:val="nil"/>
              <w:left w:val="nil"/>
              <w:bottom w:val="nil"/>
              <w:right w:val="nil"/>
            </w:tcBorders>
            <w:vAlign w:val="center"/>
          </w:tcPr>
          <w:p w14:paraId="0424C1BA" w14:textId="77777777" w:rsidR="00931938" w:rsidRPr="00DB06CF" w:rsidRDefault="00931938" w:rsidP="00DF3D28">
            <w:pPr>
              <w:pStyle w:val="08-Tabelageral"/>
            </w:pPr>
            <w:r>
              <w:rPr>
                <w:lang w:eastAsia="en-US"/>
              </w:rPr>
              <w:t>(25,745)</w:t>
            </w:r>
          </w:p>
        </w:tc>
        <w:tc>
          <w:tcPr>
            <w:tcW w:w="736" w:type="pct"/>
            <w:tcBorders>
              <w:top w:val="nil"/>
              <w:left w:val="nil"/>
              <w:bottom w:val="nil"/>
              <w:right w:val="nil"/>
            </w:tcBorders>
            <w:vAlign w:val="center"/>
          </w:tcPr>
          <w:p w14:paraId="1128BD16" w14:textId="77777777" w:rsidR="00931938" w:rsidRPr="00DB06CF" w:rsidRDefault="00931938" w:rsidP="00DF3D28">
            <w:pPr>
              <w:pStyle w:val="08-Tabelageral"/>
            </w:pPr>
            <w:r>
              <w:rPr>
                <w:lang w:eastAsia="en-US"/>
              </w:rPr>
              <w:t>(2,623)</w:t>
            </w:r>
          </w:p>
        </w:tc>
      </w:tr>
      <w:tr w:rsidR="00931938" w:rsidRPr="00DB06CF" w14:paraId="5C6C6541" w14:textId="77777777" w:rsidTr="00AB4D1D">
        <w:trPr>
          <w:trHeight w:val="238"/>
          <w:jc w:val="center"/>
        </w:trPr>
        <w:tc>
          <w:tcPr>
            <w:tcW w:w="1605" w:type="pct"/>
            <w:shd w:val="clear" w:color="auto" w:fill="auto"/>
            <w:vAlign w:val="center"/>
          </w:tcPr>
          <w:p w14:paraId="618F9B45" w14:textId="77777777" w:rsidR="00931938" w:rsidRPr="007F3BA7" w:rsidRDefault="00931938" w:rsidP="00DF3D28">
            <w:pPr>
              <w:pStyle w:val="08-Tabelageral"/>
              <w:ind w:left="113"/>
              <w:jc w:val="left"/>
              <w:rPr>
                <w:lang w:val="en-US"/>
              </w:rPr>
            </w:pPr>
            <w:r w:rsidRPr="007F3BA7">
              <w:rPr>
                <w:lang w:val="en-US"/>
              </w:rPr>
              <w:t xml:space="preserve">Reversal of monetary adjustment of judicial deposits </w:t>
            </w:r>
            <w:r w:rsidRPr="007F3BA7">
              <w:rPr>
                <w:vertAlign w:val="superscript"/>
                <w:lang w:val="en-US"/>
              </w:rPr>
              <w:t>(1)</w:t>
            </w:r>
          </w:p>
        </w:tc>
        <w:tc>
          <w:tcPr>
            <w:tcW w:w="313" w:type="pct"/>
            <w:shd w:val="clear" w:color="auto" w:fill="auto"/>
            <w:vAlign w:val="center"/>
          </w:tcPr>
          <w:p w14:paraId="5D448F1D" w14:textId="77777777" w:rsidR="00931938" w:rsidRPr="007F3BA7" w:rsidRDefault="00931938" w:rsidP="00DF3D28">
            <w:pPr>
              <w:pStyle w:val="08-Tabelageral"/>
              <w:ind w:left="113"/>
              <w:jc w:val="center"/>
              <w:rPr>
                <w:rFonts w:cs="Arial"/>
                <w:szCs w:val="14"/>
                <w:lang w:val="en-US"/>
              </w:rPr>
            </w:pPr>
          </w:p>
        </w:tc>
        <w:tc>
          <w:tcPr>
            <w:tcW w:w="732" w:type="pct"/>
            <w:shd w:val="clear" w:color="auto" w:fill="auto"/>
            <w:vAlign w:val="center"/>
          </w:tcPr>
          <w:p w14:paraId="2A333EB4" w14:textId="77777777" w:rsidR="00931938" w:rsidRPr="00DB06CF" w:rsidRDefault="00931938" w:rsidP="00DF3D28">
            <w:pPr>
              <w:pStyle w:val="08-Tabelageral"/>
            </w:pPr>
            <w:r>
              <w:rPr>
                <w:lang w:eastAsia="en-US"/>
              </w:rPr>
              <w:t>--</w:t>
            </w:r>
          </w:p>
        </w:tc>
        <w:tc>
          <w:tcPr>
            <w:tcW w:w="732" w:type="pct"/>
            <w:shd w:val="clear" w:color="auto" w:fill="auto"/>
            <w:vAlign w:val="center"/>
          </w:tcPr>
          <w:p w14:paraId="0AF939D7" w14:textId="77777777" w:rsidR="00931938" w:rsidRPr="00DB06CF" w:rsidRDefault="00931938" w:rsidP="00DF3D28">
            <w:pPr>
              <w:pStyle w:val="08-Tabelageral"/>
            </w:pPr>
            <w:r>
              <w:rPr>
                <w:lang w:eastAsia="en-US"/>
              </w:rPr>
              <w:t>--</w:t>
            </w:r>
          </w:p>
        </w:tc>
        <w:tc>
          <w:tcPr>
            <w:tcW w:w="147" w:type="pct"/>
            <w:shd w:val="clear" w:color="auto" w:fill="auto"/>
            <w:vAlign w:val="center"/>
          </w:tcPr>
          <w:p w14:paraId="162C944C" w14:textId="77777777" w:rsidR="00931938" w:rsidRPr="00DB06CF" w:rsidRDefault="00931938" w:rsidP="00DF3D28">
            <w:pPr>
              <w:pStyle w:val="08-Tabelageral"/>
            </w:pPr>
          </w:p>
        </w:tc>
        <w:tc>
          <w:tcPr>
            <w:tcW w:w="735" w:type="pct"/>
            <w:tcBorders>
              <w:top w:val="nil"/>
              <w:left w:val="nil"/>
              <w:bottom w:val="nil"/>
              <w:right w:val="nil"/>
            </w:tcBorders>
            <w:vAlign w:val="center"/>
          </w:tcPr>
          <w:p w14:paraId="4741DB03" w14:textId="77777777" w:rsidR="00931938" w:rsidRPr="00DB06CF" w:rsidRDefault="00931938" w:rsidP="00DF3D28">
            <w:pPr>
              <w:pStyle w:val="08-Tabelageral"/>
            </w:pPr>
            <w:r>
              <w:rPr>
                <w:lang w:eastAsia="en-US"/>
              </w:rPr>
              <w:t>(1,167)</w:t>
            </w:r>
          </w:p>
        </w:tc>
        <w:tc>
          <w:tcPr>
            <w:tcW w:w="736" w:type="pct"/>
            <w:tcBorders>
              <w:top w:val="nil"/>
              <w:left w:val="nil"/>
              <w:bottom w:val="nil"/>
              <w:right w:val="nil"/>
            </w:tcBorders>
            <w:vAlign w:val="center"/>
          </w:tcPr>
          <w:p w14:paraId="447BCCCB" w14:textId="77777777" w:rsidR="00931938" w:rsidRPr="00DB06CF" w:rsidRDefault="00931938" w:rsidP="00DF3D28">
            <w:pPr>
              <w:pStyle w:val="08-Tabelageral"/>
            </w:pPr>
            <w:r>
              <w:rPr>
                <w:lang w:eastAsia="en-US"/>
              </w:rPr>
              <w:t>--</w:t>
            </w:r>
          </w:p>
        </w:tc>
      </w:tr>
      <w:tr w:rsidR="00931938" w:rsidRPr="00DB06CF" w14:paraId="44EB2827" w14:textId="77777777" w:rsidTr="00AB4D1D">
        <w:trPr>
          <w:trHeight w:val="238"/>
          <w:jc w:val="center"/>
        </w:trPr>
        <w:tc>
          <w:tcPr>
            <w:tcW w:w="1605" w:type="pct"/>
            <w:shd w:val="clear" w:color="auto" w:fill="auto"/>
            <w:vAlign w:val="center"/>
          </w:tcPr>
          <w:p w14:paraId="457562D4" w14:textId="77777777" w:rsidR="00931938" w:rsidRPr="007801BA" w:rsidRDefault="00931938" w:rsidP="00DF3D28">
            <w:pPr>
              <w:pStyle w:val="08-Tabelageral"/>
              <w:ind w:left="113"/>
              <w:jc w:val="left"/>
            </w:pPr>
            <w:r w:rsidRPr="00006F1F">
              <w:t>Financial system services</w:t>
            </w:r>
          </w:p>
        </w:tc>
        <w:tc>
          <w:tcPr>
            <w:tcW w:w="313" w:type="pct"/>
            <w:shd w:val="clear" w:color="auto" w:fill="auto"/>
            <w:vAlign w:val="center"/>
          </w:tcPr>
          <w:p w14:paraId="435D2E4A" w14:textId="77777777" w:rsidR="00931938" w:rsidRPr="00DB06CF" w:rsidRDefault="00931938" w:rsidP="00DF3D28">
            <w:pPr>
              <w:pStyle w:val="08-Tabelageral"/>
              <w:ind w:left="113"/>
              <w:jc w:val="center"/>
              <w:rPr>
                <w:rFonts w:cs="Arial"/>
                <w:szCs w:val="14"/>
              </w:rPr>
            </w:pPr>
          </w:p>
        </w:tc>
        <w:tc>
          <w:tcPr>
            <w:tcW w:w="732" w:type="pct"/>
            <w:shd w:val="clear" w:color="auto" w:fill="auto"/>
            <w:vAlign w:val="center"/>
          </w:tcPr>
          <w:p w14:paraId="68C5AD77" w14:textId="77777777" w:rsidR="00931938" w:rsidRDefault="00931938" w:rsidP="00DF3D28">
            <w:pPr>
              <w:pStyle w:val="08-Tabelageral"/>
            </w:pPr>
            <w:r>
              <w:rPr>
                <w:lang w:eastAsia="en-US"/>
              </w:rPr>
              <w:t>(933)</w:t>
            </w:r>
          </w:p>
        </w:tc>
        <w:tc>
          <w:tcPr>
            <w:tcW w:w="732" w:type="pct"/>
            <w:shd w:val="clear" w:color="auto" w:fill="auto"/>
            <w:vAlign w:val="center"/>
          </w:tcPr>
          <w:p w14:paraId="029C8D3E" w14:textId="77777777" w:rsidR="00931938" w:rsidRPr="00914F92" w:rsidRDefault="00931938" w:rsidP="00DF3D28">
            <w:pPr>
              <w:pStyle w:val="08-Tabelageral"/>
            </w:pPr>
            <w:r>
              <w:rPr>
                <w:lang w:eastAsia="en-US"/>
              </w:rPr>
              <w:t>(617)</w:t>
            </w:r>
          </w:p>
        </w:tc>
        <w:tc>
          <w:tcPr>
            <w:tcW w:w="147" w:type="pct"/>
            <w:shd w:val="clear" w:color="auto" w:fill="auto"/>
            <w:vAlign w:val="center"/>
          </w:tcPr>
          <w:p w14:paraId="4AE34349" w14:textId="77777777" w:rsidR="00931938" w:rsidRPr="00DB06CF" w:rsidRDefault="00931938" w:rsidP="00DF3D28">
            <w:pPr>
              <w:pStyle w:val="08-Tabelageral"/>
            </w:pPr>
          </w:p>
        </w:tc>
        <w:tc>
          <w:tcPr>
            <w:tcW w:w="735" w:type="pct"/>
            <w:tcBorders>
              <w:top w:val="nil"/>
              <w:left w:val="nil"/>
              <w:bottom w:val="nil"/>
              <w:right w:val="nil"/>
            </w:tcBorders>
            <w:vAlign w:val="center"/>
          </w:tcPr>
          <w:p w14:paraId="0B993778" w14:textId="77777777" w:rsidR="00931938" w:rsidRDefault="00931938" w:rsidP="00DF3D28">
            <w:pPr>
              <w:pStyle w:val="08-Tabelageral"/>
            </w:pPr>
            <w:r>
              <w:rPr>
                <w:lang w:eastAsia="en-US"/>
              </w:rPr>
              <w:t>(1,171)</w:t>
            </w:r>
          </w:p>
        </w:tc>
        <w:tc>
          <w:tcPr>
            <w:tcW w:w="736" w:type="pct"/>
            <w:tcBorders>
              <w:top w:val="nil"/>
              <w:left w:val="nil"/>
              <w:bottom w:val="nil"/>
              <w:right w:val="nil"/>
            </w:tcBorders>
            <w:vAlign w:val="center"/>
          </w:tcPr>
          <w:p w14:paraId="0FF1A8F3" w14:textId="77777777" w:rsidR="00931938" w:rsidRPr="00914F92" w:rsidRDefault="00931938" w:rsidP="00DF3D28">
            <w:pPr>
              <w:pStyle w:val="08-Tabelageral"/>
            </w:pPr>
            <w:r>
              <w:rPr>
                <w:lang w:eastAsia="en-US"/>
              </w:rPr>
              <w:t>(1,041)</w:t>
            </w:r>
          </w:p>
        </w:tc>
      </w:tr>
      <w:tr w:rsidR="00931938" w:rsidRPr="00DB06CF" w14:paraId="3BCA6489" w14:textId="77777777" w:rsidTr="00AB4D1D">
        <w:trPr>
          <w:trHeight w:val="238"/>
          <w:jc w:val="center"/>
        </w:trPr>
        <w:tc>
          <w:tcPr>
            <w:tcW w:w="1605" w:type="pct"/>
            <w:shd w:val="clear" w:color="auto" w:fill="auto"/>
            <w:vAlign w:val="center"/>
          </w:tcPr>
          <w:p w14:paraId="0C702AA6" w14:textId="77777777" w:rsidR="00931938" w:rsidRPr="00D85798" w:rsidRDefault="00931938" w:rsidP="00DF3D28">
            <w:pPr>
              <w:pStyle w:val="08-Tabelageral"/>
              <w:ind w:left="113"/>
              <w:jc w:val="left"/>
            </w:pPr>
            <w:r w:rsidRPr="007801BA">
              <w:t>Loss on financial investments</w:t>
            </w:r>
          </w:p>
        </w:tc>
        <w:tc>
          <w:tcPr>
            <w:tcW w:w="313" w:type="pct"/>
            <w:shd w:val="clear" w:color="auto" w:fill="auto"/>
            <w:vAlign w:val="center"/>
          </w:tcPr>
          <w:p w14:paraId="4620EAE9" w14:textId="77777777" w:rsidR="00931938" w:rsidRPr="00DB06CF" w:rsidRDefault="00931938" w:rsidP="00DF3D28">
            <w:pPr>
              <w:pStyle w:val="08-Tabelageral"/>
              <w:ind w:left="113"/>
              <w:jc w:val="center"/>
              <w:rPr>
                <w:rFonts w:cs="Arial"/>
                <w:szCs w:val="14"/>
              </w:rPr>
            </w:pPr>
          </w:p>
        </w:tc>
        <w:tc>
          <w:tcPr>
            <w:tcW w:w="732" w:type="pct"/>
            <w:shd w:val="clear" w:color="auto" w:fill="auto"/>
            <w:vAlign w:val="center"/>
          </w:tcPr>
          <w:p w14:paraId="77E0C6DB" w14:textId="77777777" w:rsidR="00931938" w:rsidRPr="00D41026" w:rsidRDefault="00931938" w:rsidP="00DF3D28">
            <w:pPr>
              <w:pStyle w:val="08-Tabelageral"/>
            </w:pPr>
            <w:r>
              <w:rPr>
                <w:lang w:eastAsia="en-US"/>
              </w:rPr>
              <w:t>(1,417)</w:t>
            </w:r>
          </w:p>
        </w:tc>
        <w:tc>
          <w:tcPr>
            <w:tcW w:w="732" w:type="pct"/>
            <w:shd w:val="clear" w:color="auto" w:fill="auto"/>
            <w:vAlign w:val="center"/>
          </w:tcPr>
          <w:p w14:paraId="0539B413" w14:textId="77777777" w:rsidR="00931938" w:rsidRPr="00914F92" w:rsidRDefault="00931938" w:rsidP="00DF3D28">
            <w:pPr>
              <w:pStyle w:val="08-Tabelageral"/>
            </w:pPr>
            <w:r>
              <w:rPr>
                <w:lang w:eastAsia="en-US"/>
              </w:rPr>
              <w:t>(851)</w:t>
            </w:r>
          </w:p>
        </w:tc>
        <w:tc>
          <w:tcPr>
            <w:tcW w:w="147" w:type="pct"/>
            <w:shd w:val="clear" w:color="auto" w:fill="auto"/>
            <w:vAlign w:val="center"/>
          </w:tcPr>
          <w:p w14:paraId="11BE01C4" w14:textId="77777777" w:rsidR="00931938" w:rsidRPr="00DB06CF" w:rsidRDefault="00931938" w:rsidP="00DF3D28">
            <w:pPr>
              <w:pStyle w:val="08-Tabelageral"/>
            </w:pPr>
          </w:p>
        </w:tc>
        <w:tc>
          <w:tcPr>
            <w:tcW w:w="735" w:type="pct"/>
            <w:tcBorders>
              <w:top w:val="nil"/>
              <w:left w:val="nil"/>
              <w:bottom w:val="nil"/>
              <w:right w:val="nil"/>
            </w:tcBorders>
            <w:vAlign w:val="center"/>
          </w:tcPr>
          <w:p w14:paraId="41566CE8" w14:textId="77777777" w:rsidR="00931938" w:rsidRPr="00A54EF7" w:rsidRDefault="00931938" w:rsidP="00DF3D28">
            <w:pPr>
              <w:pStyle w:val="08-Tabelageral"/>
            </w:pPr>
            <w:r>
              <w:rPr>
                <w:lang w:eastAsia="en-US"/>
              </w:rPr>
              <w:t>(1,417)</w:t>
            </w:r>
          </w:p>
        </w:tc>
        <w:tc>
          <w:tcPr>
            <w:tcW w:w="736" w:type="pct"/>
            <w:tcBorders>
              <w:top w:val="nil"/>
              <w:left w:val="nil"/>
              <w:bottom w:val="nil"/>
              <w:right w:val="nil"/>
            </w:tcBorders>
            <w:vAlign w:val="center"/>
          </w:tcPr>
          <w:p w14:paraId="2B9CDCAB" w14:textId="77777777" w:rsidR="00931938" w:rsidRPr="00914F92" w:rsidRDefault="00931938" w:rsidP="00DF3D28">
            <w:pPr>
              <w:pStyle w:val="08-Tabelageral"/>
            </w:pPr>
            <w:r>
              <w:rPr>
                <w:lang w:eastAsia="en-US"/>
              </w:rPr>
              <w:t>(851)</w:t>
            </w:r>
          </w:p>
        </w:tc>
      </w:tr>
      <w:tr w:rsidR="00931938" w:rsidRPr="00DB06CF" w14:paraId="3BFD65FA" w14:textId="77777777" w:rsidTr="00AB4D1D">
        <w:trPr>
          <w:trHeight w:val="238"/>
          <w:jc w:val="center"/>
        </w:trPr>
        <w:tc>
          <w:tcPr>
            <w:tcW w:w="1605" w:type="pct"/>
            <w:shd w:val="clear" w:color="auto" w:fill="auto"/>
            <w:vAlign w:val="center"/>
          </w:tcPr>
          <w:p w14:paraId="5E7FC27F" w14:textId="77777777" w:rsidR="00931938" w:rsidRPr="00D85798" w:rsidRDefault="00931938" w:rsidP="00DF3D28">
            <w:pPr>
              <w:pStyle w:val="08-Tabelageral"/>
              <w:ind w:left="113"/>
              <w:jc w:val="left"/>
            </w:pPr>
            <w:r>
              <w:t>Other</w:t>
            </w:r>
          </w:p>
        </w:tc>
        <w:tc>
          <w:tcPr>
            <w:tcW w:w="313" w:type="pct"/>
            <w:shd w:val="clear" w:color="auto" w:fill="auto"/>
            <w:vAlign w:val="center"/>
          </w:tcPr>
          <w:p w14:paraId="66555D19" w14:textId="77777777" w:rsidR="00931938" w:rsidRPr="00DB06CF" w:rsidRDefault="00931938" w:rsidP="00DF3D28">
            <w:pPr>
              <w:pStyle w:val="08-Tabelageral"/>
              <w:ind w:left="113"/>
              <w:jc w:val="center"/>
              <w:rPr>
                <w:rFonts w:cs="Arial"/>
                <w:szCs w:val="14"/>
              </w:rPr>
            </w:pPr>
          </w:p>
        </w:tc>
        <w:tc>
          <w:tcPr>
            <w:tcW w:w="732" w:type="pct"/>
            <w:shd w:val="clear" w:color="auto" w:fill="auto"/>
            <w:vAlign w:val="center"/>
          </w:tcPr>
          <w:p w14:paraId="73E1758D" w14:textId="77777777" w:rsidR="00931938" w:rsidRPr="00D41026" w:rsidRDefault="00931938" w:rsidP="00DF3D28">
            <w:pPr>
              <w:pStyle w:val="08-Tabelageral"/>
            </w:pPr>
            <w:r>
              <w:rPr>
                <w:lang w:eastAsia="en-US"/>
              </w:rPr>
              <w:t>--</w:t>
            </w:r>
          </w:p>
        </w:tc>
        <w:tc>
          <w:tcPr>
            <w:tcW w:w="732" w:type="pct"/>
            <w:shd w:val="clear" w:color="auto" w:fill="auto"/>
            <w:vAlign w:val="center"/>
          </w:tcPr>
          <w:p w14:paraId="2B678A86" w14:textId="77777777" w:rsidR="00931938" w:rsidRPr="00914F92" w:rsidRDefault="00931938" w:rsidP="00DF3D28">
            <w:pPr>
              <w:pStyle w:val="08-Tabelageral"/>
            </w:pPr>
            <w:r>
              <w:rPr>
                <w:lang w:eastAsia="en-US"/>
              </w:rPr>
              <w:t>--</w:t>
            </w:r>
          </w:p>
        </w:tc>
        <w:tc>
          <w:tcPr>
            <w:tcW w:w="147" w:type="pct"/>
            <w:shd w:val="clear" w:color="auto" w:fill="auto"/>
            <w:vAlign w:val="center"/>
          </w:tcPr>
          <w:p w14:paraId="3E3A0A86" w14:textId="77777777" w:rsidR="00931938" w:rsidRPr="00DB06CF" w:rsidRDefault="00931938" w:rsidP="00DF3D28">
            <w:pPr>
              <w:pStyle w:val="08-Tabelageral"/>
            </w:pPr>
          </w:p>
        </w:tc>
        <w:tc>
          <w:tcPr>
            <w:tcW w:w="735" w:type="pct"/>
            <w:tcBorders>
              <w:top w:val="nil"/>
              <w:left w:val="nil"/>
              <w:bottom w:val="nil"/>
              <w:right w:val="nil"/>
            </w:tcBorders>
            <w:vAlign w:val="center"/>
          </w:tcPr>
          <w:p w14:paraId="53B29A55" w14:textId="77777777" w:rsidR="00931938" w:rsidRPr="00A54EF7" w:rsidRDefault="00931938" w:rsidP="00DF3D28">
            <w:pPr>
              <w:pStyle w:val="08-Tabelageral"/>
            </w:pPr>
            <w:r>
              <w:rPr>
                <w:lang w:eastAsia="en-US"/>
              </w:rPr>
              <w:t>(1)</w:t>
            </w:r>
          </w:p>
        </w:tc>
        <w:tc>
          <w:tcPr>
            <w:tcW w:w="736" w:type="pct"/>
            <w:tcBorders>
              <w:top w:val="nil"/>
              <w:left w:val="nil"/>
              <w:bottom w:val="nil"/>
              <w:right w:val="nil"/>
            </w:tcBorders>
            <w:vAlign w:val="center"/>
          </w:tcPr>
          <w:p w14:paraId="05D79F0D" w14:textId="77777777" w:rsidR="00931938" w:rsidRPr="00914F92" w:rsidRDefault="00931938" w:rsidP="00DF3D28">
            <w:pPr>
              <w:pStyle w:val="08-Tabelageral"/>
            </w:pPr>
            <w:r>
              <w:rPr>
                <w:lang w:eastAsia="en-US"/>
              </w:rPr>
              <w:t>--</w:t>
            </w:r>
          </w:p>
        </w:tc>
      </w:tr>
      <w:tr w:rsidR="00931938" w:rsidRPr="00DB06CF" w14:paraId="70BC7641" w14:textId="77777777" w:rsidTr="00AB4D1D">
        <w:trPr>
          <w:trHeight w:val="238"/>
          <w:jc w:val="center"/>
        </w:trPr>
        <w:tc>
          <w:tcPr>
            <w:tcW w:w="1605" w:type="pct"/>
            <w:tcBorders>
              <w:bottom w:val="single" w:sz="2" w:space="0" w:color="1F4E79" w:themeColor="accent1" w:themeShade="80"/>
            </w:tcBorders>
            <w:shd w:val="clear" w:color="auto" w:fill="auto"/>
            <w:vAlign w:val="center"/>
          </w:tcPr>
          <w:p w14:paraId="033E00C4" w14:textId="77777777" w:rsidR="00931938" w:rsidRPr="00DB06CF" w:rsidRDefault="00931938" w:rsidP="00DF3D28">
            <w:pPr>
              <w:pStyle w:val="08-Tabelageral"/>
              <w:jc w:val="left"/>
              <w:rPr>
                <w:b/>
              </w:rPr>
            </w:pPr>
            <w:r w:rsidRPr="00FF3418">
              <w:rPr>
                <w:b/>
              </w:rPr>
              <w:t>Financial Result</w:t>
            </w:r>
          </w:p>
        </w:tc>
        <w:tc>
          <w:tcPr>
            <w:tcW w:w="313" w:type="pct"/>
            <w:tcBorders>
              <w:bottom w:val="single" w:sz="2" w:space="0" w:color="1F4E79" w:themeColor="accent1" w:themeShade="80"/>
            </w:tcBorders>
            <w:shd w:val="clear" w:color="auto" w:fill="auto"/>
            <w:vAlign w:val="center"/>
          </w:tcPr>
          <w:p w14:paraId="7CB0039D" w14:textId="77777777" w:rsidR="00931938" w:rsidRPr="00DB06CF" w:rsidRDefault="00931938" w:rsidP="00DF3D28">
            <w:pPr>
              <w:pStyle w:val="08-Tabelageral"/>
              <w:jc w:val="center"/>
              <w:rPr>
                <w:rFonts w:cs="Arial"/>
                <w:b/>
                <w:szCs w:val="14"/>
              </w:rPr>
            </w:pPr>
          </w:p>
        </w:tc>
        <w:tc>
          <w:tcPr>
            <w:tcW w:w="732" w:type="pct"/>
            <w:tcBorders>
              <w:bottom w:val="single" w:sz="2" w:space="0" w:color="1F4E79" w:themeColor="accent1" w:themeShade="80"/>
            </w:tcBorders>
            <w:shd w:val="clear" w:color="auto" w:fill="auto"/>
            <w:vAlign w:val="center"/>
          </w:tcPr>
          <w:p w14:paraId="0787A8E2" w14:textId="77777777" w:rsidR="00931938" w:rsidRPr="00961673" w:rsidRDefault="00931938" w:rsidP="00DF3D28">
            <w:pPr>
              <w:pStyle w:val="08-Tabelageral"/>
              <w:rPr>
                <w:b/>
              </w:rPr>
            </w:pPr>
            <w:r>
              <w:rPr>
                <w:b/>
                <w:lang w:eastAsia="en-US"/>
              </w:rPr>
              <w:t>16,370</w:t>
            </w:r>
          </w:p>
        </w:tc>
        <w:tc>
          <w:tcPr>
            <w:tcW w:w="732" w:type="pct"/>
            <w:tcBorders>
              <w:bottom w:val="single" w:sz="2" w:space="0" w:color="1F4E79" w:themeColor="accent1" w:themeShade="80"/>
            </w:tcBorders>
            <w:shd w:val="clear" w:color="auto" w:fill="auto"/>
            <w:vAlign w:val="center"/>
          </w:tcPr>
          <w:p w14:paraId="7A66A078" w14:textId="77777777" w:rsidR="00931938" w:rsidRPr="00961673" w:rsidRDefault="00931938" w:rsidP="00DF3D28">
            <w:pPr>
              <w:pStyle w:val="08-Tabelageral"/>
              <w:rPr>
                <w:b/>
              </w:rPr>
            </w:pPr>
            <w:r>
              <w:rPr>
                <w:b/>
                <w:lang w:eastAsia="en-US"/>
              </w:rPr>
              <w:t>22,901</w:t>
            </w:r>
          </w:p>
        </w:tc>
        <w:tc>
          <w:tcPr>
            <w:tcW w:w="147" w:type="pct"/>
            <w:tcBorders>
              <w:bottom w:val="single" w:sz="2" w:space="0" w:color="1F4E79" w:themeColor="accent1" w:themeShade="80"/>
            </w:tcBorders>
            <w:shd w:val="clear" w:color="auto" w:fill="auto"/>
            <w:vAlign w:val="center"/>
          </w:tcPr>
          <w:p w14:paraId="4E27088A" w14:textId="77777777" w:rsidR="00931938" w:rsidRPr="00961673" w:rsidRDefault="00931938" w:rsidP="00DF3D28">
            <w:pPr>
              <w:pStyle w:val="08-Tabelageral"/>
              <w:rPr>
                <w:b/>
              </w:rPr>
            </w:pPr>
          </w:p>
        </w:tc>
        <w:tc>
          <w:tcPr>
            <w:tcW w:w="735" w:type="pct"/>
            <w:tcBorders>
              <w:top w:val="nil"/>
              <w:left w:val="nil"/>
              <w:bottom w:val="single" w:sz="2" w:space="0" w:color="1F4E79" w:themeColor="accent1" w:themeShade="80"/>
              <w:right w:val="nil"/>
            </w:tcBorders>
            <w:vAlign w:val="center"/>
          </w:tcPr>
          <w:p w14:paraId="4A7F742B" w14:textId="77777777" w:rsidR="00931938" w:rsidRPr="00D41026" w:rsidRDefault="00931938" w:rsidP="00DF3D28">
            <w:pPr>
              <w:pStyle w:val="08-Tabelageral"/>
              <w:rPr>
                <w:b/>
              </w:rPr>
            </w:pPr>
            <w:r>
              <w:rPr>
                <w:b/>
                <w:lang w:eastAsia="en-US"/>
              </w:rPr>
              <w:t>502,562</w:t>
            </w:r>
          </w:p>
        </w:tc>
        <w:tc>
          <w:tcPr>
            <w:tcW w:w="736" w:type="pct"/>
            <w:tcBorders>
              <w:top w:val="nil"/>
              <w:left w:val="nil"/>
              <w:bottom w:val="single" w:sz="2" w:space="0" w:color="1F4E79" w:themeColor="accent1" w:themeShade="80"/>
              <w:right w:val="nil"/>
            </w:tcBorders>
            <w:vAlign w:val="center"/>
          </w:tcPr>
          <w:p w14:paraId="16986DE4" w14:textId="77777777" w:rsidR="00931938" w:rsidRPr="00961673" w:rsidRDefault="00931938" w:rsidP="00DF3D28">
            <w:pPr>
              <w:pStyle w:val="08-Tabelageral"/>
              <w:rPr>
                <w:b/>
              </w:rPr>
            </w:pPr>
            <w:r>
              <w:rPr>
                <w:b/>
                <w:lang w:eastAsia="en-US"/>
              </w:rPr>
              <w:t>147,224</w:t>
            </w:r>
          </w:p>
        </w:tc>
      </w:tr>
    </w:tbl>
    <w:bookmarkEnd w:id="46"/>
    <w:p w14:paraId="09117ED2" w14:textId="77777777" w:rsidR="00931938" w:rsidRPr="007F3BA7" w:rsidRDefault="00931938" w:rsidP="00931938">
      <w:pPr>
        <w:pStyle w:val="07-Legenda"/>
        <w:numPr>
          <w:ilvl w:val="0"/>
          <w:numId w:val="10"/>
        </w:numPr>
        <w:ind w:left="284" w:hanging="284"/>
        <w:rPr>
          <w:szCs w:val="14"/>
          <w:lang w:val="en-US"/>
        </w:rPr>
      </w:pPr>
      <w:r w:rsidRPr="00CE17BB">
        <w:rPr>
          <w:szCs w:val="14"/>
          <w:lang w:val="en-US"/>
        </w:rPr>
        <w:t>In the first quarter of 2022 there was an adjustment in the amounts of deposits recognized, in the amount of R$ 1,167 thousand, due to the undue use of monetary restatement indexes.</w:t>
      </w:r>
    </w:p>
    <w:p w14:paraId="7B4547D8" w14:textId="5C71CD42" w:rsidR="00931938" w:rsidRPr="00AB4D1D" w:rsidRDefault="00931938" w:rsidP="00FC4475">
      <w:pPr>
        <w:pStyle w:val="Ttulo1"/>
      </w:pPr>
      <w:bookmarkStart w:id="47" w:name="_Toc126781106"/>
      <w:r w:rsidRPr="00AB4D1D">
        <w:t>15 – CASH AND CASH EQUIVALENTS</w:t>
      </w:r>
      <w:bookmarkEnd w:id="47"/>
    </w:p>
    <w:p w14:paraId="2BE228B3" w14:textId="77777777" w:rsidR="00931938" w:rsidRPr="00396B61" w:rsidRDefault="00931938" w:rsidP="00DB20DC">
      <w:pPr>
        <w:spacing w:after="0"/>
        <w:jc w:val="right"/>
        <w:rPr>
          <w:rFonts w:cs="Arial"/>
          <w:b/>
          <w:sz w:val="14"/>
          <w:szCs w:val="14"/>
          <w:lang w:val="en-US" w:eastAsia="pt-BR"/>
        </w:rPr>
      </w:pPr>
      <w:r w:rsidRPr="00396B61">
        <w:rPr>
          <w:rFonts w:cs="Arial"/>
          <w:b/>
          <w:sz w:val="14"/>
          <w:szCs w:val="14"/>
          <w:lang w:val="en-US" w:eastAsia="pt-BR"/>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261"/>
        <w:gridCol w:w="437"/>
        <w:gridCol w:w="1411"/>
        <w:gridCol w:w="1412"/>
        <w:gridCol w:w="283"/>
        <w:gridCol w:w="1417"/>
        <w:gridCol w:w="1418"/>
      </w:tblGrid>
      <w:tr w:rsidR="00931938" w:rsidRPr="00BC7DA5" w14:paraId="3DDF9DD9" w14:textId="77777777" w:rsidTr="00AB4D1D">
        <w:trPr>
          <w:trHeight w:val="238"/>
          <w:jc w:val="center"/>
        </w:trPr>
        <w:tc>
          <w:tcPr>
            <w:tcW w:w="3261" w:type="dxa"/>
            <w:tcBorders>
              <w:top w:val="single" w:sz="2" w:space="0" w:color="1F4E79" w:themeColor="accent1" w:themeShade="80"/>
              <w:bottom w:val="nil"/>
            </w:tcBorders>
            <w:shd w:val="clear" w:color="auto" w:fill="auto"/>
          </w:tcPr>
          <w:p w14:paraId="1E401EFD" w14:textId="77777777" w:rsidR="00931938" w:rsidRPr="00396B61" w:rsidRDefault="00931938" w:rsidP="00964B61">
            <w:pPr>
              <w:keepNext/>
              <w:keepLines/>
              <w:spacing w:after="0"/>
              <w:jc w:val="center"/>
              <w:rPr>
                <w:rFonts w:cs="Arial"/>
                <w:b/>
                <w:szCs w:val="18"/>
                <w:lang w:val="en-US"/>
              </w:rPr>
            </w:pPr>
          </w:p>
        </w:tc>
        <w:tc>
          <w:tcPr>
            <w:tcW w:w="437" w:type="dxa"/>
            <w:tcBorders>
              <w:top w:val="single" w:sz="2" w:space="0" w:color="1F4E79" w:themeColor="accent1" w:themeShade="80"/>
              <w:bottom w:val="single" w:sz="2" w:space="0" w:color="1F4E79" w:themeColor="accent1" w:themeShade="80"/>
            </w:tcBorders>
            <w:shd w:val="clear" w:color="auto" w:fill="auto"/>
          </w:tcPr>
          <w:p w14:paraId="1CF1A016" w14:textId="77777777" w:rsidR="00931938" w:rsidRPr="00396B61" w:rsidRDefault="00931938" w:rsidP="00964B61">
            <w:pPr>
              <w:keepNext/>
              <w:keepLines/>
              <w:spacing w:after="0"/>
              <w:jc w:val="center"/>
              <w:rPr>
                <w:rFonts w:cs="Arial"/>
                <w:b/>
                <w:szCs w:val="18"/>
                <w:lang w:val="en-US"/>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7C972D1A" w14:textId="77777777" w:rsidR="00931938" w:rsidRPr="00BC7DA5" w:rsidRDefault="00931938" w:rsidP="00964B61">
            <w:pPr>
              <w:keepNext/>
              <w:keepLines/>
              <w:spacing w:after="0"/>
              <w:jc w:val="center"/>
              <w:rPr>
                <w:rFonts w:cs="Arial"/>
                <w:b/>
                <w:sz w:val="14"/>
                <w:szCs w:val="18"/>
              </w:rPr>
            </w:pPr>
            <w:r w:rsidRPr="00617D47">
              <w:rPr>
                <w:rFonts w:cs="Arial"/>
                <w:b/>
                <w:sz w:val="14"/>
                <w:szCs w:val="18"/>
              </w:rPr>
              <w:t>Parent</w:t>
            </w:r>
          </w:p>
        </w:tc>
        <w:tc>
          <w:tcPr>
            <w:tcW w:w="283" w:type="dxa"/>
            <w:tcBorders>
              <w:top w:val="single" w:sz="2" w:space="0" w:color="1F4E79" w:themeColor="accent1" w:themeShade="80"/>
              <w:bottom w:val="nil"/>
            </w:tcBorders>
            <w:shd w:val="clear" w:color="auto" w:fill="auto"/>
            <w:vAlign w:val="center"/>
          </w:tcPr>
          <w:p w14:paraId="4EAA38BA" w14:textId="77777777" w:rsidR="00931938" w:rsidRPr="00BC7DA5" w:rsidRDefault="00931938" w:rsidP="00964B61">
            <w:pPr>
              <w:keepNext/>
              <w:keepLines/>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734F2231" w14:textId="77777777" w:rsidR="00931938" w:rsidRPr="00BC7DA5" w:rsidRDefault="00931938" w:rsidP="00964B61">
            <w:pPr>
              <w:keepNext/>
              <w:keepLines/>
              <w:spacing w:after="0"/>
              <w:jc w:val="center"/>
              <w:rPr>
                <w:rFonts w:cs="Arial"/>
                <w:b/>
                <w:szCs w:val="18"/>
              </w:rPr>
            </w:pPr>
            <w:r w:rsidRPr="00617D47">
              <w:rPr>
                <w:rFonts w:cs="Arial"/>
                <w:b/>
                <w:sz w:val="14"/>
                <w:szCs w:val="18"/>
              </w:rPr>
              <w:t>Consolidated</w:t>
            </w:r>
          </w:p>
        </w:tc>
      </w:tr>
      <w:tr w:rsidR="00931938" w:rsidRPr="00BC7DA5" w14:paraId="13C5715D" w14:textId="77777777" w:rsidTr="00AB4D1D">
        <w:trPr>
          <w:trHeight w:val="238"/>
          <w:jc w:val="center"/>
        </w:trPr>
        <w:tc>
          <w:tcPr>
            <w:tcW w:w="3261" w:type="dxa"/>
            <w:tcBorders>
              <w:top w:val="nil"/>
              <w:bottom w:val="single" w:sz="2" w:space="0" w:color="1F4E79" w:themeColor="accent1" w:themeShade="80"/>
            </w:tcBorders>
            <w:shd w:val="clear" w:color="auto" w:fill="auto"/>
          </w:tcPr>
          <w:p w14:paraId="46B764F9" w14:textId="77777777" w:rsidR="00931938" w:rsidRPr="00BC7DA5" w:rsidRDefault="00931938" w:rsidP="00964B61">
            <w:pPr>
              <w:pStyle w:val="08-Tabelageral"/>
              <w:rPr>
                <w:rFonts w:cs="Arial"/>
                <w:b/>
              </w:rPr>
            </w:pPr>
          </w:p>
        </w:tc>
        <w:tc>
          <w:tcPr>
            <w:tcW w:w="437" w:type="dxa"/>
            <w:tcBorders>
              <w:top w:val="single" w:sz="2" w:space="0" w:color="1F4E79" w:themeColor="accent1" w:themeShade="80"/>
              <w:bottom w:val="single" w:sz="2" w:space="0" w:color="1F4E79" w:themeColor="accent1" w:themeShade="80"/>
            </w:tcBorders>
            <w:shd w:val="clear" w:color="auto" w:fill="auto"/>
          </w:tcPr>
          <w:p w14:paraId="04A987D1" w14:textId="77777777" w:rsidR="00931938" w:rsidRPr="00BC7DA5" w:rsidRDefault="00931938" w:rsidP="00964B61">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76CC0ADB" w14:textId="77777777" w:rsidR="00931938" w:rsidRPr="00BC7DA5" w:rsidRDefault="00931938" w:rsidP="00964B61">
            <w:pPr>
              <w:pStyle w:val="08-Tabelageral"/>
              <w:rPr>
                <w:rFonts w:cs="Arial"/>
                <w:b/>
              </w:rPr>
            </w:pPr>
            <w:r w:rsidRPr="00617D47">
              <w:rPr>
                <w:rFonts w:cs="Arial"/>
                <w:b/>
              </w:rPr>
              <w:t>Dec 31, 202</w:t>
            </w:r>
            <w:r>
              <w:rPr>
                <w:rFonts w:cs="Arial"/>
                <w:b/>
              </w:rPr>
              <w:t>2</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0CC95AAA" w14:textId="77777777" w:rsidR="00931938" w:rsidRPr="00BC7DA5" w:rsidRDefault="00931938" w:rsidP="00964B61">
            <w:pPr>
              <w:pStyle w:val="08-Tabelageral"/>
              <w:rPr>
                <w:rFonts w:cs="Arial"/>
                <w:b/>
              </w:rPr>
            </w:pPr>
            <w:r w:rsidRPr="00617D47">
              <w:rPr>
                <w:rFonts w:cs="Arial"/>
                <w:b/>
              </w:rPr>
              <w:t>Dec 31, 202</w:t>
            </w:r>
            <w:r>
              <w:rPr>
                <w:rFonts w:cs="Arial"/>
                <w:b/>
              </w:rPr>
              <w:t>1</w:t>
            </w:r>
          </w:p>
        </w:tc>
        <w:tc>
          <w:tcPr>
            <w:tcW w:w="283" w:type="dxa"/>
            <w:tcBorders>
              <w:top w:val="nil"/>
              <w:bottom w:val="single" w:sz="2" w:space="0" w:color="1F4E79" w:themeColor="accent1" w:themeShade="80"/>
            </w:tcBorders>
            <w:shd w:val="clear" w:color="auto" w:fill="auto"/>
            <w:vAlign w:val="center"/>
          </w:tcPr>
          <w:p w14:paraId="23A7DCD7" w14:textId="77777777" w:rsidR="00931938" w:rsidRPr="00BC7DA5" w:rsidRDefault="00931938" w:rsidP="00964B61">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79CFD69B" w14:textId="77777777" w:rsidR="00931938" w:rsidRPr="00BC7DA5" w:rsidRDefault="00931938" w:rsidP="00964B61">
            <w:pPr>
              <w:pStyle w:val="08-Tabelageral"/>
              <w:rPr>
                <w:rFonts w:cs="Arial"/>
                <w:b/>
                <w:vertAlign w:val="superscript"/>
              </w:rPr>
            </w:pPr>
            <w:r w:rsidRPr="00617D47">
              <w:rPr>
                <w:rFonts w:cs="Arial"/>
                <w:b/>
              </w:rPr>
              <w:t>Dec 31, 202</w:t>
            </w:r>
            <w:r>
              <w:rPr>
                <w:rFonts w:cs="Arial"/>
                <w:b/>
              </w:rPr>
              <w:t>2</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3568E27C" w14:textId="77777777" w:rsidR="00931938" w:rsidRPr="00BC7DA5" w:rsidRDefault="00931938" w:rsidP="00964B61">
            <w:pPr>
              <w:pStyle w:val="08-Tabelageral"/>
              <w:rPr>
                <w:rFonts w:cs="Arial"/>
                <w:b/>
                <w:vertAlign w:val="superscript"/>
              </w:rPr>
            </w:pPr>
            <w:r w:rsidRPr="00617D47">
              <w:rPr>
                <w:rFonts w:cs="Arial"/>
                <w:b/>
              </w:rPr>
              <w:t>Dec 31, 202</w:t>
            </w:r>
            <w:r>
              <w:rPr>
                <w:rFonts w:cs="Arial"/>
                <w:b/>
              </w:rPr>
              <w:t>1</w:t>
            </w:r>
          </w:p>
        </w:tc>
      </w:tr>
      <w:tr w:rsidR="00931938" w:rsidRPr="009D0C3F" w14:paraId="3992EF80" w14:textId="77777777" w:rsidTr="00AB4D1D">
        <w:trPr>
          <w:trHeight w:val="238"/>
          <w:jc w:val="center"/>
        </w:trPr>
        <w:tc>
          <w:tcPr>
            <w:tcW w:w="3261" w:type="dxa"/>
            <w:tcBorders>
              <w:top w:val="single" w:sz="2" w:space="0" w:color="1F4E79" w:themeColor="accent1" w:themeShade="80"/>
            </w:tcBorders>
            <w:shd w:val="clear" w:color="auto" w:fill="auto"/>
          </w:tcPr>
          <w:p w14:paraId="189AA6BF" w14:textId="77777777" w:rsidR="00931938" w:rsidRPr="00DB20DC" w:rsidRDefault="00931938" w:rsidP="00396B61">
            <w:pPr>
              <w:pStyle w:val="08-Tabelageral"/>
              <w:ind w:left="113"/>
              <w:jc w:val="left"/>
              <w:rPr>
                <w:b/>
              </w:rPr>
            </w:pPr>
            <w:r w:rsidRPr="00617D47">
              <w:t>Cash</w:t>
            </w:r>
          </w:p>
        </w:tc>
        <w:tc>
          <w:tcPr>
            <w:tcW w:w="437" w:type="dxa"/>
            <w:tcBorders>
              <w:top w:val="single" w:sz="2" w:space="0" w:color="1F4E79" w:themeColor="accent1" w:themeShade="80"/>
              <w:bottom w:val="nil"/>
            </w:tcBorders>
            <w:shd w:val="clear" w:color="auto" w:fill="auto"/>
          </w:tcPr>
          <w:p w14:paraId="7FFBBC6F" w14:textId="77777777" w:rsidR="00931938" w:rsidRPr="009D0C3F" w:rsidRDefault="00931938" w:rsidP="00396B61">
            <w:pPr>
              <w:pStyle w:val="08-Tabelageral"/>
              <w:rPr>
                <w:rFonts w:cs="Arial"/>
                <w:b/>
              </w:rPr>
            </w:pPr>
          </w:p>
        </w:tc>
        <w:tc>
          <w:tcPr>
            <w:tcW w:w="1411" w:type="dxa"/>
            <w:tcBorders>
              <w:top w:val="single" w:sz="2" w:space="0" w:color="8EAADB" w:themeColor="accent5" w:themeTint="99"/>
              <w:bottom w:val="nil"/>
            </w:tcBorders>
          </w:tcPr>
          <w:p w14:paraId="7778E05D" w14:textId="77777777" w:rsidR="00931938" w:rsidRPr="00A02918" w:rsidRDefault="00931938" w:rsidP="00396B61">
            <w:pPr>
              <w:pStyle w:val="08-Tabelageral"/>
            </w:pPr>
            <w:r w:rsidRPr="00ED38A0">
              <w:t>427</w:t>
            </w:r>
          </w:p>
        </w:tc>
        <w:tc>
          <w:tcPr>
            <w:tcW w:w="1412" w:type="dxa"/>
            <w:tcBorders>
              <w:top w:val="single" w:sz="2" w:space="0" w:color="8EAADB" w:themeColor="accent5" w:themeTint="99"/>
              <w:bottom w:val="nil"/>
            </w:tcBorders>
          </w:tcPr>
          <w:p w14:paraId="73443B4E" w14:textId="77777777" w:rsidR="00931938" w:rsidRPr="00A02918" w:rsidRDefault="00931938" w:rsidP="00396B61">
            <w:pPr>
              <w:pStyle w:val="08-Tabelageral"/>
            </w:pPr>
            <w:r>
              <w:t>453</w:t>
            </w:r>
          </w:p>
        </w:tc>
        <w:tc>
          <w:tcPr>
            <w:tcW w:w="283" w:type="dxa"/>
            <w:tcBorders>
              <w:top w:val="single" w:sz="2" w:space="0" w:color="1F4E79" w:themeColor="accent1" w:themeShade="80"/>
              <w:bottom w:val="nil"/>
            </w:tcBorders>
            <w:shd w:val="clear" w:color="auto" w:fill="auto"/>
            <w:vAlign w:val="center"/>
          </w:tcPr>
          <w:p w14:paraId="1BA4125A" w14:textId="77777777" w:rsidR="00931938" w:rsidRPr="009D0C3F" w:rsidRDefault="00931938" w:rsidP="00396B61">
            <w:pPr>
              <w:pStyle w:val="08-Tabelageral"/>
              <w:rPr>
                <w:rFonts w:cs="Arial"/>
                <w:b/>
              </w:rPr>
            </w:pPr>
          </w:p>
        </w:tc>
        <w:tc>
          <w:tcPr>
            <w:tcW w:w="1417" w:type="dxa"/>
            <w:tcBorders>
              <w:top w:val="single" w:sz="2" w:space="0" w:color="8EAADB" w:themeColor="accent5" w:themeTint="99"/>
              <w:bottom w:val="nil"/>
            </w:tcBorders>
          </w:tcPr>
          <w:p w14:paraId="0060D9A5" w14:textId="77777777" w:rsidR="00931938" w:rsidRPr="0057573E" w:rsidRDefault="00931938" w:rsidP="00396B61">
            <w:pPr>
              <w:pStyle w:val="08-Tabelageral"/>
            </w:pPr>
            <w:r w:rsidRPr="001A7BE6">
              <w:t>3</w:t>
            </w:r>
            <w:r>
              <w:t>,</w:t>
            </w:r>
            <w:r w:rsidRPr="001A7BE6">
              <w:t>567</w:t>
            </w:r>
          </w:p>
        </w:tc>
        <w:tc>
          <w:tcPr>
            <w:tcW w:w="1418" w:type="dxa"/>
            <w:tcBorders>
              <w:top w:val="single" w:sz="2" w:space="0" w:color="8EAADB" w:themeColor="accent5" w:themeTint="99"/>
              <w:bottom w:val="nil"/>
            </w:tcBorders>
          </w:tcPr>
          <w:p w14:paraId="1E8A4557" w14:textId="77777777" w:rsidR="00931938" w:rsidRPr="0057573E" w:rsidRDefault="00931938" w:rsidP="00396B61">
            <w:pPr>
              <w:pStyle w:val="08-Tabelageral"/>
            </w:pPr>
            <w:r>
              <w:t>3,609</w:t>
            </w:r>
          </w:p>
        </w:tc>
      </w:tr>
      <w:tr w:rsidR="00931938" w:rsidRPr="00BC7DA5" w14:paraId="60BCBCA9" w14:textId="77777777" w:rsidTr="00AB4D1D">
        <w:trPr>
          <w:trHeight w:val="238"/>
          <w:jc w:val="center"/>
        </w:trPr>
        <w:tc>
          <w:tcPr>
            <w:tcW w:w="3261" w:type="dxa"/>
            <w:tcBorders>
              <w:bottom w:val="nil"/>
            </w:tcBorders>
            <w:shd w:val="clear" w:color="auto" w:fill="auto"/>
          </w:tcPr>
          <w:p w14:paraId="54FAE202" w14:textId="77777777" w:rsidR="00931938" w:rsidRPr="00DB20DC" w:rsidRDefault="00931938" w:rsidP="00396B61">
            <w:pPr>
              <w:pStyle w:val="08-Tabelageral"/>
              <w:ind w:left="113"/>
              <w:jc w:val="left"/>
              <w:rPr>
                <w:b/>
              </w:rPr>
            </w:pPr>
            <w:r w:rsidRPr="00617D47">
              <w:t xml:space="preserve">Repurchase agreements </w:t>
            </w:r>
            <w:r w:rsidRPr="000704E7">
              <w:rPr>
                <w:vertAlign w:val="superscript"/>
              </w:rPr>
              <w:t>(1)</w:t>
            </w:r>
          </w:p>
        </w:tc>
        <w:tc>
          <w:tcPr>
            <w:tcW w:w="437" w:type="dxa"/>
            <w:tcBorders>
              <w:top w:val="nil"/>
              <w:bottom w:val="nil"/>
            </w:tcBorders>
            <w:shd w:val="clear" w:color="auto" w:fill="auto"/>
          </w:tcPr>
          <w:p w14:paraId="37BD3EC5" w14:textId="77777777" w:rsidR="00931938" w:rsidRPr="00BC7DA5" w:rsidRDefault="00931938" w:rsidP="00396B61">
            <w:pPr>
              <w:pStyle w:val="08-Tabelageral"/>
              <w:jc w:val="center"/>
              <w:rPr>
                <w:rFonts w:cs="Arial"/>
                <w:szCs w:val="14"/>
              </w:rPr>
            </w:pPr>
          </w:p>
        </w:tc>
        <w:tc>
          <w:tcPr>
            <w:tcW w:w="1411" w:type="dxa"/>
            <w:tcBorders>
              <w:top w:val="nil"/>
              <w:bottom w:val="nil"/>
            </w:tcBorders>
          </w:tcPr>
          <w:p w14:paraId="721DCF73" w14:textId="77777777" w:rsidR="00931938" w:rsidRPr="00666448" w:rsidRDefault="00931938" w:rsidP="00396B61">
            <w:pPr>
              <w:pStyle w:val="08-Tabelageral"/>
            </w:pPr>
            <w:r w:rsidRPr="00ED38A0">
              <w:t>58</w:t>
            </w:r>
            <w:r>
              <w:t>,</w:t>
            </w:r>
            <w:r w:rsidRPr="00ED38A0">
              <w:t>57</w:t>
            </w:r>
            <w:r>
              <w:t>6</w:t>
            </w:r>
          </w:p>
        </w:tc>
        <w:tc>
          <w:tcPr>
            <w:tcW w:w="1412" w:type="dxa"/>
            <w:tcBorders>
              <w:top w:val="nil"/>
              <w:bottom w:val="nil"/>
            </w:tcBorders>
          </w:tcPr>
          <w:p w14:paraId="7CAC5E58" w14:textId="77777777" w:rsidR="00931938" w:rsidRPr="00666448" w:rsidRDefault="00931938" w:rsidP="00396B61">
            <w:pPr>
              <w:pStyle w:val="08-Tabelageral"/>
            </w:pPr>
            <w:r>
              <w:t>368,889</w:t>
            </w:r>
          </w:p>
        </w:tc>
        <w:tc>
          <w:tcPr>
            <w:tcW w:w="283" w:type="dxa"/>
            <w:tcBorders>
              <w:top w:val="nil"/>
              <w:bottom w:val="nil"/>
            </w:tcBorders>
            <w:shd w:val="clear" w:color="auto" w:fill="auto"/>
            <w:vAlign w:val="center"/>
          </w:tcPr>
          <w:p w14:paraId="7BAC41A3" w14:textId="77777777" w:rsidR="00931938" w:rsidRPr="00BC7DA5" w:rsidRDefault="00931938" w:rsidP="00396B61">
            <w:pPr>
              <w:pStyle w:val="08-Tabelageral"/>
              <w:rPr>
                <w:rFonts w:cs="Arial"/>
                <w:szCs w:val="14"/>
              </w:rPr>
            </w:pPr>
          </w:p>
        </w:tc>
        <w:tc>
          <w:tcPr>
            <w:tcW w:w="1417" w:type="dxa"/>
            <w:tcBorders>
              <w:top w:val="nil"/>
              <w:bottom w:val="nil"/>
            </w:tcBorders>
          </w:tcPr>
          <w:p w14:paraId="1A5F0B2B" w14:textId="77777777" w:rsidR="00931938" w:rsidRPr="0057573E" w:rsidRDefault="00931938" w:rsidP="00396B61">
            <w:pPr>
              <w:pStyle w:val="08-Tabelageral"/>
            </w:pPr>
            <w:r w:rsidRPr="001A7BE6">
              <w:t>6</w:t>
            </w:r>
            <w:r>
              <w:t>,</w:t>
            </w:r>
            <w:r w:rsidRPr="001A7BE6">
              <w:t>073</w:t>
            </w:r>
            <w:r>
              <w:t>,</w:t>
            </w:r>
            <w:r w:rsidRPr="001A7BE6">
              <w:t>051</w:t>
            </w:r>
          </w:p>
        </w:tc>
        <w:tc>
          <w:tcPr>
            <w:tcW w:w="1418" w:type="dxa"/>
            <w:tcBorders>
              <w:top w:val="nil"/>
              <w:bottom w:val="nil"/>
            </w:tcBorders>
          </w:tcPr>
          <w:p w14:paraId="4B3C3B53" w14:textId="77777777" w:rsidR="00931938" w:rsidRPr="0057573E" w:rsidRDefault="00931938" w:rsidP="00396B61">
            <w:pPr>
              <w:pStyle w:val="08-Tabelageral"/>
            </w:pPr>
            <w:r>
              <w:t>4,086,952</w:t>
            </w:r>
          </w:p>
        </w:tc>
      </w:tr>
      <w:tr w:rsidR="00931938" w:rsidRPr="00BC7DA5" w14:paraId="3CE76843" w14:textId="77777777" w:rsidTr="00AB4D1D">
        <w:trPr>
          <w:trHeight w:val="238"/>
          <w:jc w:val="center"/>
        </w:trPr>
        <w:tc>
          <w:tcPr>
            <w:tcW w:w="3261" w:type="dxa"/>
            <w:tcBorders>
              <w:top w:val="nil"/>
              <w:bottom w:val="single" w:sz="4" w:space="0" w:color="1F4E79" w:themeColor="accent1" w:themeShade="80"/>
            </w:tcBorders>
            <w:shd w:val="clear" w:color="auto" w:fill="auto"/>
          </w:tcPr>
          <w:p w14:paraId="439E939C" w14:textId="77777777" w:rsidR="00931938" w:rsidRPr="0091717A" w:rsidRDefault="00931938" w:rsidP="00396B61">
            <w:pPr>
              <w:pStyle w:val="08-Tabelageral"/>
              <w:jc w:val="left"/>
              <w:rPr>
                <w:b/>
              </w:rPr>
            </w:pPr>
            <w:r w:rsidRPr="0091717A">
              <w:rPr>
                <w:b/>
              </w:rPr>
              <w:t xml:space="preserve">Total </w:t>
            </w:r>
          </w:p>
        </w:tc>
        <w:tc>
          <w:tcPr>
            <w:tcW w:w="437" w:type="dxa"/>
            <w:tcBorders>
              <w:top w:val="nil"/>
              <w:bottom w:val="single" w:sz="4" w:space="0" w:color="1F4E79" w:themeColor="accent1" w:themeShade="80"/>
            </w:tcBorders>
            <w:shd w:val="clear" w:color="auto" w:fill="auto"/>
          </w:tcPr>
          <w:p w14:paraId="359196F2" w14:textId="77777777" w:rsidR="00931938" w:rsidRPr="00BC7DA5" w:rsidRDefault="00931938" w:rsidP="00396B61">
            <w:pPr>
              <w:pStyle w:val="08-Tabelageral"/>
              <w:jc w:val="center"/>
              <w:rPr>
                <w:rFonts w:cs="Arial"/>
                <w:szCs w:val="14"/>
              </w:rPr>
            </w:pPr>
          </w:p>
        </w:tc>
        <w:tc>
          <w:tcPr>
            <w:tcW w:w="1411" w:type="dxa"/>
            <w:tcBorders>
              <w:top w:val="nil"/>
              <w:bottom w:val="single" w:sz="4" w:space="0" w:color="1F4E79" w:themeColor="accent1" w:themeShade="80"/>
            </w:tcBorders>
          </w:tcPr>
          <w:p w14:paraId="2D58A280" w14:textId="77777777" w:rsidR="00931938" w:rsidRPr="002D2193" w:rsidRDefault="00931938" w:rsidP="00396B61">
            <w:pPr>
              <w:pStyle w:val="08-Tabelageral"/>
              <w:rPr>
                <w:b/>
              </w:rPr>
            </w:pPr>
            <w:r w:rsidRPr="00ED38A0">
              <w:rPr>
                <w:b/>
                <w:bCs/>
              </w:rPr>
              <w:t>59</w:t>
            </w:r>
            <w:r>
              <w:rPr>
                <w:b/>
                <w:bCs/>
              </w:rPr>
              <w:t>,</w:t>
            </w:r>
            <w:r w:rsidRPr="00ED38A0">
              <w:rPr>
                <w:b/>
                <w:bCs/>
              </w:rPr>
              <w:t>00</w:t>
            </w:r>
            <w:r>
              <w:rPr>
                <w:b/>
                <w:bCs/>
              </w:rPr>
              <w:t>3</w:t>
            </w:r>
          </w:p>
        </w:tc>
        <w:tc>
          <w:tcPr>
            <w:tcW w:w="1412" w:type="dxa"/>
            <w:tcBorders>
              <w:top w:val="nil"/>
              <w:bottom w:val="single" w:sz="4" w:space="0" w:color="1F4E79" w:themeColor="accent1" w:themeShade="80"/>
            </w:tcBorders>
          </w:tcPr>
          <w:p w14:paraId="3C5EC125" w14:textId="77777777" w:rsidR="00931938" w:rsidRPr="0091717A" w:rsidRDefault="00931938" w:rsidP="00396B61">
            <w:pPr>
              <w:pStyle w:val="08-Tabelageral"/>
              <w:rPr>
                <w:b/>
              </w:rPr>
            </w:pPr>
            <w:r>
              <w:rPr>
                <w:b/>
              </w:rPr>
              <w:t>369,342</w:t>
            </w:r>
          </w:p>
        </w:tc>
        <w:tc>
          <w:tcPr>
            <w:tcW w:w="283" w:type="dxa"/>
            <w:tcBorders>
              <w:top w:val="nil"/>
              <w:bottom w:val="single" w:sz="4" w:space="0" w:color="1F4E79" w:themeColor="accent1" w:themeShade="80"/>
            </w:tcBorders>
            <w:shd w:val="clear" w:color="auto" w:fill="auto"/>
            <w:vAlign w:val="center"/>
          </w:tcPr>
          <w:p w14:paraId="1A248E92" w14:textId="77777777" w:rsidR="00931938" w:rsidRPr="00BC7DA5" w:rsidRDefault="00931938" w:rsidP="00396B61">
            <w:pPr>
              <w:pStyle w:val="08-Tabelageral"/>
              <w:rPr>
                <w:rFonts w:cs="Arial"/>
                <w:szCs w:val="14"/>
              </w:rPr>
            </w:pPr>
          </w:p>
        </w:tc>
        <w:tc>
          <w:tcPr>
            <w:tcW w:w="1417" w:type="dxa"/>
            <w:tcBorders>
              <w:top w:val="nil"/>
              <w:bottom w:val="single" w:sz="4" w:space="0" w:color="1F4E79" w:themeColor="accent1" w:themeShade="80"/>
            </w:tcBorders>
          </w:tcPr>
          <w:p w14:paraId="077E409F" w14:textId="77777777" w:rsidR="00931938" w:rsidRPr="002D2193" w:rsidRDefault="00931938" w:rsidP="00396B61">
            <w:pPr>
              <w:pStyle w:val="08-Tabelageral"/>
              <w:rPr>
                <w:b/>
              </w:rPr>
            </w:pPr>
            <w:r w:rsidRPr="00ED38A0">
              <w:rPr>
                <w:b/>
                <w:bCs/>
              </w:rPr>
              <w:t>6</w:t>
            </w:r>
            <w:r>
              <w:rPr>
                <w:b/>
                <w:bCs/>
              </w:rPr>
              <w:t>,</w:t>
            </w:r>
            <w:r w:rsidRPr="00ED38A0">
              <w:rPr>
                <w:b/>
                <w:bCs/>
              </w:rPr>
              <w:t>076</w:t>
            </w:r>
            <w:r>
              <w:rPr>
                <w:b/>
                <w:bCs/>
              </w:rPr>
              <w:t>,</w:t>
            </w:r>
            <w:r w:rsidRPr="00ED38A0">
              <w:rPr>
                <w:b/>
                <w:bCs/>
              </w:rPr>
              <w:t>618</w:t>
            </w:r>
          </w:p>
        </w:tc>
        <w:tc>
          <w:tcPr>
            <w:tcW w:w="1418" w:type="dxa"/>
            <w:tcBorders>
              <w:top w:val="nil"/>
              <w:bottom w:val="single" w:sz="4" w:space="0" w:color="1F4E79" w:themeColor="accent1" w:themeShade="80"/>
            </w:tcBorders>
          </w:tcPr>
          <w:p w14:paraId="1181D57A" w14:textId="77777777" w:rsidR="00931938" w:rsidRPr="0091717A" w:rsidRDefault="00931938" w:rsidP="00396B61">
            <w:pPr>
              <w:pStyle w:val="08-Tabelageral"/>
              <w:rPr>
                <w:b/>
              </w:rPr>
            </w:pPr>
            <w:r>
              <w:rPr>
                <w:b/>
              </w:rPr>
              <w:t>4,090,561</w:t>
            </w:r>
          </w:p>
        </w:tc>
      </w:tr>
    </w:tbl>
    <w:p w14:paraId="14979BFF" w14:textId="77777777" w:rsidR="00931938" w:rsidRPr="00396B61" w:rsidRDefault="00931938" w:rsidP="00931938">
      <w:pPr>
        <w:pStyle w:val="07-Legenda"/>
        <w:numPr>
          <w:ilvl w:val="0"/>
          <w:numId w:val="6"/>
        </w:numPr>
        <w:tabs>
          <w:tab w:val="left" w:pos="0"/>
        </w:tabs>
        <w:ind w:left="284" w:hanging="284"/>
        <w:rPr>
          <w:rFonts w:cs="Arial"/>
          <w:snapToGrid w:val="0"/>
          <w:lang w:val="en-US"/>
        </w:rPr>
      </w:pPr>
      <w:r w:rsidRPr="00396B61">
        <w:rPr>
          <w:rFonts w:cs="Arial"/>
          <w:snapToGrid w:val="0"/>
          <w:lang w:val="en-US"/>
        </w:rPr>
        <w:t xml:space="preserve">Refers to investments in repurchase agréments with Banco do Brasil S.A., backed by federal govermment securities with daily liquidity and insignificante risk of change in fair value. </w:t>
      </w:r>
    </w:p>
    <w:p w14:paraId="17484E52" w14:textId="77777777" w:rsidR="00931938" w:rsidRPr="00396B61" w:rsidRDefault="00931938" w:rsidP="00E34B9D">
      <w:pPr>
        <w:pStyle w:val="05-Textonormal"/>
        <w:rPr>
          <w:lang w:val="en-US"/>
        </w:rPr>
      </w:pPr>
      <w:r w:rsidRPr="00E34B9D">
        <w:rPr>
          <w:lang w:val="en-US"/>
        </w:rPr>
        <w:t>Financial investments in committed operations are categorized as financial assets at fair value through profit or loss.</w:t>
      </w:r>
    </w:p>
    <w:p w14:paraId="020F6E3B" w14:textId="74BE3D11" w:rsidR="00931938" w:rsidRPr="0085406F" w:rsidRDefault="00931938" w:rsidP="00FC4475">
      <w:pPr>
        <w:pStyle w:val="Ttulo1"/>
      </w:pPr>
      <w:bookmarkStart w:id="48" w:name="_Toc126781107"/>
      <w:bookmarkStart w:id="49" w:name="OLE_LINK9"/>
      <w:r w:rsidRPr="00AB4D1D">
        <w:t>16 – FINANCIAL INSTRUMENTS</w:t>
      </w:r>
      <w:bookmarkEnd w:id="48"/>
      <w:r w:rsidRPr="00872C21">
        <w:t xml:space="preserve"> </w:t>
      </w:r>
    </w:p>
    <w:p w14:paraId="25048FD2" w14:textId="77777777" w:rsidR="00931938" w:rsidRPr="00D5372A" w:rsidRDefault="00931938" w:rsidP="00931938">
      <w:pPr>
        <w:pStyle w:val="05-Textonormal"/>
        <w:numPr>
          <w:ilvl w:val="0"/>
          <w:numId w:val="7"/>
        </w:numPr>
        <w:rPr>
          <w:b/>
          <w:color w:val="1F4E79" w:themeColor="accent1" w:themeShade="80"/>
          <w:lang w:val="en-US"/>
        </w:rPr>
      </w:pPr>
      <w:r w:rsidRPr="00D5372A">
        <w:rPr>
          <w:b/>
          <w:color w:val="1F4E79" w:themeColor="accent1" w:themeShade="80"/>
          <w:lang w:val="en-US"/>
        </w:rPr>
        <w:t xml:space="preserve">Financial Assests at Fair Value through Profit or Loss </w:t>
      </w:r>
    </w:p>
    <w:p w14:paraId="3B0E4295" w14:textId="77777777" w:rsidR="00931938" w:rsidRDefault="00931938" w:rsidP="00636D03">
      <w:pPr>
        <w:pStyle w:val="08-Tabelageral"/>
        <w:spacing w:before="0" w:after="0"/>
        <w:rPr>
          <w:rFonts w:cs="Arial"/>
        </w:rPr>
      </w:pPr>
      <w:r w:rsidRPr="00ED0236">
        <w:rPr>
          <w:rFonts w:cs="Arial"/>
          <w:b/>
          <w:szCs w:val="14"/>
        </w:rPr>
        <w:t xml:space="preserve">R$ </w:t>
      </w:r>
      <w:r>
        <w:rPr>
          <w:rFonts w:cs="Arial"/>
          <w:b/>
          <w:szCs w:val="14"/>
        </w:rPr>
        <w:t>thousand</w:t>
      </w:r>
    </w:p>
    <w:tbl>
      <w:tblPr>
        <w:tblW w:w="9639" w:type="dxa"/>
        <w:jc w:val="center"/>
        <w:tblLayout w:type="fixed"/>
        <w:tblLook w:val="04A0" w:firstRow="1" w:lastRow="0" w:firstColumn="1" w:lastColumn="0" w:noHBand="0" w:noVBand="1"/>
      </w:tblPr>
      <w:tblGrid>
        <w:gridCol w:w="2268"/>
        <w:gridCol w:w="993"/>
        <w:gridCol w:w="992"/>
        <w:gridCol w:w="1134"/>
        <w:gridCol w:w="1134"/>
        <w:gridCol w:w="1134"/>
        <w:gridCol w:w="992"/>
        <w:gridCol w:w="992"/>
      </w:tblGrid>
      <w:tr w:rsidR="00931938" w:rsidRPr="00F80522" w14:paraId="77F7B2C8" w14:textId="77777777" w:rsidTr="00AB4D1D">
        <w:trPr>
          <w:trHeight w:val="238"/>
          <w:jc w:val="center"/>
        </w:trPr>
        <w:tc>
          <w:tcPr>
            <w:tcW w:w="2268" w:type="dxa"/>
            <w:tcBorders>
              <w:top w:val="single" w:sz="2" w:space="0" w:color="1F4E79" w:themeColor="accent1" w:themeShade="80"/>
            </w:tcBorders>
            <w:shd w:val="clear" w:color="auto" w:fill="auto"/>
          </w:tcPr>
          <w:p w14:paraId="2D1D3010" w14:textId="77777777" w:rsidR="00931938" w:rsidRPr="00F80522" w:rsidRDefault="00931938" w:rsidP="00CB3F38">
            <w:pPr>
              <w:spacing w:after="0"/>
              <w:jc w:val="center"/>
              <w:rPr>
                <w:rFonts w:cs="Arial"/>
                <w:b/>
                <w:sz w:val="14"/>
                <w:szCs w:val="14"/>
              </w:rPr>
            </w:pPr>
          </w:p>
        </w:tc>
        <w:tc>
          <w:tcPr>
            <w:tcW w:w="7371" w:type="dxa"/>
            <w:gridSpan w:val="7"/>
            <w:tcBorders>
              <w:top w:val="single" w:sz="2" w:space="0" w:color="1F4E79" w:themeColor="accent1" w:themeShade="80"/>
              <w:bottom w:val="single" w:sz="2" w:space="0" w:color="1F4E79" w:themeColor="accent1" w:themeShade="80"/>
            </w:tcBorders>
            <w:shd w:val="clear" w:color="auto" w:fill="auto"/>
            <w:vAlign w:val="center"/>
          </w:tcPr>
          <w:p w14:paraId="53C998CC" w14:textId="77777777" w:rsidR="00931938" w:rsidRPr="00F80522" w:rsidRDefault="00931938" w:rsidP="00E12B62">
            <w:pPr>
              <w:pStyle w:val="08-Tabelageral"/>
              <w:jc w:val="center"/>
              <w:rPr>
                <w:rFonts w:cs="Arial"/>
                <w:b/>
                <w:szCs w:val="14"/>
              </w:rPr>
            </w:pPr>
            <w:r>
              <w:rPr>
                <w:rFonts w:cs="Arial"/>
                <w:b/>
                <w:szCs w:val="14"/>
              </w:rPr>
              <w:t>Parent</w:t>
            </w:r>
          </w:p>
        </w:tc>
      </w:tr>
      <w:tr w:rsidR="00931938" w:rsidRPr="00F80522" w14:paraId="1619337C" w14:textId="77777777" w:rsidTr="00AB4D1D">
        <w:trPr>
          <w:trHeight w:val="238"/>
          <w:jc w:val="center"/>
        </w:trPr>
        <w:tc>
          <w:tcPr>
            <w:tcW w:w="2268" w:type="dxa"/>
            <w:shd w:val="clear" w:color="auto" w:fill="auto"/>
          </w:tcPr>
          <w:p w14:paraId="74929957" w14:textId="77777777" w:rsidR="00931938" w:rsidRPr="00F80522" w:rsidRDefault="00931938" w:rsidP="00CB3F38">
            <w:pPr>
              <w:spacing w:after="0"/>
              <w:jc w:val="center"/>
              <w:rPr>
                <w:rFonts w:cs="Arial"/>
                <w:b/>
                <w:sz w:val="14"/>
                <w:szCs w:val="14"/>
              </w:rPr>
            </w:pPr>
          </w:p>
        </w:tc>
        <w:tc>
          <w:tcPr>
            <w:tcW w:w="1985" w:type="dxa"/>
            <w:gridSpan w:val="2"/>
            <w:tcBorders>
              <w:top w:val="single" w:sz="2" w:space="0" w:color="1F4E79" w:themeColor="accent1" w:themeShade="80"/>
              <w:bottom w:val="single" w:sz="2" w:space="0" w:color="1F4E79" w:themeColor="accent1" w:themeShade="80"/>
            </w:tcBorders>
            <w:shd w:val="clear" w:color="auto" w:fill="auto"/>
            <w:vAlign w:val="center"/>
          </w:tcPr>
          <w:p w14:paraId="37119405" w14:textId="77777777" w:rsidR="00931938" w:rsidRPr="00F80522" w:rsidRDefault="00931938" w:rsidP="00E10F78">
            <w:pPr>
              <w:spacing w:after="0"/>
              <w:jc w:val="center"/>
              <w:rPr>
                <w:rFonts w:cs="Arial"/>
                <w:b/>
                <w:sz w:val="14"/>
                <w:szCs w:val="14"/>
              </w:rPr>
            </w:pPr>
            <w:r>
              <w:rPr>
                <w:rFonts w:cs="Arial"/>
                <w:b/>
                <w:sz w:val="14"/>
                <w:szCs w:val="14"/>
              </w:rPr>
              <w:t xml:space="preserve">Dec 31, </w:t>
            </w:r>
            <w:r w:rsidRPr="00F80522">
              <w:rPr>
                <w:rFonts w:cs="Arial"/>
                <w:b/>
                <w:sz w:val="14"/>
                <w:szCs w:val="14"/>
              </w:rPr>
              <w:t>20</w:t>
            </w:r>
            <w:r>
              <w:rPr>
                <w:rFonts w:cs="Arial"/>
                <w:b/>
                <w:sz w:val="14"/>
                <w:szCs w:val="14"/>
              </w:rPr>
              <w:t>21</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38684F92" w14:textId="77777777" w:rsidR="00931938" w:rsidRPr="00F80522" w:rsidRDefault="00931938" w:rsidP="00F80522">
            <w:pPr>
              <w:spacing w:after="0"/>
              <w:jc w:val="center"/>
              <w:rPr>
                <w:rFonts w:cs="Arial"/>
                <w:b/>
                <w:sz w:val="14"/>
                <w:szCs w:val="14"/>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14C16005" w14:textId="77777777" w:rsidR="00931938" w:rsidRPr="00F80522" w:rsidRDefault="00931938" w:rsidP="00F80522">
            <w:pPr>
              <w:spacing w:after="0"/>
              <w:jc w:val="center"/>
              <w:rPr>
                <w:rFonts w:cs="Arial"/>
                <w:b/>
                <w:sz w:val="14"/>
                <w:szCs w:val="14"/>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598D5A56" w14:textId="77777777" w:rsidR="00931938" w:rsidRPr="00F80522" w:rsidRDefault="00931938" w:rsidP="00F80522">
            <w:pPr>
              <w:spacing w:after="0"/>
              <w:jc w:val="center"/>
              <w:rPr>
                <w:rFonts w:cs="Arial"/>
                <w:b/>
                <w:sz w:val="14"/>
                <w:szCs w:val="14"/>
              </w:rPr>
            </w:pPr>
          </w:p>
        </w:tc>
        <w:tc>
          <w:tcPr>
            <w:tcW w:w="1984" w:type="dxa"/>
            <w:gridSpan w:val="2"/>
            <w:tcBorders>
              <w:top w:val="single" w:sz="2" w:space="0" w:color="1F4E79" w:themeColor="accent1" w:themeShade="80"/>
              <w:bottom w:val="single" w:sz="2" w:space="0" w:color="1F4E79" w:themeColor="accent1" w:themeShade="80"/>
            </w:tcBorders>
            <w:shd w:val="clear" w:color="auto" w:fill="auto"/>
            <w:vAlign w:val="center"/>
          </w:tcPr>
          <w:p w14:paraId="1ECF69C3" w14:textId="77777777" w:rsidR="00931938" w:rsidRPr="00F80522" w:rsidRDefault="00931938" w:rsidP="003E0092">
            <w:pPr>
              <w:spacing w:after="0"/>
              <w:jc w:val="center"/>
              <w:rPr>
                <w:rFonts w:cs="Arial"/>
                <w:b/>
                <w:sz w:val="14"/>
                <w:szCs w:val="14"/>
              </w:rPr>
            </w:pPr>
            <w:r>
              <w:rPr>
                <w:rFonts w:cs="Arial"/>
                <w:b/>
                <w:sz w:val="14"/>
                <w:szCs w:val="14"/>
              </w:rPr>
              <w:t xml:space="preserve">Dec </w:t>
            </w:r>
            <w:r w:rsidRPr="00F80522">
              <w:rPr>
                <w:rFonts w:cs="Arial"/>
                <w:b/>
                <w:sz w:val="14"/>
                <w:szCs w:val="14"/>
              </w:rPr>
              <w:t>3</w:t>
            </w:r>
            <w:r>
              <w:rPr>
                <w:rFonts w:cs="Arial"/>
                <w:b/>
                <w:sz w:val="14"/>
                <w:szCs w:val="14"/>
              </w:rPr>
              <w:t xml:space="preserve">1, </w:t>
            </w:r>
            <w:r w:rsidRPr="00F80522">
              <w:rPr>
                <w:rFonts w:cs="Arial"/>
                <w:b/>
                <w:sz w:val="14"/>
                <w:szCs w:val="14"/>
              </w:rPr>
              <w:t>202</w:t>
            </w:r>
            <w:r>
              <w:rPr>
                <w:rFonts w:cs="Arial"/>
                <w:b/>
                <w:sz w:val="14"/>
                <w:szCs w:val="14"/>
              </w:rPr>
              <w:t>2</w:t>
            </w:r>
          </w:p>
        </w:tc>
      </w:tr>
      <w:tr w:rsidR="00931938" w:rsidRPr="00F80522" w14:paraId="05017A2A" w14:textId="77777777" w:rsidTr="00AB4D1D">
        <w:trPr>
          <w:trHeight w:val="238"/>
          <w:jc w:val="center"/>
        </w:trPr>
        <w:tc>
          <w:tcPr>
            <w:tcW w:w="2268" w:type="dxa"/>
            <w:tcBorders>
              <w:bottom w:val="single" w:sz="2" w:space="0" w:color="1F4E79" w:themeColor="accent1" w:themeShade="80"/>
            </w:tcBorders>
            <w:shd w:val="clear" w:color="auto" w:fill="auto"/>
          </w:tcPr>
          <w:p w14:paraId="5FD8E720" w14:textId="77777777" w:rsidR="00931938" w:rsidRPr="00F80522" w:rsidRDefault="00931938" w:rsidP="005F4702">
            <w:pPr>
              <w:spacing w:after="0"/>
              <w:jc w:val="center"/>
              <w:rPr>
                <w:rFonts w:cs="Arial"/>
                <w:b/>
                <w:sz w:val="14"/>
                <w:szCs w:val="14"/>
              </w:rPr>
            </w:pP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1F27909E" w14:textId="77777777" w:rsidR="00931938" w:rsidRPr="00F80522" w:rsidRDefault="00931938" w:rsidP="00E12B62">
            <w:pPr>
              <w:spacing w:after="0"/>
              <w:jc w:val="center"/>
              <w:rPr>
                <w:rFonts w:cs="Arial"/>
                <w:b/>
                <w:sz w:val="14"/>
                <w:szCs w:val="14"/>
              </w:rPr>
            </w:pPr>
            <w:r>
              <w:rPr>
                <w:rFonts w:cs="Arial"/>
                <w:b/>
                <w:sz w:val="14"/>
                <w:szCs w:val="14"/>
              </w:rPr>
              <w:t>Cost Value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4BE3B6A5" w14:textId="77777777" w:rsidR="00931938" w:rsidRPr="00F80522" w:rsidRDefault="00931938" w:rsidP="005277F5">
            <w:pPr>
              <w:spacing w:after="0"/>
              <w:jc w:val="center"/>
              <w:rPr>
                <w:rFonts w:cs="Arial"/>
                <w:b/>
                <w:sz w:val="14"/>
                <w:szCs w:val="14"/>
              </w:rPr>
            </w:pPr>
            <w:r>
              <w:rPr>
                <w:rFonts w:cs="Arial"/>
                <w:b/>
                <w:sz w:val="14"/>
                <w:szCs w:val="14"/>
              </w:rPr>
              <w:t>Market Value</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79E2A916" w14:textId="77777777" w:rsidR="00931938" w:rsidRPr="00F80522" w:rsidRDefault="00931938" w:rsidP="00F80522">
            <w:pPr>
              <w:pStyle w:val="08-Tabelageral"/>
              <w:jc w:val="center"/>
              <w:rPr>
                <w:rFonts w:cs="Arial"/>
                <w:b/>
              </w:rPr>
            </w:pPr>
            <w:r w:rsidRPr="00E12B62">
              <w:rPr>
                <w:rFonts w:cs="Arial"/>
                <w:b/>
              </w:rPr>
              <w:t>Applications</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077DA655" w14:textId="77777777" w:rsidR="00931938" w:rsidRPr="00F80522" w:rsidRDefault="00931938" w:rsidP="00F80522">
            <w:pPr>
              <w:pStyle w:val="08-Tabelageral"/>
              <w:jc w:val="center"/>
              <w:rPr>
                <w:rFonts w:cs="Arial"/>
                <w:b/>
              </w:rPr>
            </w:pPr>
            <w:r w:rsidRPr="004071D8">
              <w:rPr>
                <w:rFonts w:cs="Arial"/>
                <w:b/>
              </w:rPr>
              <w:t>Redemptions</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7A62CFBC" w14:textId="77777777" w:rsidR="00931938" w:rsidRPr="00F80522" w:rsidRDefault="00931938" w:rsidP="004071D8">
            <w:pPr>
              <w:pStyle w:val="08-Tabelageral"/>
              <w:rPr>
                <w:rFonts w:cs="Arial"/>
                <w:b/>
              </w:rPr>
            </w:pPr>
            <w:r>
              <w:rPr>
                <w:rFonts w:cs="Arial"/>
                <w:b/>
              </w:rPr>
              <w:t>Yield</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3BC85CBA" w14:textId="77777777" w:rsidR="00931938" w:rsidRPr="00F80522" w:rsidRDefault="00931938" w:rsidP="00F80522">
            <w:pPr>
              <w:pStyle w:val="08-Tabelageral"/>
              <w:jc w:val="center"/>
              <w:rPr>
                <w:rFonts w:cs="Arial"/>
                <w:b/>
              </w:rPr>
            </w:pPr>
            <w:r>
              <w:rPr>
                <w:rFonts w:cs="Arial"/>
                <w:b/>
              </w:rPr>
              <w:t>Cost Value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109A281C" w14:textId="77777777" w:rsidR="00931938" w:rsidRPr="00F80522" w:rsidRDefault="00931938" w:rsidP="005277F5">
            <w:pPr>
              <w:pStyle w:val="08-Tabelageral"/>
              <w:jc w:val="center"/>
              <w:rPr>
                <w:rFonts w:cs="Arial"/>
                <w:b/>
              </w:rPr>
            </w:pPr>
            <w:r w:rsidRPr="004071D8">
              <w:rPr>
                <w:rFonts w:cs="Arial"/>
                <w:b/>
              </w:rPr>
              <w:t>Market Value</w:t>
            </w:r>
          </w:p>
        </w:tc>
      </w:tr>
      <w:tr w:rsidR="00931938" w:rsidRPr="00F80522" w14:paraId="45EFD220" w14:textId="77777777" w:rsidTr="00AB4D1D">
        <w:trPr>
          <w:trHeight w:val="238"/>
          <w:jc w:val="center"/>
        </w:trPr>
        <w:tc>
          <w:tcPr>
            <w:tcW w:w="2268" w:type="dxa"/>
            <w:tcBorders>
              <w:top w:val="single" w:sz="2" w:space="0" w:color="1F4E79" w:themeColor="accent1" w:themeShade="80"/>
            </w:tcBorders>
            <w:shd w:val="clear" w:color="auto" w:fill="auto"/>
          </w:tcPr>
          <w:p w14:paraId="24B85562" w14:textId="77777777" w:rsidR="00931938" w:rsidRPr="00F80522" w:rsidRDefault="00931938" w:rsidP="00D5372A">
            <w:pPr>
              <w:pStyle w:val="08-Tabelageral"/>
              <w:ind w:left="113"/>
              <w:jc w:val="left"/>
              <w:rPr>
                <w:szCs w:val="14"/>
              </w:rPr>
            </w:pPr>
            <w:r w:rsidRPr="004071D8">
              <w:rPr>
                <w:szCs w:val="14"/>
              </w:rPr>
              <w:t>Long-term fund</w:t>
            </w:r>
            <w:r w:rsidRPr="00F80522">
              <w:rPr>
                <w:szCs w:val="14"/>
              </w:rPr>
              <w:t xml:space="preserve"> </w:t>
            </w:r>
          </w:p>
        </w:tc>
        <w:tc>
          <w:tcPr>
            <w:tcW w:w="993" w:type="dxa"/>
            <w:tcBorders>
              <w:top w:val="nil"/>
              <w:left w:val="nil"/>
              <w:right w:val="nil"/>
            </w:tcBorders>
            <w:shd w:val="clear" w:color="auto" w:fill="auto"/>
            <w:vAlign w:val="bottom"/>
          </w:tcPr>
          <w:p w14:paraId="4EB045F3" w14:textId="77777777" w:rsidR="00931938" w:rsidRPr="00F80522" w:rsidRDefault="00931938" w:rsidP="00D5372A">
            <w:pPr>
              <w:pStyle w:val="08-Tabelageral"/>
              <w:rPr>
                <w:szCs w:val="14"/>
              </w:rPr>
            </w:pPr>
            <w:r>
              <w:rPr>
                <w:rFonts w:cs="Arial"/>
              </w:rPr>
              <w:t>7,328</w:t>
            </w:r>
          </w:p>
        </w:tc>
        <w:tc>
          <w:tcPr>
            <w:tcW w:w="992" w:type="dxa"/>
            <w:tcBorders>
              <w:top w:val="nil"/>
              <w:left w:val="nil"/>
              <w:right w:val="nil"/>
            </w:tcBorders>
            <w:shd w:val="clear" w:color="auto" w:fill="auto"/>
            <w:vAlign w:val="bottom"/>
          </w:tcPr>
          <w:p w14:paraId="5B7861B4" w14:textId="77777777" w:rsidR="00931938" w:rsidRPr="00F80522" w:rsidRDefault="00931938" w:rsidP="00D5372A">
            <w:pPr>
              <w:pStyle w:val="08-Tabelageral"/>
              <w:rPr>
                <w:szCs w:val="14"/>
              </w:rPr>
            </w:pPr>
            <w:r>
              <w:rPr>
                <w:rFonts w:cs="Arial"/>
              </w:rPr>
              <w:t>14,011</w:t>
            </w:r>
          </w:p>
        </w:tc>
        <w:tc>
          <w:tcPr>
            <w:tcW w:w="1134" w:type="dxa"/>
            <w:tcBorders>
              <w:top w:val="single" w:sz="2" w:space="0" w:color="1F4E79" w:themeColor="accent1" w:themeShade="80"/>
              <w:left w:val="nil"/>
              <w:bottom w:val="nil"/>
              <w:right w:val="nil"/>
            </w:tcBorders>
            <w:shd w:val="clear" w:color="auto" w:fill="auto"/>
            <w:vAlign w:val="bottom"/>
          </w:tcPr>
          <w:p w14:paraId="34491BD8" w14:textId="77777777" w:rsidR="00931938" w:rsidRPr="00F80522" w:rsidRDefault="00931938" w:rsidP="00D5372A">
            <w:pPr>
              <w:pStyle w:val="08-Tabelageral"/>
              <w:rPr>
                <w:szCs w:val="14"/>
              </w:rPr>
            </w:pPr>
            <w:r w:rsidRPr="00B3478F">
              <w:rPr>
                <w:rFonts w:cs="Arial"/>
              </w:rPr>
              <w:t>3</w:t>
            </w:r>
            <w:r>
              <w:rPr>
                <w:rFonts w:cs="Arial"/>
              </w:rPr>
              <w:t>,</w:t>
            </w:r>
            <w:r w:rsidRPr="00B3478F">
              <w:rPr>
                <w:rFonts w:cs="Arial"/>
              </w:rPr>
              <w:t>691</w:t>
            </w:r>
          </w:p>
        </w:tc>
        <w:tc>
          <w:tcPr>
            <w:tcW w:w="1134" w:type="dxa"/>
            <w:tcBorders>
              <w:top w:val="single" w:sz="2" w:space="0" w:color="1F4E79" w:themeColor="accent1" w:themeShade="80"/>
              <w:left w:val="nil"/>
              <w:bottom w:val="nil"/>
              <w:right w:val="nil"/>
            </w:tcBorders>
            <w:shd w:val="clear" w:color="auto" w:fill="auto"/>
          </w:tcPr>
          <w:p w14:paraId="73BE050F" w14:textId="77777777" w:rsidR="00931938" w:rsidRPr="00F80522" w:rsidRDefault="00931938" w:rsidP="00D5372A">
            <w:pPr>
              <w:pStyle w:val="08-Tabelageral"/>
              <w:rPr>
                <w:szCs w:val="14"/>
              </w:rPr>
            </w:pPr>
            <w:r w:rsidRPr="00B3478F">
              <w:rPr>
                <w:rFonts w:cs="Arial"/>
              </w:rPr>
              <w:t>447</w:t>
            </w:r>
          </w:p>
        </w:tc>
        <w:tc>
          <w:tcPr>
            <w:tcW w:w="1134" w:type="dxa"/>
            <w:tcBorders>
              <w:top w:val="single" w:sz="2" w:space="0" w:color="1F4E79" w:themeColor="accent1" w:themeShade="80"/>
              <w:left w:val="nil"/>
              <w:bottom w:val="nil"/>
              <w:right w:val="nil"/>
            </w:tcBorders>
            <w:shd w:val="clear" w:color="auto" w:fill="auto"/>
            <w:vAlign w:val="bottom"/>
          </w:tcPr>
          <w:p w14:paraId="5BD4F740" w14:textId="77777777" w:rsidR="00931938" w:rsidRPr="00F80522" w:rsidRDefault="00931938" w:rsidP="00D5372A">
            <w:pPr>
              <w:pStyle w:val="08-Tabelageral"/>
              <w:rPr>
                <w:rFonts w:cs="Arial"/>
                <w:szCs w:val="14"/>
              </w:rPr>
            </w:pPr>
            <w:r w:rsidRPr="00B3478F">
              <w:rPr>
                <w:rFonts w:cs="Arial"/>
              </w:rPr>
              <w:t>809</w:t>
            </w:r>
          </w:p>
        </w:tc>
        <w:tc>
          <w:tcPr>
            <w:tcW w:w="992" w:type="dxa"/>
            <w:tcBorders>
              <w:top w:val="single" w:sz="2" w:space="0" w:color="1F4E79" w:themeColor="accent1" w:themeShade="80"/>
              <w:left w:val="nil"/>
              <w:bottom w:val="nil"/>
              <w:right w:val="nil"/>
            </w:tcBorders>
            <w:shd w:val="clear" w:color="auto" w:fill="auto"/>
            <w:vAlign w:val="bottom"/>
          </w:tcPr>
          <w:p w14:paraId="141E342F" w14:textId="77777777" w:rsidR="00931938" w:rsidRPr="00F80522" w:rsidRDefault="00931938" w:rsidP="00D5372A">
            <w:pPr>
              <w:pStyle w:val="08-Tabelageral"/>
              <w:rPr>
                <w:szCs w:val="14"/>
              </w:rPr>
            </w:pPr>
            <w:r w:rsidRPr="00B3478F">
              <w:rPr>
                <w:rFonts w:cs="Arial"/>
                <w:color w:val="000000"/>
              </w:rPr>
              <w:t>10</w:t>
            </w:r>
            <w:r>
              <w:rPr>
                <w:rFonts w:cs="Arial"/>
                <w:color w:val="000000"/>
              </w:rPr>
              <w:t>,</w:t>
            </w:r>
            <w:r w:rsidRPr="00B3478F">
              <w:rPr>
                <w:rFonts w:cs="Arial"/>
                <w:color w:val="000000"/>
              </w:rPr>
              <w:t>572</w:t>
            </w:r>
          </w:p>
        </w:tc>
        <w:tc>
          <w:tcPr>
            <w:tcW w:w="992" w:type="dxa"/>
            <w:tcBorders>
              <w:top w:val="single" w:sz="2" w:space="0" w:color="1F4E79" w:themeColor="accent1" w:themeShade="80"/>
              <w:left w:val="nil"/>
              <w:bottom w:val="nil"/>
              <w:right w:val="nil"/>
            </w:tcBorders>
            <w:shd w:val="clear" w:color="auto" w:fill="auto"/>
            <w:vAlign w:val="bottom"/>
          </w:tcPr>
          <w:p w14:paraId="65C4B20F" w14:textId="77777777" w:rsidR="00931938" w:rsidRPr="00F80522" w:rsidRDefault="00931938" w:rsidP="00D5372A">
            <w:pPr>
              <w:pStyle w:val="08-Tabelageral"/>
              <w:rPr>
                <w:szCs w:val="14"/>
              </w:rPr>
            </w:pPr>
            <w:r w:rsidRPr="002A2F48">
              <w:rPr>
                <w:rFonts w:cs="Arial"/>
              </w:rPr>
              <w:t>18</w:t>
            </w:r>
            <w:r>
              <w:rPr>
                <w:rFonts w:cs="Arial"/>
              </w:rPr>
              <w:t>,</w:t>
            </w:r>
            <w:r w:rsidRPr="002A2F48">
              <w:rPr>
                <w:rFonts w:cs="Arial"/>
              </w:rPr>
              <w:t>064</w:t>
            </w:r>
          </w:p>
        </w:tc>
      </w:tr>
      <w:tr w:rsidR="00931938" w:rsidRPr="00F80522" w14:paraId="48767D2E" w14:textId="77777777" w:rsidTr="00AB4D1D">
        <w:trPr>
          <w:trHeight w:val="238"/>
          <w:jc w:val="center"/>
        </w:trPr>
        <w:tc>
          <w:tcPr>
            <w:tcW w:w="2268" w:type="dxa"/>
            <w:tcBorders>
              <w:bottom w:val="single" w:sz="2" w:space="0" w:color="1F4E79" w:themeColor="accent1" w:themeShade="80"/>
            </w:tcBorders>
            <w:shd w:val="clear" w:color="auto" w:fill="auto"/>
          </w:tcPr>
          <w:p w14:paraId="1C5CE5F3" w14:textId="77777777" w:rsidR="00931938" w:rsidRPr="00F80522" w:rsidRDefault="00931938" w:rsidP="00D5372A">
            <w:pPr>
              <w:pStyle w:val="08-Tabelageral"/>
              <w:jc w:val="left"/>
              <w:rPr>
                <w:b/>
                <w:szCs w:val="14"/>
              </w:rPr>
            </w:pPr>
            <w:r w:rsidRPr="00F80522">
              <w:rPr>
                <w:b/>
                <w:szCs w:val="14"/>
              </w:rPr>
              <w:t xml:space="preserve">Total </w:t>
            </w:r>
          </w:p>
        </w:tc>
        <w:tc>
          <w:tcPr>
            <w:tcW w:w="993" w:type="dxa"/>
            <w:tcBorders>
              <w:top w:val="nil"/>
              <w:left w:val="nil"/>
              <w:bottom w:val="single" w:sz="4" w:space="0" w:color="1F4E79" w:themeColor="accent1" w:themeShade="80"/>
              <w:right w:val="nil"/>
            </w:tcBorders>
            <w:shd w:val="clear" w:color="auto" w:fill="auto"/>
            <w:vAlign w:val="bottom"/>
          </w:tcPr>
          <w:p w14:paraId="32EE6A54" w14:textId="77777777" w:rsidR="00931938" w:rsidRPr="00F80522" w:rsidRDefault="00931938" w:rsidP="00D5372A">
            <w:pPr>
              <w:pStyle w:val="08-Tabelageral"/>
              <w:rPr>
                <w:b/>
                <w:szCs w:val="14"/>
              </w:rPr>
            </w:pPr>
            <w:r>
              <w:rPr>
                <w:rFonts w:cs="Arial"/>
                <w:b/>
              </w:rPr>
              <w:t>7,328</w:t>
            </w:r>
          </w:p>
        </w:tc>
        <w:tc>
          <w:tcPr>
            <w:tcW w:w="992" w:type="dxa"/>
            <w:tcBorders>
              <w:top w:val="nil"/>
              <w:left w:val="nil"/>
              <w:bottom w:val="single" w:sz="4" w:space="0" w:color="1F4E79" w:themeColor="accent1" w:themeShade="80"/>
              <w:right w:val="nil"/>
            </w:tcBorders>
            <w:shd w:val="clear" w:color="auto" w:fill="auto"/>
            <w:vAlign w:val="bottom"/>
          </w:tcPr>
          <w:p w14:paraId="7F71E431" w14:textId="77777777" w:rsidR="00931938" w:rsidRPr="00F80522" w:rsidRDefault="00931938" w:rsidP="00D5372A">
            <w:pPr>
              <w:pStyle w:val="08-Tabelageral"/>
              <w:rPr>
                <w:b/>
                <w:szCs w:val="14"/>
              </w:rPr>
            </w:pPr>
            <w:r>
              <w:rPr>
                <w:rFonts w:cs="Arial"/>
                <w:b/>
              </w:rPr>
              <w:t>14,011</w:t>
            </w:r>
          </w:p>
        </w:tc>
        <w:tc>
          <w:tcPr>
            <w:tcW w:w="1134" w:type="dxa"/>
            <w:tcBorders>
              <w:top w:val="nil"/>
              <w:left w:val="nil"/>
              <w:bottom w:val="single" w:sz="2" w:space="0" w:color="1F4E79" w:themeColor="accent1" w:themeShade="80"/>
              <w:right w:val="nil"/>
            </w:tcBorders>
            <w:shd w:val="clear" w:color="auto" w:fill="auto"/>
            <w:vAlign w:val="bottom"/>
          </w:tcPr>
          <w:p w14:paraId="4F4C172C" w14:textId="77777777" w:rsidR="00931938" w:rsidRPr="00F80522" w:rsidRDefault="00931938" w:rsidP="00D5372A">
            <w:pPr>
              <w:pStyle w:val="08-Tabelageral"/>
              <w:rPr>
                <w:b/>
                <w:szCs w:val="14"/>
              </w:rPr>
            </w:pPr>
            <w:r w:rsidRPr="00B3478F">
              <w:rPr>
                <w:rFonts w:cs="Arial"/>
                <w:b/>
              </w:rPr>
              <w:t>3</w:t>
            </w:r>
            <w:r>
              <w:rPr>
                <w:rFonts w:cs="Arial"/>
                <w:b/>
              </w:rPr>
              <w:t>,</w:t>
            </w:r>
            <w:r w:rsidRPr="00B3478F">
              <w:rPr>
                <w:rFonts w:cs="Arial"/>
                <w:b/>
              </w:rPr>
              <w:t>691</w:t>
            </w:r>
          </w:p>
        </w:tc>
        <w:tc>
          <w:tcPr>
            <w:tcW w:w="1134" w:type="dxa"/>
            <w:tcBorders>
              <w:top w:val="nil"/>
              <w:left w:val="nil"/>
              <w:bottom w:val="single" w:sz="2" w:space="0" w:color="1F4E79" w:themeColor="accent1" w:themeShade="80"/>
              <w:right w:val="nil"/>
            </w:tcBorders>
            <w:shd w:val="clear" w:color="auto" w:fill="auto"/>
          </w:tcPr>
          <w:p w14:paraId="3521D810" w14:textId="77777777" w:rsidR="00931938" w:rsidRPr="00F80522" w:rsidRDefault="00931938" w:rsidP="00D5372A">
            <w:pPr>
              <w:pStyle w:val="08-Tabelageral"/>
              <w:rPr>
                <w:b/>
                <w:szCs w:val="14"/>
              </w:rPr>
            </w:pPr>
            <w:r w:rsidRPr="00B3478F">
              <w:rPr>
                <w:rFonts w:cs="Arial"/>
              </w:rPr>
              <w:t>447</w:t>
            </w:r>
          </w:p>
        </w:tc>
        <w:tc>
          <w:tcPr>
            <w:tcW w:w="1134" w:type="dxa"/>
            <w:tcBorders>
              <w:top w:val="nil"/>
              <w:left w:val="nil"/>
              <w:bottom w:val="single" w:sz="2" w:space="0" w:color="1F4E79" w:themeColor="accent1" w:themeShade="80"/>
              <w:right w:val="nil"/>
            </w:tcBorders>
            <w:shd w:val="clear" w:color="auto" w:fill="auto"/>
            <w:vAlign w:val="bottom"/>
          </w:tcPr>
          <w:p w14:paraId="6E6AB8EC" w14:textId="77777777" w:rsidR="00931938" w:rsidRPr="00F80522" w:rsidRDefault="00931938" w:rsidP="00D5372A">
            <w:pPr>
              <w:pStyle w:val="08-Tabelageral"/>
              <w:rPr>
                <w:rFonts w:cs="Arial"/>
                <w:b/>
                <w:szCs w:val="14"/>
              </w:rPr>
            </w:pPr>
            <w:r w:rsidRPr="00B3478F">
              <w:rPr>
                <w:rFonts w:cs="Arial"/>
                <w:b/>
              </w:rPr>
              <w:t>809</w:t>
            </w:r>
          </w:p>
        </w:tc>
        <w:tc>
          <w:tcPr>
            <w:tcW w:w="992" w:type="dxa"/>
            <w:tcBorders>
              <w:top w:val="nil"/>
              <w:left w:val="nil"/>
              <w:bottom w:val="single" w:sz="2" w:space="0" w:color="1F4E79" w:themeColor="accent1" w:themeShade="80"/>
              <w:right w:val="nil"/>
            </w:tcBorders>
            <w:shd w:val="clear" w:color="auto" w:fill="auto"/>
            <w:vAlign w:val="bottom"/>
          </w:tcPr>
          <w:p w14:paraId="0F453125" w14:textId="77777777" w:rsidR="00931938" w:rsidRPr="00F80522" w:rsidRDefault="00931938" w:rsidP="00D5372A">
            <w:pPr>
              <w:pStyle w:val="08-Tabelageral"/>
              <w:rPr>
                <w:b/>
                <w:szCs w:val="14"/>
              </w:rPr>
            </w:pPr>
            <w:r w:rsidRPr="00B3478F">
              <w:rPr>
                <w:rFonts w:cs="Arial"/>
                <w:b/>
                <w:bCs/>
                <w:color w:val="000000"/>
              </w:rPr>
              <w:t>10</w:t>
            </w:r>
            <w:r>
              <w:rPr>
                <w:rFonts w:cs="Arial"/>
                <w:b/>
                <w:bCs/>
                <w:color w:val="000000"/>
              </w:rPr>
              <w:t>,</w:t>
            </w:r>
            <w:r w:rsidRPr="00B3478F">
              <w:rPr>
                <w:rFonts w:cs="Arial"/>
                <w:b/>
                <w:bCs/>
                <w:color w:val="000000"/>
              </w:rPr>
              <w:t>572</w:t>
            </w:r>
          </w:p>
        </w:tc>
        <w:tc>
          <w:tcPr>
            <w:tcW w:w="992" w:type="dxa"/>
            <w:tcBorders>
              <w:top w:val="nil"/>
              <w:left w:val="nil"/>
              <w:bottom w:val="single" w:sz="2" w:space="0" w:color="1F4E79" w:themeColor="accent1" w:themeShade="80"/>
              <w:right w:val="nil"/>
            </w:tcBorders>
            <w:shd w:val="clear" w:color="auto" w:fill="auto"/>
            <w:vAlign w:val="bottom"/>
          </w:tcPr>
          <w:p w14:paraId="6C7B1235" w14:textId="77777777" w:rsidR="00931938" w:rsidRPr="00F80522" w:rsidRDefault="00931938" w:rsidP="00D5372A">
            <w:pPr>
              <w:pStyle w:val="08-Tabelageral"/>
              <w:rPr>
                <w:b/>
                <w:szCs w:val="14"/>
              </w:rPr>
            </w:pPr>
            <w:r w:rsidRPr="002A2F48">
              <w:rPr>
                <w:rFonts w:cs="Arial"/>
                <w:b/>
                <w:bCs/>
                <w:color w:val="000000"/>
              </w:rPr>
              <w:t>18</w:t>
            </w:r>
            <w:r>
              <w:rPr>
                <w:rFonts w:cs="Arial"/>
                <w:b/>
                <w:bCs/>
                <w:color w:val="000000"/>
              </w:rPr>
              <w:t>,</w:t>
            </w:r>
            <w:r w:rsidRPr="002A2F48">
              <w:rPr>
                <w:rFonts w:cs="Arial"/>
                <w:b/>
                <w:bCs/>
                <w:color w:val="000000"/>
              </w:rPr>
              <w:t>064</w:t>
            </w:r>
          </w:p>
        </w:tc>
      </w:tr>
    </w:tbl>
    <w:p w14:paraId="04AD265B" w14:textId="77777777" w:rsidR="00931938" w:rsidRDefault="00931938" w:rsidP="00500F56">
      <w:pPr>
        <w:pStyle w:val="08-Tabelageral"/>
        <w:rPr>
          <w:rFonts w:cs="Arial"/>
        </w:rPr>
      </w:pPr>
    </w:p>
    <w:p w14:paraId="01A51FF8" w14:textId="77777777" w:rsidR="00931938" w:rsidRDefault="00931938" w:rsidP="00500F56">
      <w:pPr>
        <w:pStyle w:val="08-Tabelageral"/>
        <w:rPr>
          <w:rFonts w:cs="Arial"/>
        </w:rPr>
      </w:pPr>
    </w:p>
    <w:p w14:paraId="36C81555" w14:textId="77777777" w:rsidR="00931938" w:rsidRDefault="00931938" w:rsidP="00500F56">
      <w:pPr>
        <w:pStyle w:val="08-Tabelageral"/>
        <w:rPr>
          <w:rFonts w:cs="Arial"/>
        </w:rPr>
      </w:pPr>
    </w:p>
    <w:p w14:paraId="34E7261D" w14:textId="77777777" w:rsidR="00931938" w:rsidRDefault="00931938" w:rsidP="00636D03">
      <w:pPr>
        <w:pStyle w:val="08-Tabelageral"/>
        <w:spacing w:before="0" w:after="0"/>
        <w:rPr>
          <w:rFonts w:cs="Arial"/>
        </w:rPr>
      </w:pPr>
      <w:r w:rsidRPr="00ED0236">
        <w:rPr>
          <w:rFonts w:cs="Arial"/>
          <w:b/>
          <w:szCs w:val="14"/>
        </w:rPr>
        <w:t xml:space="preserve">R$ </w:t>
      </w:r>
      <w:r>
        <w:rPr>
          <w:rFonts w:cs="Arial"/>
          <w:b/>
          <w:szCs w:val="14"/>
        </w:rPr>
        <w:t>thousand</w:t>
      </w:r>
    </w:p>
    <w:tbl>
      <w:tblPr>
        <w:tblW w:w="9639" w:type="dxa"/>
        <w:jc w:val="center"/>
        <w:tblLayout w:type="fixed"/>
        <w:tblLook w:val="04A0" w:firstRow="1" w:lastRow="0" w:firstColumn="1" w:lastColumn="0" w:noHBand="0" w:noVBand="1"/>
      </w:tblPr>
      <w:tblGrid>
        <w:gridCol w:w="2268"/>
        <w:gridCol w:w="993"/>
        <w:gridCol w:w="992"/>
        <w:gridCol w:w="1134"/>
        <w:gridCol w:w="1134"/>
        <w:gridCol w:w="1134"/>
        <w:gridCol w:w="992"/>
        <w:gridCol w:w="992"/>
      </w:tblGrid>
      <w:tr w:rsidR="00931938" w:rsidRPr="00F80522" w14:paraId="6FE8BBD0" w14:textId="77777777" w:rsidTr="00026F9F">
        <w:trPr>
          <w:trHeight w:val="238"/>
          <w:jc w:val="center"/>
        </w:trPr>
        <w:tc>
          <w:tcPr>
            <w:tcW w:w="2268" w:type="dxa"/>
            <w:tcBorders>
              <w:top w:val="single" w:sz="2" w:space="0" w:color="1F4E79" w:themeColor="accent1" w:themeShade="80"/>
            </w:tcBorders>
            <w:shd w:val="clear" w:color="auto" w:fill="auto"/>
          </w:tcPr>
          <w:p w14:paraId="22ADE960" w14:textId="77777777" w:rsidR="00931938" w:rsidRPr="00F80522" w:rsidRDefault="00931938" w:rsidP="00CB3F38">
            <w:pPr>
              <w:spacing w:after="0"/>
              <w:jc w:val="center"/>
              <w:rPr>
                <w:rFonts w:cs="Arial"/>
                <w:b/>
                <w:sz w:val="14"/>
                <w:szCs w:val="14"/>
              </w:rPr>
            </w:pPr>
          </w:p>
        </w:tc>
        <w:tc>
          <w:tcPr>
            <w:tcW w:w="7371" w:type="dxa"/>
            <w:gridSpan w:val="7"/>
            <w:tcBorders>
              <w:top w:val="single" w:sz="2" w:space="0" w:color="1F4E79" w:themeColor="accent1" w:themeShade="80"/>
              <w:bottom w:val="single" w:sz="2" w:space="0" w:color="1F4E79" w:themeColor="accent1" w:themeShade="80"/>
            </w:tcBorders>
            <w:shd w:val="clear" w:color="auto" w:fill="auto"/>
            <w:vAlign w:val="center"/>
          </w:tcPr>
          <w:p w14:paraId="04DEBC41" w14:textId="77777777" w:rsidR="00931938" w:rsidRPr="00F80522" w:rsidRDefault="00931938" w:rsidP="00F80522">
            <w:pPr>
              <w:pStyle w:val="08-Tabelageral"/>
              <w:jc w:val="center"/>
              <w:rPr>
                <w:rFonts w:cs="Arial"/>
                <w:b/>
                <w:szCs w:val="14"/>
              </w:rPr>
            </w:pPr>
            <w:r>
              <w:rPr>
                <w:b/>
              </w:rPr>
              <w:t>Consolidated</w:t>
            </w:r>
          </w:p>
        </w:tc>
      </w:tr>
      <w:tr w:rsidR="00931938" w:rsidRPr="00F80522" w14:paraId="61435052" w14:textId="77777777" w:rsidTr="00026F9F">
        <w:trPr>
          <w:trHeight w:val="238"/>
          <w:jc w:val="center"/>
        </w:trPr>
        <w:tc>
          <w:tcPr>
            <w:tcW w:w="2268" w:type="dxa"/>
            <w:shd w:val="clear" w:color="auto" w:fill="auto"/>
          </w:tcPr>
          <w:p w14:paraId="4E7A0F3A" w14:textId="77777777" w:rsidR="00931938" w:rsidRPr="00F80522" w:rsidRDefault="00931938" w:rsidP="00CB3F38">
            <w:pPr>
              <w:spacing w:after="0"/>
              <w:jc w:val="center"/>
              <w:rPr>
                <w:rFonts w:cs="Arial"/>
                <w:b/>
                <w:sz w:val="14"/>
                <w:szCs w:val="14"/>
              </w:rPr>
            </w:pPr>
          </w:p>
        </w:tc>
        <w:tc>
          <w:tcPr>
            <w:tcW w:w="1985" w:type="dxa"/>
            <w:gridSpan w:val="2"/>
            <w:tcBorders>
              <w:top w:val="single" w:sz="2" w:space="0" w:color="1F4E79" w:themeColor="accent1" w:themeShade="80"/>
              <w:bottom w:val="single" w:sz="2" w:space="0" w:color="1F4E79" w:themeColor="accent1" w:themeShade="80"/>
            </w:tcBorders>
            <w:shd w:val="clear" w:color="auto" w:fill="auto"/>
            <w:vAlign w:val="center"/>
          </w:tcPr>
          <w:p w14:paraId="3BA6F6DE" w14:textId="77777777" w:rsidR="00931938" w:rsidRPr="00F80522" w:rsidRDefault="00931938" w:rsidP="00E10F78">
            <w:pPr>
              <w:spacing w:after="0"/>
              <w:jc w:val="center"/>
              <w:rPr>
                <w:rFonts w:cs="Arial"/>
                <w:b/>
                <w:sz w:val="14"/>
                <w:szCs w:val="14"/>
              </w:rPr>
            </w:pPr>
            <w:r>
              <w:rPr>
                <w:rFonts w:cs="Arial"/>
                <w:b/>
                <w:sz w:val="14"/>
                <w:szCs w:val="14"/>
              </w:rPr>
              <w:t xml:space="preserve">Dec 31, </w:t>
            </w:r>
            <w:r w:rsidRPr="00F80522">
              <w:rPr>
                <w:rFonts w:cs="Arial"/>
                <w:b/>
                <w:sz w:val="14"/>
                <w:szCs w:val="14"/>
              </w:rPr>
              <w:t>20</w:t>
            </w:r>
            <w:r>
              <w:rPr>
                <w:rFonts w:cs="Arial"/>
                <w:b/>
                <w:sz w:val="14"/>
                <w:szCs w:val="14"/>
              </w:rPr>
              <w:t>21</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0F59717A" w14:textId="77777777" w:rsidR="00931938" w:rsidRPr="00F80522" w:rsidRDefault="00931938" w:rsidP="00F80522">
            <w:pPr>
              <w:spacing w:after="0"/>
              <w:jc w:val="center"/>
              <w:rPr>
                <w:rFonts w:cs="Arial"/>
                <w:b/>
                <w:sz w:val="14"/>
                <w:szCs w:val="14"/>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75630C17" w14:textId="77777777" w:rsidR="00931938" w:rsidRPr="00F80522" w:rsidRDefault="00931938" w:rsidP="00F80522">
            <w:pPr>
              <w:spacing w:after="0"/>
              <w:jc w:val="center"/>
              <w:rPr>
                <w:rFonts w:cs="Arial"/>
                <w:b/>
                <w:sz w:val="14"/>
                <w:szCs w:val="14"/>
              </w:rPr>
            </w:pP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73D3C617" w14:textId="77777777" w:rsidR="00931938" w:rsidRPr="00F80522" w:rsidRDefault="00931938" w:rsidP="00F80522">
            <w:pPr>
              <w:spacing w:after="0"/>
              <w:jc w:val="center"/>
              <w:rPr>
                <w:rFonts w:cs="Arial"/>
                <w:b/>
                <w:sz w:val="14"/>
                <w:szCs w:val="14"/>
              </w:rPr>
            </w:pPr>
          </w:p>
        </w:tc>
        <w:tc>
          <w:tcPr>
            <w:tcW w:w="1984" w:type="dxa"/>
            <w:gridSpan w:val="2"/>
            <w:tcBorders>
              <w:top w:val="single" w:sz="2" w:space="0" w:color="1F4E79" w:themeColor="accent1" w:themeShade="80"/>
              <w:bottom w:val="single" w:sz="2" w:space="0" w:color="1F4E79" w:themeColor="accent1" w:themeShade="80"/>
            </w:tcBorders>
            <w:shd w:val="clear" w:color="auto" w:fill="auto"/>
            <w:vAlign w:val="center"/>
          </w:tcPr>
          <w:p w14:paraId="1E634463" w14:textId="77777777" w:rsidR="00931938" w:rsidRPr="00F80522" w:rsidRDefault="00931938" w:rsidP="006C708A">
            <w:pPr>
              <w:spacing w:after="0"/>
              <w:jc w:val="center"/>
              <w:rPr>
                <w:rFonts w:cs="Arial"/>
                <w:b/>
                <w:sz w:val="14"/>
                <w:szCs w:val="14"/>
              </w:rPr>
            </w:pPr>
            <w:r>
              <w:rPr>
                <w:rFonts w:cs="Arial"/>
                <w:b/>
                <w:sz w:val="14"/>
                <w:szCs w:val="14"/>
              </w:rPr>
              <w:t xml:space="preserve">Dec </w:t>
            </w:r>
            <w:r w:rsidRPr="00F80522">
              <w:rPr>
                <w:rFonts w:cs="Arial"/>
                <w:b/>
                <w:sz w:val="14"/>
                <w:szCs w:val="14"/>
              </w:rPr>
              <w:t>3</w:t>
            </w:r>
            <w:r>
              <w:rPr>
                <w:rFonts w:cs="Arial"/>
                <w:b/>
                <w:sz w:val="14"/>
                <w:szCs w:val="14"/>
              </w:rPr>
              <w:t xml:space="preserve">1, </w:t>
            </w:r>
            <w:r w:rsidRPr="00F80522">
              <w:rPr>
                <w:rFonts w:cs="Arial"/>
                <w:b/>
                <w:sz w:val="14"/>
                <w:szCs w:val="14"/>
              </w:rPr>
              <w:t>202</w:t>
            </w:r>
            <w:r>
              <w:rPr>
                <w:rFonts w:cs="Arial"/>
                <w:b/>
                <w:sz w:val="14"/>
                <w:szCs w:val="14"/>
              </w:rPr>
              <w:t>2</w:t>
            </w:r>
          </w:p>
        </w:tc>
      </w:tr>
      <w:tr w:rsidR="00931938" w:rsidRPr="00F80522" w14:paraId="10828F17" w14:textId="77777777" w:rsidTr="00026F9F">
        <w:trPr>
          <w:trHeight w:val="238"/>
          <w:jc w:val="center"/>
        </w:trPr>
        <w:tc>
          <w:tcPr>
            <w:tcW w:w="2268" w:type="dxa"/>
            <w:tcBorders>
              <w:bottom w:val="single" w:sz="2" w:space="0" w:color="1F4E79" w:themeColor="accent1" w:themeShade="80"/>
            </w:tcBorders>
            <w:shd w:val="clear" w:color="auto" w:fill="auto"/>
          </w:tcPr>
          <w:p w14:paraId="6E6D4921" w14:textId="77777777" w:rsidR="00931938" w:rsidRPr="00F80522" w:rsidRDefault="00931938" w:rsidP="00FE6A97">
            <w:pPr>
              <w:spacing w:after="0"/>
              <w:jc w:val="center"/>
              <w:rPr>
                <w:rFonts w:cs="Arial"/>
                <w:b/>
                <w:sz w:val="14"/>
                <w:szCs w:val="14"/>
              </w:rPr>
            </w:pP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719B740A" w14:textId="77777777" w:rsidR="00931938" w:rsidRPr="00F80522" w:rsidRDefault="00931938" w:rsidP="00FE6A97">
            <w:pPr>
              <w:spacing w:after="0"/>
              <w:jc w:val="center"/>
              <w:rPr>
                <w:rFonts w:cs="Arial"/>
                <w:b/>
                <w:sz w:val="14"/>
                <w:szCs w:val="14"/>
              </w:rPr>
            </w:pPr>
            <w:r>
              <w:rPr>
                <w:rFonts w:cs="Arial"/>
                <w:b/>
                <w:sz w:val="14"/>
                <w:szCs w:val="14"/>
              </w:rPr>
              <w:t>Cost Value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73BFA9FA" w14:textId="77777777" w:rsidR="00931938" w:rsidRPr="00F80522" w:rsidRDefault="00931938" w:rsidP="005277F5">
            <w:pPr>
              <w:spacing w:after="0"/>
              <w:jc w:val="center"/>
              <w:rPr>
                <w:rFonts w:cs="Arial"/>
                <w:b/>
                <w:sz w:val="14"/>
                <w:szCs w:val="14"/>
              </w:rPr>
            </w:pPr>
            <w:r w:rsidRPr="00E12B62">
              <w:rPr>
                <w:rFonts w:cs="Arial"/>
                <w:b/>
                <w:sz w:val="14"/>
                <w:szCs w:val="14"/>
              </w:rPr>
              <w:t>Market Value</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1AE8CFE3" w14:textId="77777777" w:rsidR="00931938" w:rsidRPr="00F80522" w:rsidRDefault="00931938" w:rsidP="00FE6A97">
            <w:pPr>
              <w:pStyle w:val="08-Tabelageral"/>
              <w:jc w:val="center"/>
              <w:rPr>
                <w:rFonts w:cs="Arial"/>
                <w:b/>
              </w:rPr>
            </w:pPr>
            <w:r w:rsidRPr="00E12B62">
              <w:rPr>
                <w:rFonts w:cs="Arial"/>
                <w:b/>
              </w:rPr>
              <w:t>Applications</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707BF8E0" w14:textId="77777777" w:rsidR="00931938" w:rsidRPr="00F80522" w:rsidRDefault="00931938" w:rsidP="00FE6A97">
            <w:pPr>
              <w:pStyle w:val="08-Tabelageral"/>
              <w:jc w:val="center"/>
              <w:rPr>
                <w:rFonts w:cs="Arial"/>
                <w:b/>
              </w:rPr>
            </w:pPr>
            <w:r w:rsidRPr="004071D8">
              <w:rPr>
                <w:rFonts w:cs="Arial"/>
                <w:b/>
              </w:rPr>
              <w:t>Redemptions</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5F07992B" w14:textId="77777777" w:rsidR="00931938" w:rsidRPr="00F80522" w:rsidRDefault="00931938" w:rsidP="00FE6A97">
            <w:pPr>
              <w:pStyle w:val="08-Tabelageral"/>
              <w:rPr>
                <w:rFonts w:cs="Arial"/>
                <w:b/>
              </w:rPr>
            </w:pPr>
            <w:r>
              <w:rPr>
                <w:rFonts w:cs="Arial"/>
                <w:b/>
              </w:rPr>
              <w:t>Yield</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418BE0C3" w14:textId="77777777" w:rsidR="00931938" w:rsidRPr="00F80522" w:rsidRDefault="00931938" w:rsidP="00FE6A97">
            <w:pPr>
              <w:pStyle w:val="08-Tabelageral"/>
              <w:jc w:val="center"/>
              <w:rPr>
                <w:rFonts w:cs="Arial"/>
                <w:b/>
              </w:rPr>
            </w:pPr>
            <w:r>
              <w:rPr>
                <w:rFonts w:cs="Arial"/>
                <w:b/>
              </w:rPr>
              <w:t>Cost Value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2E3A6006" w14:textId="77777777" w:rsidR="00931938" w:rsidRPr="00F80522" w:rsidRDefault="00931938" w:rsidP="005277F5">
            <w:pPr>
              <w:pStyle w:val="08-Tabelageral"/>
              <w:jc w:val="center"/>
              <w:rPr>
                <w:rFonts w:cs="Arial"/>
                <w:b/>
              </w:rPr>
            </w:pPr>
            <w:r w:rsidRPr="004071D8">
              <w:rPr>
                <w:rFonts w:cs="Arial"/>
                <w:b/>
              </w:rPr>
              <w:t>Market Value</w:t>
            </w:r>
          </w:p>
        </w:tc>
      </w:tr>
      <w:tr w:rsidR="00931938" w:rsidRPr="00F80522" w14:paraId="2E2C5A91" w14:textId="77777777" w:rsidTr="00A64CAA">
        <w:trPr>
          <w:trHeight w:val="238"/>
          <w:jc w:val="center"/>
        </w:trPr>
        <w:tc>
          <w:tcPr>
            <w:tcW w:w="2268" w:type="dxa"/>
            <w:shd w:val="clear" w:color="auto" w:fill="auto"/>
          </w:tcPr>
          <w:p w14:paraId="7BB80EB6" w14:textId="77777777" w:rsidR="00931938" w:rsidRPr="00F80522" w:rsidRDefault="00931938" w:rsidP="00405D68">
            <w:pPr>
              <w:pStyle w:val="08-Tabelageral"/>
              <w:ind w:left="113"/>
              <w:jc w:val="left"/>
              <w:rPr>
                <w:szCs w:val="14"/>
              </w:rPr>
            </w:pPr>
            <w:bookmarkStart w:id="50" w:name="_Hlk126155154"/>
            <w:r>
              <w:rPr>
                <w:szCs w:val="14"/>
              </w:rPr>
              <w:t>TPF</w:t>
            </w:r>
            <w:r w:rsidRPr="00F80522">
              <w:rPr>
                <w:szCs w:val="14"/>
              </w:rPr>
              <w:t xml:space="preserve"> </w:t>
            </w:r>
            <w:r w:rsidRPr="00F80522">
              <w:rPr>
                <w:szCs w:val="14"/>
                <w:vertAlign w:val="superscript"/>
              </w:rPr>
              <w:t>(</w:t>
            </w:r>
            <w:r>
              <w:rPr>
                <w:szCs w:val="14"/>
                <w:vertAlign w:val="superscript"/>
              </w:rPr>
              <w:t>1</w:t>
            </w:r>
            <w:r w:rsidRPr="00F80522">
              <w:rPr>
                <w:szCs w:val="14"/>
                <w:vertAlign w:val="superscript"/>
              </w:rPr>
              <w:t>)</w:t>
            </w:r>
          </w:p>
        </w:tc>
        <w:tc>
          <w:tcPr>
            <w:tcW w:w="993" w:type="dxa"/>
            <w:tcBorders>
              <w:top w:val="single" w:sz="2" w:space="0" w:color="1F4E79" w:themeColor="accent1" w:themeShade="80"/>
              <w:left w:val="nil"/>
              <w:bottom w:val="nil"/>
              <w:right w:val="nil"/>
            </w:tcBorders>
            <w:shd w:val="clear" w:color="auto" w:fill="auto"/>
          </w:tcPr>
          <w:p w14:paraId="5F196682" w14:textId="77777777" w:rsidR="00931938" w:rsidRPr="00F80522" w:rsidRDefault="00931938" w:rsidP="00405D68">
            <w:pPr>
              <w:pStyle w:val="08-Tabelageral"/>
              <w:rPr>
                <w:szCs w:val="14"/>
              </w:rPr>
            </w:pPr>
            <w:r>
              <w:t>--</w:t>
            </w:r>
          </w:p>
        </w:tc>
        <w:tc>
          <w:tcPr>
            <w:tcW w:w="992" w:type="dxa"/>
            <w:tcBorders>
              <w:top w:val="single" w:sz="2" w:space="0" w:color="1F4E79" w:themeColor="accent1" w:themeShade="80"/>
              <w:left w:val="nil"/>
              <w:bottom w:val="nil"/>
              <w:right w:val="nil"/>
            </w:tcBorders>
            <w:shd w:val="clear" w:color="auto" w:fill="auto"/>
          </w:tcPr>
          <w:p w14:paraId="6C7E75F2" w14:textId="77777777" w:rsidR="00931938" w:rsidRPr="00F80522" w:rsidRDefault="00931938" w:rsidP="00405D68">
            <w:pPr>
              <w:pStyle w:val="08-Tabelageral"/>
              <w:rPr>
                <w:szCs w:val="14"/>
              </w:rPr>
            </w:pPr>
            <w:r>
              <w:rPr>
                <w:szCs w:val="14"/>
              </w:rPr>
              <w:t>--</w:t>
            </w:r>
          </w:p>
        </w:tc>
        <w:tc>
          <w:tcPr>
            <w:tcW w:w="1134" w:type="dxa"/>
            <w:tcBorders>
              <w:top w:val="single" w:sz="2" w:space="0" w:color="1F4E79" w:themeColor="accent1" w:themeShade="80"/>
              <w:left w:val="nil"/>
              <w:bottom w:val="nil"/>
              <w:right w:val="nil"/>
            </w:tcBorders>
            <w:shd w:val="clear" w:color="auto" w:fill="auto"/>
          </w:tcPr>
          <w:p w14:paraId="4A7FB442" w14:textId="77777777" w:rsidR="00931938" w:rsidRPr="00F80522" w:rsidRDefault="00931938" w:rsidP="00405D68">
            <w:pPr>
              <w:pStyle w:val="08-Tabelageral"/>
              <w:rPr>
                <w:szCs w:val="14"/>
              </w:rPr>
            </w:pPr>
            <w:r w:rsidRPr="005160FB">
              <w:t>347</w:t>
            </w:r>
            <w:r>
              <w:t>,</w:t>
            </w:r>
            <w:r w:rsidRPr="005160FB">
              <w:t>020</w:t>
            </w:r>
          </w:p>
        </w:tc>
        <w:tc>
          <w:tcPr>
            <w:tcW w:w="1134" w:type="dxa"/>
            <w:tcBorders>
              <w:top w:val="single" w:sz="2" w:space="0" w:color="1F4E79" w:themeColor="accent1" w:themeShade="80"/>
              <w:left w:val="nil"/>
              <w:bottom w:val="nil"/>
              <w:right w:val="nil"/>
            </w:tcBorders>
            <w:shd w:val="clear" w:color="auto" w:fill="auto"/>
          </w:tcPr>
          <w:p w14:paraId="20331ED2" w14:textId="77777777" w:rsidR="00931938" w:rsidRPr="00F80522" w:rsidRDefault="00931938" w:rsidP="00405D68">
            <w:pPr>
              <w:pStyle w:val="08-Tabelageral"/>
              <w:rPr>
                <w:szCs w:val="14"/>
              </w:rPr>
            </w:pPr>
            <w:r>
              <w:rPr>
                <w:rFonts w:cs="Arial"/>
              </w:rPr>
              <w:t>--</w:t>
            </w:r>
          </w:p>
        </w:tc>
        <w:tc>
          <w:tcPr>
            <w:tcW w:w="1134" w:type="dxa"/>
            <w:tcBorders>
              <w:top w:val="single" w:sz="2" w:space="0" w:color="1F4E79" w:themeColor="accent1" w:themeShade="80"/>
              <w:left w:val="nil"/>
              <w:bottom w:val="nil"/>
              <w:right w:val="nil"/>
            </w:tcBorders>
            <w:shd w:val="clear" w:color="auto" w:fill="auto"/>
          </w:tcPr>
          <w:p w14:paraId="643225C5" w14:textId="77777777" w:rsidR="00931938" w:rsidRPr="00F80522" w:rsidRDefault="00931938" w:rsidP="00405D68">
            <w:pPr>
              <w:pStyle w:val="08-Tabelageral"/>
              <w:rPr>
                <w:rFonts w:cs="Arial"/>
                <w:szCs w:val="14"/>
              </w:rPr>
            </w:pPr>
            <w:r>
              <w:t>3,197</w:t>
            </w:r>
          </w:p>
        </w:tc>
        <w:tc>
          <w:tcPr>
            <w:tcW w:w="992" w:type="dxa"/>
            <w:tcBorders>
              <w:top w:val="single" w:sz="2" w:space="0" w:color="1F4E79" w:themeColor="accent1" w:themeShade="80"/>
              <w:left w:val="nil"/>
              <w:bottom w:val="nil"/>
              <w:right w:val="nil"/>
            </w:tcBorders>
            <w:shd w:val="clear" w:color="auto" w:fill="auto"/>
          </w:tcPr>
          <w:p w14:paraId="72DFDB58" w14:textId="77777777" w:rsidR="00931938" w:rsidRPr="00F80522" w:rsidRDefault="00931938" w:rsidP="00405D68">
            <w:pPr>
              <w:pStyle w:val="08-Tabelageral"/>
              <w:rPr>
                <w:szCs w:val="14"/>
              </w:rPr>
            </w:pPr>
            <w:r w:rsidRPr="005160FB">
              <w:t>347</w:t>
            </w:r>
            <w:r>
              <w:t>,</w:t>
            </w:r>
            <w:r w:rsidRPr="005160FB">
              <w:t>020</w:t>
            </w:r>
          </w:p>
        </w:tc>
        <w:tc>
          <w:tcPr>
            <w:tcW w:w="992" w:type="dxa"/>
            <w:tcBorders>
              <w:top w:val="single" w:sz="2" w:space="0" w:color="1F4E79" w:themeColor="accent1" w:themeShade="80"/>
              <w:left w:val="nil"/>
              <w:bottom w:val="nil"/>
              <w:right w:val="nil"/>
            </w:tcBorders>
            <w:shd w:val="clear" w:color="auto" w:fill="auto"/>
          </w:tcPr>
          <w:p w14:paraId="10EEA493" w14:textId="77777777" w:rsidR="00931938" w:rsidRPr="00F80522" w:rsidRDefault="00931938" w:rsidP="00405D68">
            <w:pPr>
              <w:pStyle w:val="08-Tabelageral"/>
              <w:rPr>
                <w:szCs w:val="14"/>
              </w:rPr>
            </w:pPr>
            <w:r w:rsidRPr="005160FB">
              <w:t>350</w:t>
            </w:r>
            <w:r>
              <w:t>,</w:t>
            </w:r>
            <w:r w:rsidRPr="005160FB">
              <w:t>217</w:t>
            </w:r>
          </w:p>
        </w:tc>
      </w:tr>
      <w:tr w:rsidR="00931938" w:rsidRPr="00F80522" w14:paraId="5F967E82" w14:textId="77777777" w:rsidTr="00A64CAA">
        <w:trPr>
          <w:trHeight w:val="238"/>
          <w:jc w:val="center"/>
        </w:trPr>
        <w:tc>
          <w:tcPr>
            <w:tcW w:w="2268" w:type="dxa"/>
            <w:shd w:val="clear" w:color="auto" w:fill="auto"/>
          </w:tcPr>
          <w:p w14:paraId="769B4B3B" w14:textId="77777777" w:rsidR="00931938" w:rsidRPr="00F80522" w:rsidRDefault="00931938" w:rsidP="00405D68">
            <w:pPr>
              <w:pStyle w:val="08-Tabelageral"/>
              <w:ind w:left="113"/>
              <w:jc w:val="left"/>
              <w:rPr>
                <w:szCs w:val="14"/>
              </w:rPr>
            </w:pPr>
            <w:r w:rsidRPr="004071D8">
              <w:rPr>
                <w:szCs w:val="14"/>
              </w:rPr>
              <w:t>Long-term fund</w:t>
            </w:r>
            <w:r w:rsidRPr="00F80522">
              <w:rPr>
                <w:szCs w:val="14"/>
              </w:rPr>
              <w:t xml:space="preserve"> </w:t>
            </w:r>
            <w:r w:rsidRPr="00F80522">
              <w:rPr>
                <w:szCs w:val="14"/>
                <w:vertAlign w:val="superscript"/>
              </w:rPr>
              <w:t>(</w:t>
            </w:r>
            <w:r>
              <w:rPr>
                <w:szCs w:val="14"/>
                <w:vertAlign w:val="superscript"/>
              </w:rPr>
              <w:t>2</w:t>
            </w:r>
            <w:r w:rsidRPr="00F80522">
              <w:rPr>
                <w:szCs w:val="14"/>
                <w:vertAlign w:val="superscript"/>
              </w:rPr>
              <w:t>)</w:t>
            </w:r>
          </w:p>
        </w:tc>
        <w:tc>
          <w:tcPr>
            <w:tcW w:w="993" w:type="dxa"/>
            <w:tcBorders>
              <w:top w:val="nil"/>
              <w:left w:val="nil"/>
              <w:bottom w:val="nil"/>
              <w:right w:val="nil"/>
            </w:tcBorders>
            <w:shd w:val="clear" w:color="auto" w:fill="auto"/>
          </w:tcPr>
          <w:p w14:paraId="3EA21F7A" w14:textId="77777777" w:rsidR="00931938" w:rsidRPr="00F80522" w:rsidRDefault="00931938" w:rsidP="00405D68">
            <w:pPr>
              <w:pStyle w:val="08-Tabelageral"/>
              <w:rPr>
                <w:szCs w:val="14"/>
              </w:rPr>
            </w:pPr>
            <w:r w:rsidRPr="005160FB">
              <w:t>7</w:t>
            </w:r>
            <w:r>
              <w:t>,</w:t>
            </w:r>
            <w:r w:rsidRPr="005160FB">
              <w:t>328</w:t>
            </w:r>
          </w:p>
        </w:tc>
        <w:tc>
          <w:tcPr>
            <w:tcW w:w="992" w:type="dxa"/>
            <w:tcBorders>
              <w:top w:val="nil"/>
              <w:left w:val="nil"/>
              <w:bottom w:val="nil"/>
              <w:right w:val="nil"/>
            </w:tcBorders>
            <w:shd w:val="clear" w:color="auto" w:fill="auto"/>
          </w:tcPr>
          <w:p w14:paraId="6C9E6DB3" w14:textId="77777777" w:rsidR="00931938" w:rsidRPr="00F80522" w:rsidRDefault="00931938" w:rsidP="00405D68">
            <w:pPr>
              <w:pStyle w:val="08-Tabelageral"/>
              <w:rPr>
                <w:szCs w:val="14"/>
              </w:rPr>
            </w:pPr>
            <w:r w:rsidRPr="005160FB">
              <w:t>14</w:t>
            </w:r>
            <w:r>
              <w:t>,</w:t>
            </w:r>
            <w:r w:rsidRPr="005160FB">
              <w:t>011</w:t>
            </w:r>
          </w:p>
        </w:tc>
        <w:tc>
          <w:tcPr>
            <w:tcW w:w="1134" w:type="dxa"/>
            <w:tcBorders>
              <w:top w:val="nil"/>
              <w:left w:val="nil"/>
              <w:bottom w:val="nil"/>
              <w:right w:val="nil"/>
            </w:tcBorders>
            <w:shd w:val="clear" w:color="auto" w:fill="auto"/>
          </w:tcPr>
          <w:p w14:paraId="14E358D4" w14:textId="77777777" w:rsidR="00931938" w:rsidRPr="00F80522" w:rsidRDefault="00931938" w:rsidP="00405D68">
            <w:pPr>
              <w:pStyle w:val="08-Tabelageral"/>
              <w:rPr>
                <w:szCs w:val="14"/>
              </w:rPr>
            </w:pPr>
            <w:r w:rsidRPr="005160FB">
              <w:t>3</w:t>
            </w:r>
            <w:r>
              <w:t>,</w:t>
            </w:r>
            <w:r w:rsidRPr="005160FB">
              <w:t>691</w:t>
            </w:r>
          </w:p>
        </w:tc>
        <w:tc>
          <w:tcPr>
            <w:tcW w:w="1134" w:type="dxa"/>
            <w:tcBorders>
              <w:top w:val="nil"/>
              <w:left w:val="nil"/>
              <w:bottom w:val="nil"/>
              <w:right w:val="nil"/>
            </w:tcBorders>
            <w:shd w:val="clear" w:color="auto" w:fill="auto"/>
          </w:tcPr>
          <w:p w14:paraId="70D36699" w14:textId="77777777" w:rsidR="00931938" w:rsidRPr="00F80522" w:rsidRDefault="00931938" w:rsidP="00405D68">
            <w:pPr>
              <w:pStyle w:val="08-Tabelageral"/>
              <w:rPr>
                <w:szCs w:val="14"/>
              </w:rPr>
            </w:pPr>
            <w:r w:rsidRPr="005160FB">
              <w:t>447</w:t>
            </w:r>
          </w:p>
        </w:tc>
        <w:tc>
          <w:tcPr>
            <w:tcW w:w="1134" w:type="dxa"/>
            <w:tcBorders>
              <w:top w:val="nil"/>
              <w:left w:val="nil"/>
              <w:bottom w:val="nil"/>
              <w:right w:val="nil"/>
            </w:tcBorders>
            <w:shd w:val="clear" w:color="auto" w:fill="auto"/>
          </w:tcPr>
          <w:p w14:paraId="7913F483" w14:textId="77777777" w:rsidR="00931938" w:rsidRPr="00F80522" w:rsidRDefault="00931938" w:rsidP="00405D68">
            <w:pPr>
              <w:pStyle w:val="08-Tabelageral"/>
              <w:rPr>
                <w:rFonts w:cs="Arial"/>
                <w:szCs w:val="14"/>
              </w:rPr>
            </w:pPr>
            <w:r w:rsidRPr="005160FB">
              <w:t>809</w:t>
            </w:r>
          </w:p>
        </w:tc>
        <w:tc>
          <w:tcPr>
            <w:tcW w:w="992" w:type="dxa"/>
            <w:tcBorders>
              <w:top w:val="nil"/>
              <w:left w:val="nil"/>
              <w:bottom w:val="nil"/>
              <w:right w:val="nil"/>
            </w:tcBorders>
            <w:shd w:val="clear" w:color="auto" w:fill="auto"/>
          </w:tcPr>
          <w:p w14:paraId="0D984C64" w14:textId="77777777" w:rsidR="00931938" w:rsidRPr="00F80522" w:rsidRDefault="00931938" w:rsidP="00405D68">
            <w:pPr>
              <w:pStyle w:val="08-Tabelageral"/>
              <w:rPr>
                <w:szCs w:val="14"/>
              </w:rPr>
            </w:pPr>
            <w:r w:rsidRPr="005160FB">
              <w:t>10</w:t>
            </w:r>
            <w:r>
              <w:t>,</w:t>
            </w:r>
            <w:r w:rsidRPr="005160FB">
              <w:t>572</w:t>
            </w:r>
          </w:p>
        </w:tc>
        <w:tc>
          <w:tcPr>
            <w:tcW w:w="992" w:type="dxa"/>
            <w:tcBorders>
              <w:top w:val="nil"/>
              <w:left w:val="nil"/>
              <w:bottom w:val="nil"/>
              <w:right w:val="nil"/>
            </w:tcBorders>
            <w:shd w:val="clear" w:color="auto" w:fill="auto"/>
          </w:tcPr>
          <w:p w14:paraId="26B7431D" w14:textId="77777777" w:rsidR="00931938" w:rsidRPr="00F80522" w:rsidRDefault="00931938" w:rsidP="00405D68">
            <w:pPr>
              <w:pStyle w:val="08-Tabelageral"/>
              <w:rPr>
                <w:szCs w:val="14"/>
              </w:rPr>
            </w:pPr>
            <w:r w:rsidRPr="005160FB">
              <w:t>18</w:t>
            </w:r>
            <w:r>
              <w:t>,</w:t>
            </w:r>
            <w:r w:rsidRPr="005160FB">
              <w:t>064</w:t>
            </w:r>
          </w:p>
        </w:tc>
      </w:tr>
      <w:bookmarkEnd w:id="50"/>
      <w:tr w:rsidR="00931938" w:rsidRPr="00F80522" w14:paraId="0437DA87" w14:textId="77777777" w:rsidTr="00A64CAA">
        <w:trPr>
          <w:trHeight w:val="238"/>
          <w:jc w:val="center"/>
        </w:trPr>
        <w:tc>
          <w:tcPr>
            <w:tcW w:w="2268" w:type="dxa"/>
            <w:tcBorders>
              <w:bottom w:val="single" w:sz="2" w:space="0" w:color="1F4E79" w:themeColor="accent1" w:themeShade="80"/>
            </w:tcBorders>
            <w:shd w:val="clear" w:color="auto" w:fill="auto"/>
          </w:tcPr>
          <w:p w14:paraId="2B802C4D" w14:textId="77777777" w:rsidR="00931938" w:rsidRPr="00F80522" w:rsidRDefault="00931938" w:rsidP="00405D68">
            <w:pPr>
              <w:pStyle w:val="08-Tabelageral"/>
              <w:jc w:val="left"/>
              <w:rPr>
                <w:b/>
                <w:szCs w:val="14"/>
              </w:rPr>
            </w:pPr>
            <w:r w:rsidRPr="00F80522">
              <w:rPr>
                <w:b/>
                <w:szCs w:val="14"/>
              </w:rPr>
              <w:t xml:space="preserve">Total </w:t>
            </w:r>
          </w:p>
        </w:tc>
        <w:tc>
          <w:tcPr>
            <w:tcW w:w="993" w:type="dxa"/>
            <w:tcBorders>
              <w:top w:val="nil"/>
              <w:left w:val="nil"/>
              <w:bottom w:val="single" w:sz="2" w:space="0" w:color="1F4E79" w:themeColor="accent1" w:themeShade="80"/>
              <w:right w:val="nil"/>
            </w:tcBorders>
            <w:shd w:val="clear" w:color="auto" w:fill="auto"/>
          </w:tcPr>
          <w:p w14:paraId="6F304F1A" w14:textId="77777777" w:rsidR="00931938" w:rsidRPr="00F80522" w:rsidRDefault="00931938" w:rsidP="00405D68">
            <w:pPr>
              <w:pStyle w:val="08-Tabelageral"/>
              <w:rPr>
                <w:b/>
                <w:szCs w:val="14"/>
              </w:rPr>
            </w:pPr>
            <w:r w:rsidRPr="005160FB">
              <w:t>7</w:t>
            </w:r>
            <w:r>
              <w:t>,</w:t>
            </w:r>
            <w:r w:rsidRPr="005160FB">
              <w:t>328</w:t>
            </w:r>
          </w:p>
        </w:tc>
        <w:tc>
          <w:tcPr>
            <w:tcW w:w="992" w:type="dxa"/>
            <w:tcBorders>
              <w:top w:val="nil"/>
              <w:left w:val="nil"/>
              <w:bottom w:val="single" w:sz="2" w:space="0" w:color="1F4E79" w:themeColor="accent1" w:themeShade="80"/>
              <w:right w:val="nil"/>
            </w:tcBorders>
            <w:shd w:val="clear" w:color="auto" w:fill="auto"/>
          </w:tcPr>
          <w:p w14:paraId="2B577D13" w14:textId="77777777" w:rsidR="00931938" w:rsidRPr="00F80522" w:rsidRDefault="00931938" w:rsidP="00405D68">
            <w:pPr>
              <w:pStyle w:val="08-Tabelageral"/>
              <w:rPr>
                <w:b/>
                <w:szCs w:val="14"/>
              </w:rPr>
            </w:pPr>
            <w:r w:rsidRPr="005160FB">
              <w:t>14</w:t>
            </w:r>
            <w:r>
              <w:t>,</w:t>
            </w:r>
            <w:r w:rsidRPr="005160FB">
              <w:t>011</w:t>
            </w:r>
          </w:p>
        </w:tc>
        <w:tc>
          <w:tcPr>
            <w:tcW w:w="1134" w:type="dxa"/>
            <w:tcBorders>
              <w:top w:val="nil"/>
              <w:left w:val="nil"/>
              <w:bottom w:val="single" w:sz="2" w:space="0" w:color="1F4E79" w:themeColor="accent1" w:themeShade="80"/>
              <w:right w:val="nil"/>
            </w:tcBorders>
            <w:shd w:val="clear" w:color="auto" w:fill="auto"/>
          </w:tcPr>
          <w:p w14:paraId="566619A4" w14:textId="77777777" w:rsidR="00931938" w:rsidRPr="00F80522" w:rsidRDefault="00931938" w:rsidP="00405D68">
            <w:pPr>
              <w:pStyle w:val="08-Tabelageral"/>
              <w:rPr>
                <w:b/>
                <w:szCs w:val="14"/>
              </w:rPr>
            </w:pPr>
            <w:r w:rsidRPr="005160FB">
              <w:t>350</w:t>
            </w:r>
            <w:r>
              <w:t>,</w:t>
            </w:r>
            <w:r w:rsidRPr="005160FB">
              <w:t>711</w:t>
            </w:r>
          </w:p>
        </w:tc>
        <w:tc>
          <w:tcPr>
            <w:tcW w:w="1134" w:type="dxa"/>
            <w:tcBorders>
              <w:top w:val="nil"/>
              <w:left w:val="nil"/>
              <w:bottom w:val="single" w:sz="2" w:space="0" w:color="1F4E79" w:themeColor="accent1" w:themeShade="80"/>
              <w:right w:val="nil"/>
            </w:tcBorders>
            <w:shd w:val="clear" w:color="auto" w:fill="auto"/>
          </w:tcPr>
          <w:p w14:paraId="25F29D51" w14:textId="77777777" w:rsidR="00931938" w:rsidRPr="00F80522" w:rsidRDefault="00931938" w:rsidP="00405D68">
            <w:pPr>
              <w:pStyle w:val="08-Tabelageral"/>
              <w:rPr>
                <w:b/>
                <w:szCs w:val="14"/>
              </w:rPr>
            </w:pPr>
            <w:r w:rsidRPr="005160FB">
              <w:t>447</w:t>
            </w:r>
          </w:p>
        </w:tc>
        <w:tc>
          <w:tcPr>
            <w:tcW w:w="1134" w:type="dxa"/>
            <w:tcBorders>
              <w:top w:val="nil"/>
              <w:left w:val="nil"/>
              <w:bottom w:val="single" w:sz="2" w:space="0" w:color="1F4E79" w:themeColor="accent1" w:themeShade="80"/>
              <w:right w:val="nil"/>
            </w:tcBorders>
            <w:shd w:val="clear" w:color="auto" w:fill="auto"/>
          </w:tcPr>
          <w:p w14:paraId="678A061D" w14:textId="77777777" w:rsidR="00931938" w:rsidRPr="00F80522" w:rsidRDefault="00931938" w:rsidP="00405D68">
            <w:pPr>
              <w:pStyle w:val="08-Tabelageral"/>
              <w:rPr>
                <w:rFonts w:cs="Arial"/>
                <w:b/>
                <w:szCs w:val="14"/>
              </w:rPr>
            </w:pPr>
            <w:r>
              <w:t>4,006</w:t>
            </w:r>
          </w:p>
        </w:tc>
        <w:tc>
          <w:tcPr>
            <w:tcW w:w="992" w:type="dxa"/>
            <w:tcBorders>
              <w:top w:val="nil"/>
              <w:left w:val="nil"/>
              <w:bottom w:val="single" w:sz="2" w:space="0" w:color="1F4E79" w:themeColor="accent1" w:themeShade="80"/>
              <w:right w:val="nil"/>
            </w:tcBorders>
            <w:shd w:val="clear" w:color="auto" w:fill="auto"/>
          </w:tcPr>
          <w:p w14:paraId="351970A2" w14:textId="77777777" w:rsidR="00931938" w:rsidRPr="00F80522" w:rsidRDefault="00931938" w:rsidP="00405D68">
            <w:pPr>
              <w:pStyle w:val="08-Tabelageral"/>
              <w:rPr>
                <w:b/>
                <w:szCs w:val="14"/>
              </w:rPr>
            </w:pPr>
            <w:r w:rsidRPr="005160FB">
              <w:t>357</w:t>
            </w:r>
            <w:r>
              <w:t>,</w:t>
            </w:r>
            <w:r w:rsidRPr="005160FB">
              <w:t>59</w:t>
            </w:r>
            <w:r>
              <w:t>2</w:t>
            </w:r>
          </w:p>
        </w:tc>
        <w:tc>
          <w:tcPr>
            <w:tcW w:w="992" w:type="dxa"/>
            <w:tcBorders>
              <w:top w:val="nil"/>
              <w:left w:val="nil"/>
              <w:bottom w:val="single" w:sz="2" w:space="0" w:color="1F4E79" w:themeColor="accent1" w:themeShade="80"/>
              <w:right w:val="nil"/>
            </w:tcBorders>
            <w:shd w:val="clear" w:color="auto" w:fill="auto"/>
          </w:tcPr>
          <w:p w14:paraId="2C02D87C" w14:textId="77777777" w:rsidR="00931938" w:rsidRPr="00F80522" w:rsidRDefault="00931938" w:rsidP="00405D68">
            <w:pPr>
              <w:pStyle w:val="08-Tabelageral"/>
              <w:rPr>
                <w:b/>
                <w:szCs w:val="14"/>
              </w:rPr>
            </w:pPr>
            <w:r w:rsidRPr="005160FB">
              <w:t>368</w:t>
            </w:r>
            <w:r>
              <w:t>,</w:t>
            </w:r>
            <w:r w:rsidRPr="005160FB">
              <w:t>281</w:t>
            </w:r>
          </w:p>
        </w:tc>
      </w:tr>
    </w:tbl>
    <w:p w14:paraId="6DC71979" w14:textId="77777777" w:rsidR="00931938" w:rsidRPr="00D87929" w:rsidRDefault="00931938" w:rsidP="00931938">
      <w:pPr>
        <w:pStyle w:val="PargrafodaLista"/>
        <w:numPr>
          <w:ilvl w:val="0"/>
          <w:numId w:val="21"/>
        </w:numPr>
        <w:spacing w:after="0"/>
        <w:jc w:val="both"/>
        <w:rPr>
          <w:rFonts w:ascii="Arial" w:eastAsia="Times New Roman" w:hAnsi="Arial" w:cs="Times New Roman"/>
          <w:spacing w:val="-2"/>
          <w:sz w:val="14"/>
          <w:szCs w:val="18"/>
          <w:lang w:val="en-US" w:eastAsia="pt-BR"/>
        </w:rPr>
      </w:pPr>
      <w:r w:rsidRPr="00D87929">
        <w:rPr>
          <w:rFonts w:ascii="Arial" w:eastAsia="Times New Roman" w:hAnsi="Arial" w:cs="Times New Roman"/>
          <w:spacing w:val="-2"/>
          <w:sz w:val="14"/>
          <w:szCs w:val="18"/>
          <w:lang w:val="en-US" w:eastAsia="pt-BR"/>
        </w:rPr>
        <w:t>Refers to direct allocations in Federal Public Securities. Allocations are in Financial Treasury Bills due in September 2025 and are in accordance with the Company's Financial Investment Policy.</w:t>
      </w:r>
    </w:p>
    <w:p w14:paraId="0A292C26" w14:textId="77777777" w:rsidR="00931938" w:rsidRPr="00D5372A" w:rsidRDefault="00931938" w:rsidP="00931938">
      <w:pPr>
        <w:pStyle w:val="07-Legenda"/>
        <w:numPr>
          <w:ilvl w:val="0"/>
          <w:numId w:val="21"/>
        </w:numPr>
        <w:spacing w:line="276" w:lineRule="auto"/>
        <w:rPr>
          <w:lang w:val="en-US"/>
        </w:rPr>
      </w:pPr>
      <w:r w:rsidRPr="00D87929">
        <w:rPr>
          <w:lang w:val="en-US"/>
        </w:rPr>
        <w:t>Refers to investments in Private Equity Investment Funds (FIP) whose objective is to invest its Shareholders' Equity in the acquisition of shares, or financial instruments that present participation, in companies in the initial stage of operation.</w:t>
      </w:r>
    </w:p>
    <w:p w14:paraId="688F6493" w14:textId="77777777" w:rsidR="00931938" w:rsidRPr="00D5372A" w:rsidRDefault="00931938" w:rsidP="00862CD1">
      <w:pPr>
        <w:pStyle w:val="07-Legenda"/>
        <w:ind w:firstLine="0"/>
        <w:rPr>
          <w:rFonts w:cs="Arial"/>
          <w:lang w:val="en-US"/>
        </w:rPr>
      </w:pPr>
    </w:p>
    <w:p w14:paraId="60125323" w14:textId="77777777" w:rsidR="00931938" w:rsidRPr="00767893" w:rsidRDefault="00931938" w:rsidP="00AB4D1D">
      <w:pPr>
        <w:pStyle w:val="05-Textonormal"/>
        <w:keepNext/>
        <w:keepLines/>
        <w:pageBreakBefore/>
        <w:numPr>
          <w:ilvl w:val="0"/>
          <w:numId w:val="7"/>
        </w:numPr>
        <w:ind w:left="357" w:hanging="357"/>
        <w:rPr>
          <w:b/>
          <w:color w:val="1F4E79" w:themeColor="accent1" w:themeShade="80"/>
        </w:rPr>
      </w:pPr>
      <w:r w:rsidRPr="00767893">
        <w:rPr>
          <w:b/>
          <w:color w:val="1F4E79" w:themeColor="accent1" w:themeShade="80"/>
        </w:rPr>
        <w:lastRenderedPageBreak/>
        <w:t>Fair Value Hierarchy</w:t>
      </w:r>
      <w:r w:rsidRPr="00767893">
        <w:rPr>
          <w:b/>
          <w:color w:val="1F4E79" w:themeColor="accent1" w:themeShade="80"/>
        </w:rPr>
        <w:tab/>
      </w:r>
    </w:p>
    <w:p w14:paraId="3A0C4998" w14:textId="77777777" w:rsidR="00931938" w:rsidRPr="00523E37" w:rsidRDefault="00931938" w:rsidP="004330D5">
      <w:pPr>
        <w:pStyle w:val="05-Textonormal"/>
        <w:rPr>
          <w:highlight w:val="yellow"/>
        </w:rPr>
      </w:pPr>
      <w:r w:rsidRPr="00D5372A">
        <w:rPr>
          <w:lang w:val="en-US"/>
        </w:rPr>
        <w:t xml:space="preserve">The Company classifies financial instruments into three levels of subjectivity in determining fair value. </w:t>
      </w:r>
      <w:r w:rsidRPr="000F0D18">
        <w:t>The different levels are defined as follows:</w:t>
      </w:r>
    </w:p>
    <w:p w14:paraId="04702AEF" w14:textId="77777777" w:rsidR="00931938" w:rsidRPr="00D5372A" w:rsidRDefault="00931938" w:rsidP="00931938">
      <w:pPr>
        <w:pStyle w:val="05-Textonormal"/>
        <w:numPr>
          <w:ilvl w:val="0"/>
          <w:numId w:val="1"/>
        </w:numPr>
        <w:rPr>
          <w:lang w:val="en-US"/>
        </w:rPr>
      </w:pPr>
      <w:r w:rsidRPr="00D5372A">
        <w:rPr>
          <w:lang w:val="en-US"/>
        </w:rPr>
        <w:t>Level 1: Quoted prices in active markets for identical assets or liabilities;</w:t>
      </w:r>
    </w:p>
    <w:p w14:paraId="5E2BB6B7" w14:textId="77777777" w:rsidR="00931938" w:rsidRPr="00D5372A" w:rsidRDefault="00931938" w:rsidP="00931938">
      <w:pPr>
        <w:pStyle w:val="05-Textonormal"/>
        <w:numPr>
          <w:ilvl w:val="0"/>
          <w:numId w:val="1"/>
        </w:numPr>
        <w:rPr>
          <w:b/>
          <w:color w:val="1F4E79" w:themeColor="accent1" w:themeShade="80"/>
          <w:lang w:val="en-US"/>
        </w:rPr>
      </w:pPr>
      <w:r w:rsidRPr="00D5372A">
        <w:rPr>
          <w:lang w:val="en-US"/>
        </w:rPr>
        <w:t xml:space="preserve">Level 2: Inputs other than quoted prices included within Level 1 that are observable for the asset or liability, either directly (prices) or indirectly (derived from prices); </w:t>
      </w:r>
    </w:p>
    <w:p w14:paraId="4E0D648B" w14:textId="77777777" w:rsidR="00931938" w:rsidRPr="00D5372A" w:rsidRDefault="00931938" w:rsidP="00931938">
      <w:pPr>
        <w:pStyle w:val="05-Textonormal"/>
        <w:numPr>
          <w:ilvl w:val="0"/>
          <w:numId w:val="1"/>
        </w:numPr>
        <w:rPr>
          <w:b/>
          <w:color w:val="1F4E79" w:themeColor="accent1" w:themeShade="80"/>
          <w:lang w:val="en-US"/>
        </w:rPr>
      </w:pPr>
      <w:r w:rsidRPr="00D5372A">
        <w:rPr>
          <w:lang w:val="en-US"/>
        </w:rPr>
        <w:t>Level 3: Assumptions for the asset or liability that are not based on observable market data (unobservable inputs). There are no financial instruments classified in level 3 of the investment portfolio.</w:t>
      </w:r>
    </w:p>
    <w:p w14:paraId="72D70F12" w14:textId="77777777" w:rsidR="00931938" w:rsidRPr="000F0D18" w:rsidRDefault="00931938" w:rsidP="00BF079C">
      <w:pPr>
        <w:pStyle w:val="PargrafodaLista"/>
        <w:keepNext/>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r>
        <w:rPr>
          <w:rFonts w:ascii="Arial" w:hAnsi="Arial" w:cs="Arial"/>
          <w:b/>
          <w:sz w:val="14"/>
          <w:szCs w:val="14"/>
        </w:rPr>
        <w:t>thousand</w:t>
      </w:r>
    </w:p>
    <w:tbl>
      <w:tblPr>
        <w:tblW w:w="9639" w:type="dxa"/>
        <w:jc w:val="center"/>
        <w:tblLayout w:type="fixed"/>
        <w:tblLook w:val="04A0" w:firstRow="1" w:lastRow="0" w:firstColumn="1" w:lastColumn="0" w:noHBand="0" w:noVBand="1"/>
      </w:tblPr>
      <w:tblGrid>
        <w:gridCol w:w="2296"/>
        <w:gridCol w:w="1224"/>
        <w:gridCol w:w="1224"/>
        <w:gridCol w:w="1224"/>
        <w:gridCol w:w="1223"/>
        <w:gridCol w:w="1224"/>
        <w:gridCol w:w="1224"/>
      </w:tblGrid>
      <w:tr w:rsidR="00931938" w:rsidRPr="000F0D18" w14:paraId="33C2B9C0" w14:textId="77777777" w:rsidTr="0099606A">
        <w:trPr>
          <w:trHeight w:val="238"/>
          <w:jc w:val="center"/>
        </w:trPr>
        <w:tc>
          <w:tcPr>
            <w:tcW w:w="2296" w:type="dxa"/>
            <w:tcBorders>
              <w:top w:val="single" w:sz="2" w:space="0" w:color="1F4E79" w:themeColor="accent1" w:themeShade="80"/>
            </w:tcBorders>
            <w:shd w:val="clear" w:color="auto" w:fill="auto"/>
            <w:noWrap/>
            <w:hideMark/>
          </w:tcPr>
          <w:p w14:paraId="3F6A18EE" w14:textId="77777777" w:rsidR="00931938" w:rsidRPr="000F0D18" w:rsidRDefault="00931938" w:rsidP="00BF079C">
            <w:pPr>
              <w:pStyle w:val="08-Tabelageral"/>
              <w:keepLines w:val="0"/>
              <w:jc w:val="center"/>
              <w:rPr>
                <w:rFonts w:cs="Arial"/>
                <w:b/>
              </w:rPr>
            </w:pPr>
          </w:p>
        </w:tc>
        <w:tc>
          <w:tcPr>
            <w:tcW w:w="7343" w:type="dxa"/>
            <w:gridSpan w:val="6"/>
            <w:tcBorders>
              <w:top w:val="single" w:sz="2" w:space="0" w:color="1F4E79" w:themeColor="accent1" w:themeShade="80"/>
              <w:bottom w:val="single" w:sz="2" w:space="0" w:color="1F4E79" w:themeColor="accent1" w:themeShade="80"/>
            </w:tcBorders>
            <w:shd w:val="clear" w:color="auto" w:fill="auto"/>
            <w:noWrap/>
            <w:vAlign w:val="center"/>
            <w:hideMark/>
          </w:tcPr>
          <w:p w14:paraId="644B31CF" w14:textId="77777777" w:rsidR="00931938" w:rsidRPr="000F0D18" w:rsidRDefault="00931938" w:rsidP="00BF079C">
            <w:pPr>
              <w:pStyle w:val="08-Tabelageral"/>
              <w:keepLines w:val="0"/>
              <w:jc w:val="center"/>
              <w:rPr>
                <w:rFonts w:cs="Arial"/>
                <w:b/>
              </w:rPr>
            </w:pPr>
            <w:r>
              <w:rPr>
                <w:rFonts w:cs="Arial"/>
                <w:b/>
              </w:rPr>
              <w:t>Parent</w:t>
            </w:r>
          </w:p>
        </w:tc>
      </w:tr>
      <w:tr w:rsidR="00931938" w:rsidRPr="000F0D18" w14:paraId="68B4BD63" w14:textId="77777777" w:rsidTr="0099606A">
        <w:trPr>
          <w:trHeight w:val="238"/>
          <w:jc w:val="center"/>
        </w:trPr>
        <w:tc>
          <w:tcPr>
            <w:tcW w:w="2296" w:type="dxa"/>
            <w:shd w:val="clear" w:color="auto" w:fill="auto"/>
            <w:noWrap/>
            <w:hideMark/>
          </w:tcPr>
          <w:p w14:paraId="505CD5A3" w14:textId="77777777" w:rsidR="00931938" w:rsidRPr="000F0D18" w:rsidRDefault="00931938" w:rsidP="00BF079C">
            <w:pPr>
              <w:pStyle w:val="08-Tabelageral"/>
              <w:keepLines w:val="0"/>
              <w:jc w:val="center"/>
              <w:rPr>
                <w:rFonts w:cs="Arial"/>
                <w:b/>
              </w:rPr>
            </w:pPr>
          </w:p>
        </w:tc>
        <w:tc>
          <w:tcPr>
            <w:tcW w:w="3672"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147CB4B8" w14:textId="77777777" w:rsidR="00931938" w:rsidRPr="000F0D18" w:rsidRDefault="00931938" w:rsidP="00412B95">
            <w:pPr>
              <w:pStyle w:val="08-Tabelageral"/>
              <w:keepLines w:val="0"/>
              <w:jc w:val="center"/>
              <w:rPr>
                <w:rFonts w:cs="Arial"/>
                <w:b/>
              </w:rPr>
            </w:pPr>
            <w:r>
              <w:rPr>
                <w:rFonts w:cs="Arial"/>
                <w:b/>
              </w:rPr>
              <w:t xml:space="preserve">Dec </w:t>
            </w:r>
            <w:r w:rsidRPr="000F0D18">
              <w:rPr>
                <w:rFonts w:cs="Arial"/>
                <w:b/>
              </w:rPr>
              <w:t>3</w:t>
            </w:r>
            <w:r>
              <w:rPr>
                <w:rFonts w:cs="Arial"/>
                <w:b/>
              </w:rPr>
              <w:t xml:space="preserve">1, </w:t>
            </w:r>
            <w:r w:rsidRPr="000F0D18">
              <w:rPr>
                <w:rFonts w:cs="Arial"/>
                <w:b/>
              </w:rPr>
              <w:t>202</w:t>
            </w:r>
            <w:r>
              <w:rPr>
                <w:rFonts w:cs="Arial"/>
                <w:b/>
              </w:rPr>
              <w:t>2</w:t>
            </w:r>
          </w:p>
        </w:tc>
        <w:tc>
          <w:tcPr>
            <w:tcW w:w="3671"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0F2DBCE8" w14:textId="77777777" w:rsidR="00931938" w:rsidRPr="000F0D18" w:rsidRDefault="00931938" w:rsidP="00412B95">
            <w:pPr>
              <w:pStyle w:val="08-Tabelageral"/>
              <w:keepLines w:val="0"/>
              <w:jc w:val="center"/>
              <w:rPr>
                <w:rFonts w:cs="Arial"/>
                <w:b/>
              </w:rPr>
            </w:pPr>
            <w:r>
              <w:rPr>
                <w:rFonts w:cs="Arial"/>
                <w:b/>
              </w:rPr>
              <w:t xml:space="preserve">Dec </w:t>
            </w:r>
            <w:r w:rsidRPr="000F0D18">
              <w:rPr>
                <w:rFonts w:cs="Arial"/>
                <w:b/>
              </w:rPr>
              <w:t>31</w:t>
            </w:r>
            <w:r>
              <w:rPr>
                <w:rFonts w:cs="Arial"/>
                <w:b/>
              </w:rPr>
              <w:t xml:space="preserve">, </w:t>
            </w:r>
            <w:r w:rsidRPr="000F0D18">
              <w:rPr>
                <w:rFonts w:cs="Arial"/>
                <w:b/>
              </w:rPr>
              <w:t>20</w:t>
            </w:r>
            <w:r>
              <w:rPr>
                <w:rFonts w:cs="Arial"/>
                <w:b/>
              </w:rPr>
              <w:t>21</w:t>
            </w:r>
          </w:p>
        </w:tc>
      </w:tr>
      <w:tr w:rsidR="00931938" w:rsidRPr="000F0D18" w14:paraId="4917E506" w14:textId="77777777" w:rsidTr="0099606A">
        <w:trPr>
          <w:trHeight w:val="238"/>
          <w:jc w:val="center"/>
        </w:trPr>
        <w:tc>
          <w:tcPr>
            <w:tcW w:w="2296" w:type="dxa"/>
            <w:tcBorders>
              <w:bottom w:val="single" w:sz="2" w:space="0" w:color="1F4E79" w:themeColor="accent1" w:themeShade="80"/>
            </w:tcBorders>
            <w:shd w:val="clear" w:color="auto" w:fill="auto"/>
            <w:noWrap/>
            <w:hideMark/>
          </w:tcPr>
          <w:p w14:paraId="78D26623" w14:textId="77777777" w:rsidR="00931938" w:rsidRPr="000F0D18" w:rsidRDefault="00931938" w:rsidP="00BF079C">
            <w:pPr>
              <w:pStyle w:val="08-Tabelageral"/>
              <w:keepLines w:val="0"/>
              <w:jc w:val="center"/>
              <w:rPr>
                <w:rFonts w:cs="Arial"/>
                <w:b/>
              </w:rPr>
            </w:pP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3AA5517D" w14:textId="77777777" w:rsidR="00931938" w:rsidRPr="000F0D18" w:rsidRDefault="00931938" w:rsidP="006F7B5D">
            <w:pPr>
              <w:pStyle w:val="08-Tabelageral"/>
              <w:keepLines w:val="0"/>
              <w:rPr>
                <w:rFonts w:cs="Arial"/>
                <w:b/>
              </w:rPr>
            </w:pPr>
            <w:r>
              <w:rPr>
                <w:rFonts w:cs="Arial"/>
                <w:b/>
              </w:rPr>
              <w:t>Leve</w:t>
            </w:r>
            <w:r w:rsidRPr="000F0D18">
              <w:rPr>
                <w:rFonts w:cs="Arial"/>
                <w:b/>
              </w:rPr>
              <w:t>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7333FD27" w14:textId="77777777" w:rsidR="00931938" w:rsidRPr="000F0D18" w:rsidRDefault="00931938" w:rsidP="006F7B5D">
            <w:pPr>
              <w:pStyle w:val="08-Tabelageral"/>
              <w:keepLines w:val="0"/>
              <w:rPr>
                <w:rFonts w:cs="Arial"/>
                <w:b/>
              </w:rPr>
            </w:pPr>
            <w:r>
              <w:rPr>
                <w:rFonts w:cs="Arial"/>
                <w:b/>
              </w:rPr>
              <w:t>Level</w:t>
            </w:r>
            <w:r w:rsidRPr="000F0D18">
              <w:rPr>
                <w:rFonts w:cs="Arial"/>
                <w:b/>
              </w:rPr>
              <w:t xml:space="preserve"> 2</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2C83ABB8" w14:textId="77777777" w:rsidR="00931938" w:rsidRPr="000F0D18" w:rsidRDefault="00931938" w:rsidP="00BF079C">
            <w:pPr>
              <w:pStyle w:val="08-Tabelageral"/>
              <w:keepLines w:val="0"/>
              <w:rPr>
                <w:rFonts w:cs="Arial"/>
                <w:b/>
              </w:rPr>
            </w:pPr>
            <w:r w:rsidRPr="000F0D18">
              <w:rPr>
                <w:rFonts w:cs="Arial"/>
                <w:b/>
              </w:rPr>
              <w:t>Total</w:t>
            </w:r>
          </w:p>
        </w:tc>
        <w:tc>
          <w:tcPr>
            <w:tcW w:w="1223" w:type="dxa"/>
            <w:tcBorders>
              <w:top w:val="single" w:sz="2" w:space="0" w:color="1F4E79" w:themeColor="accent1" w:themeShade="80"/>
              <w:bottom w:val="single" w:sz="2" w:space="0" w:color="1F4E79" w:themeColor="accent1" w:themeShade="80"/>
            </w:tcBorders>
            <w:shd w:val="clear" w:color="auto" w:fill="auto"/>
            <w:vAlign w:val="center"/>
            <w:hideMark/>
          </w:tcPr>
          <w:p w14:paraId="525F70B5" w14:textId="77777777" w:rsidR="00931938" w:rsidRPr="000F0D18" w:rsidRDefault="00931938" w:rsidP="006F7B5D">
            <w:pPr>
              <w:pStyle w:val="08-Tabelageral"/>
              <w:keepLines w:val="0"/>
              <w:rPr>
                <w:rFonts w:cs="Arial"/>
                <w:b/>
              </w:rPr>
            </w:pPr>
            <w:r>
              <w:rPr>
                <w:rFonts w:cs="Arial"/>
                <w:b/>
              </w:rPr>
              <w:t>Level</w:t>
            </w:r>
            <w:r w:rsidRPr="000F0D18">
              <w:rPr>
                <w:rFonts w:cs="Arial"/>
                <w:b/>
              </w:rPr>
              <w:t xml:space="preserve">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3273B8CE" w14:textId="77777777" w:rsidR="00931938" w:rsidRPr="000F0D18" w:rsidRDefault="00931938" w:rsidP="006F7B5D">
            <w:pPr>
              <w:pStyle w:val="08-Tabelageral"/>
              <w:keepLines w:val="0"/>
              <w:rPr>
                <w:rFonts w:cs="Arial"/>
                <w:b/>
              </w:rPr>
            </w:pPr>
            <w:r>
              <w:rPr>
                <w:rFonts w:cs="Arial"/>
                <w:b/>
              </w:rPr>
              <w:t>Level</w:t>
            </w:r>
            <w:r w:rsidRPr="000F0D18">
              <w:rPr>
                <w:rFonts w:cs="Arial"/>
                <w:b/>
              </w:rPr>
              <w:t xml:space="preserve"> 2</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1C8583A4" w14:textId="77777777" w:rsidR="00931938" w:rsidRPr="000F0D18" w:rsidRDefault="00931938" w:rsidP="00BF079C">
            <w:pPr>
              <w:pStyle w:val="08-Tabelageral"/>
              <w:keepLines w:val="0"/>
              <w:rPr>
                <w:rFonts w:cs="Arial"/>
                <w:b/>
              </w:rPr>
            </w:pPr>
            <w:r w:rsidRPr="000F0D18">
              <w:rPr>
                <w:rFonts w:cs="Arial"/>
                <w:b/>
              </w:rPr>
              <w:t>Total</w:t>
            </w:r>
          </w:p>
        </w:tc>
      </w:tr>
      <w:tr w:rsidR="00931938" w:rsidRPr="000F0D18" w14:paraId="4806B680" w14:textId="77777777" w:rsidTr="00A32AF0">
        <w:trPr>
          <w:trHeight w:val="238"/>
          <w:jc w:val="center"/>
        </w:trPr>
        <w:tc>
          <w:tcPr>
            <w:tcW w:w="2296" w:type="dxa"/>
            <w:tcBorders>
              <w:top w:val="single" w:sz="2" w:space="0" w:color="1F4E79" w:themeColor="accent1" w:themeShade="80"/>
            </w:tcBorders>
            <w:shd w:val="clear" w:color="auto" w:fill="auto"/>
            <w:noWrap/>
            <w:hideMark/>
          </w:tcPr>
          <w:p w14:paraId="34B9E4BB" w14:textId="77777777" w:rsidR="00931938" w:rsidRPr="000F0D18" w:rsidRDefault="00931938" w:rsidP="000E12F3">
            <w:pPr>
              <w:pStyle w:val="08-Tabelageral"/>
              <w:keepLines w:val="0"/>
              <w:ind w:left="113"/>
              <w:jc w:val="left"/>
              <w:rPr>
                <w:rFonts w:cs="Arial"/>
              </w:rPr>
            </w:pPr>
            <w:r>
              <w:t>Long-term fund</w:t>
            </w:r>
          </w:p>
        </w:tc>
        <w:tc>
          <w:tcPr>
            <w:tcW w:w="1224" w:type="dxa"/>
            <w:tcBorders>
              <w:top w:val="single" w:sz="2" w:space="0" w:color="1F4E79" w:themeColor="accent1" w:themeShade="80"/>
              <w:left w:val="nil"/>
              <w:bottom w:val="nil"/>
              <w:right w:val="nil"/>
            </w:tcBorders>
            <w:shd w:val="clear" w:color="auto" w:fill="auto"/>
            <w:noWrap/>
            <w:vAlign w:val="bottom"/>
          </w:tcPr>
          <w:p w14:paraId="5A88B3B2" w14:textId="77777777" w:rsidR="00931938" w:rsidRPr="00C24578" w:rsidRDefault="00931938" w:rsidP="000E12F3">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4962A4BB" w14:textId="77777777" w:rsidR="00931938" w:rsidRPr="00C24578" w:rsidRDefault="00931938" w:rsidP="000E12F3">
            <w:pPr>
              <w:pStyle w:val="08-Tabelageral"/>
            </w:pPr>
            <w:r>
              <w:t>18,064</w:t>
            </w:r>
          </w:p>
        </w:tc>
        <w:tc>
          <w:tcPr>
            <w:tcW w:w="1224" w:type="dxa"/>
            <w:tcBorders>
              <w:top w:val="single" w:sz="2" w:space="0" w:color="1F4E79" w:themeColor="accent1" w:themeShade="80"/>
              <w:left w:val="nil"/>
              <w:bottom w:val="nil"/>
              <w:right w:val="nil"/>
            </w:tcBorders>
            <w:shd w:val="clear" w:color="auto" w:fill="auto"/>
            <w:noWrap/>
            <w:vAlign w:val="bottom"/>
          </w:tcPr>
          <w:p w14:paraId="68567771" w14:textId="77777777" w:rsidR="00931938" w:rsidRPr="00C24578" w:rsidRDefault="00931938" w:rsidP="000E12F3">
            <w:pPr>
              <w:pStyle w:val="08-Tabelageral"/>
            </w:pPr>
            <w:r>
              <w:t>18,064</w:t>
            </w:r>
          </w:p>
        </w:tc>
        <w:tc>
          <w:tcPr>
            <w:tcW w:w="1223" w:type="dxa"/>
            <w:tcBorders>
              <w:top w:val="single" w:sz="2" w:space="0" w:color="1F4E79" w:themeColor="accent1" w:themeShade="80"/>
              <w:left w:val="nil"/>
              <w:bottom w:val="nil"/>
              <w:right w:val="nil"/>
            </w:tcBorders>
            <w:shd w:val="clear" w:color="auto" w:fill="auto"/>
            <w:noWrap/>
            <w:vAlign w:val="bottom"/>
          </w:tcPr>
          <w:p w14:paraId="58311E43" w14:textId="77777777" w:rsidR="00931938" w:rsidRPr="00C24578" w:rsidRDefault="00931938" w:rsidP="000E12F3">
            <w:pPr>
              <w:pStyle w:val="08-Tabelageral"/>
              <w:keepLines w:val="0"/>
            </w:pPr>
            <w:r>
              <w:t>14,011</w:t>
            </w:r>
          </w:p>
        </w:tc>
        <w:tc>
          <w:tcPr>
            <w:tcW w:w="1224" w:type="dxa"/>
            <w:tcBorders>
              <w:top w:val="single" w:sz="2" w:space="0" w:color="1F4E79" w:themeColor="accent1" w:themeShade="80"/>
              <w:left w:val="nil"/>
              <w:bottom w:val="nil"/>
              <w:right w:val="nil"/>
            </w:tcBorders>
            <w:shd w:val="clear" w:color="auto" w:fill="auto"/>
            <w:noWrap/>
            <w:vAlign w:val="bottom"/>
          </w:tcPr>
          <w:p w14:paraId="6F62E5FA" w14:textId="77777777" w:rsidR="00931938" w:rsidRPr="00C24578" w:rsidRDefault="00931938" w:rsidP="000E12F3">
            <w:pPr>
              <w:pStyle w:val="08-Tabelageral"/>
              <w:keepLines w:val="0"/>
            </w:pPr>
            <w:r>
              <w:t>--</w:t>
            </w:r>
          </w:p>
        </w:tc>
        <w:tc>
          <w:tcPr>
            <w:tcW w:w="1224" w:type="dxa"/>
            <w:tcBorders>
              <w:top w:val="single" w:sz="2" w:space="0" w:color="1F4E79" w:themeColor="accent1" w:themeShade="80"/>
              <w:left w:val="nil"/>
              <w:bottom w:val="nil"/>
              <w:right w:val="nil"/>
            </w:tcBorders>
            <w:shd w:val="clear" w:color="auto" w:fill="auto"/>
            <w:noWrap/>
            <w:vAlign w:val="bottom"/>
          </w:tcPr>
          <w:p w14:paraId="401D8867" w14:textId="77777777" w:rsidR="00931938" w:rsidRPr="00C24578" w:rsidRDefault="00931938" w:rsidP="000E12F3">
            <w:pPr>
              <w:pStyle w:val="08-Tabelageral"/>
              <w:keepLines w:val="0"/>
            </w:pPr>
            <w:r>
              <w:t>14,011</w:t>
            </w:r>
          </w:p>
        </w:tc>
      </w:tr>
      <w:tr w:rsidR="00931938" w:rsidRPr="000F0D18" w14:paraId="272BA4BA" w14:textId="77777777" w:rsidTr="00A32AF0">
        <w:trPr>
          <w:trHeight w:val="238"/>
          <w:jc w:val="center"/>
        </w:trPr>
        <w:tc>
          <w:tcPr>
            <w:tcW w:w="2296" w:type="dxa"/>
            <w:shd w:val="clear" w:color="auto" w:fill="auto"/>
            <w:noWrap/>
            <w:hideMark/>
          </w:tcPr>
          <w:p w14:paraId="44943998" w14:textId="77777777" w:rsidR="00931938" w:rsidRPr="000F0D18" w:rsidRDefault="00931938" w:rsidP="000E12F3">
            <w:pPr>
              <w:pStyle w:val="08-Tabelageral"/>
              <w:keepLines w:val="0"/>
              <w:ind w:left="113"/>
              <w:jc w:val="left"/>
              <w:rPr>
                <w:rFonts w:cs="Arial"/>
              </w:rPr>
            </w:pPr>
            <w:r>
              <w:t>Cash and cash Equivalents</w:t>
            </w:r>
          </w:p>
        </w:tc>
        <w:tc>
          <w:tcPr>
            <w:tcW w:w="1224" w:type="dxa"/>
            <w:tcBorders>
              <w:top w:val="nil"/>
              <w:left w:val="nil"/>
              <w:right w:val="nil"/>
            </w:tcBorders>
            <w:shd w:val="clear" w:color="auto" w:fill="auto"/>
            <w:noWrap/>
            <w:vAlign w:val="bottom"/>
          </w:tcPr>
          <w:p w14:paraId="0572680B" w14:textId="77777777" w:rsidR="00931938" w:rsidRPr="00C24578" w:rsidRDefault="00931938" w:rsidP="000E12F3">
            <w:pPr>
              <w:pStyle w:val="08-Tabelageral"/>
            </w:pPr>
            <w:r>
              <w:t>59,002</w:t>
            </w:r>
          </w:p>
        </w:tc>
        <w:tc>
          <w:tcPr>
            <w:tcW w:w="1224" w:type="dxa"/>
            <w:tcBorders>
              <w:top w:val="nil"/>
              <w:left w:val="nil"/>
              <w:right w:val="nil"/>
            </w:tcBorders>
            <w:shd w:val="clear" w:color="auto" w:fill="auto"/>
            <w:noWrap/>
            <w:vAlign w:val="bottom"/>
          </w:tcPr>
          <w:p w14:paraId="110E3016" w14:textId="77777777" w:rsidR="00931938" w:rsidRPr="00C24578" w:rsidRDefault="00931938" w:rsidP="000E12F3">
            <w:pPr>
              <w:pStyle w:val="08-Tabelageral"/>
            </w:pPr>
            <w:r>
              <w:t>--</w:t>
            </w:r>
          </w:p>
        </w:tc>
        <w:tc>
          <w:tcPr>
            <w:tcW w:w="1224" w:type="dxa"/>
            <w:tcBorders>
              <w:top w:val="nil"/>
              <w:left w:val="nil"/>
              <w:right w:val="nil"/>
            </w:tcBorders>
            <w:shd w:val="clear" w:color="auto" w:fill="auto"/>
            <w:noWrap/>
            <w:vAlign w:val="bottom"/>
          </w:tcPr>
          <w:p w14:paraId="68577768" w14:textId="77777777" w:rsidR="00931938" w:rsidRPr="00C24578" w:rsidRDefault="00931938" w:rsidP="000E12F3">
            <w:pPr>
              <w:pStyle w:val="08-Tabelageral"/>
            </w:pPr>
            <w:r>
              <w:t>59,002</w:t>
            </w:r>
          </w:p>
        </w:tc>
        <w:tc>
          <w:tcPr>
            <w:tcW w:w="1223" w:type="dxa"/>
            <w:tcBorders>
              <w:top w:val="nil"/>
              <w:left w:val="nil"/>
              <w:right w:val="nil"/>
            </w:tcBorders>
            <w:shd w:val="clear" w:color="auto" w:fill="auto"/>
            <w:noWrap/>
            <w:vAlign w:val="bottom"/>
          </w:tcPr>
          <w:p w14:paraId="7E8CD28E" w14:textId="77777777" w:rsidR="00931938" w:rsidRPr="00C24578" w:rsidRDefault="00931938" w:rsidP="000E12F3">
            <w:pPr>
              <w:pStyle w:val="08-Tabelageral"/>
              <w:keepLines w:val="0"/>
            </w:pPr>
            <w:r>
              <w:t>369,342</w:t>
            </w:r>
          </w:p>
        </w:tc>
        <w:tc>
          <w:tcPr>
            <w:tcW w:w="1224" w:type="dxa"/>
            <w:tcBorders>
              <w:top w:val="nil"/>
              <w:left w:val="nil"/>
              <w:right w:val="nil"/>
            </w:tcBorders>
            <w:shd w:val="clear" w:color="auto" w:fill="auto"/>
            <w:noWrap/>
            <w:vAlign w:val="bottom"/>
          </w:tcPr>
          <w:p w14:paraId="7B768280" w14:textId="77777777" w:rsidR="00931938" w:rsidRPr="00C24578" w:rsidRDefault="00931938" w:rsidP="000E12F3">
            <w:pPr>
              <w:pStyle w:val="08-Tabelageral"/>
              <w:keepLines w:val="0"/>
            </w:pPr>
            <w:r>
              <w:t>--</w:t>
            </w:r>
          </w:p>
        </w:tc>
        <w:tc>
          <w:tcPr>
            <w:tcW w:w="1224" w:type="dxa"/>
            <w:tcBorders>
              <w:top w:val="nil"/>
              <w:left w:val="nil"/>
              <w:right w:val="nil"/>
            </w:tcBorders>
            <w:shd w:val="clear" w:color="auto" w:fill="auto"/>
            <w:noWrap/>
            <w:vAlign w:val="bottom"/>
          </w:tcPr>
          <w:p w14:paraId="0C795E84" w14:textId="77777777" w:rsidR="00931938" w:rsidRPr="00C24578" w:rsidRDefault="00931938" w:rsidP="000E12F3">
            <w:pPr>
              <w:pStyle w:val="08-Tabelageral"/>
              <w:keepLines w:val="0"/>
            </w:pPr>
            <w:r>
              <w:t>369,342</w:t>
            </w:r>
          </w:p>
        </w:tc>
      </w:tr>
      <w:tr w:rsidR="00931938" w:rsidRPr="000F0D18" w14:paraId="06E9B621" w14:textId="77777777" w:rsidTr="00A32AF0">
        <w:trPr>
          <w:trHeight w:val="238"/>
          <w:jc w:val="center"/>
        </w:trPr>
        <w:tc>
          <w:tcPr>
            <w:tcW w:w="2296" w:type="dxa"/>
            <w:tcBorders>
              <w:bottom w:val="single" w:sz="2" w:space="0" w:color="1F4E79" w:themeColor="accent1" w:themeShade="80"/>
            </w:tcBorders>
            <w:shd w:val="clear" w:color="auto" w:fill="auto"/>
            <w:noWrap/>
            <w:hideMark/>
          </w:tcPr>
          <w:p w14:paraId="505B44F1" w14:textId="77777777" w:rsidR="00931938" w:rsidRPr="000F0D18" w:rsidRDefault="00931938" w:rsidP="000E12F3">
            <w:pPr>
              <w:pStyle w:val="08-Tabelageral"/>
              <w:keepLines w:val="0"/>
              <w:jc w:val="left"/>
              <w:rPr>
                <w:rFonts w:cs="Arial"/>
                <w:b/>
              </w:rPr>
            </w:pPr>
            <w:r w:rsidRPr="000F0D18">
              <w:rPr>
                <w:rFonts w:cs="Arial"/>
                <w:b/>
              </w:rPr>
              <w:t>Total</w:t>
            </w:r>
          </w:p>
        </w:tc>
        <w:tc>
          <w:tcPr>
            <w:tcW w:w="1224" w:type="dxa"/>
            <w:tcBorders>
              <w:top w:val="nil"/>
              <w:left w:val="nil"/>
              <w:bottom w:val="single" w:sz="2" w:space="0" w:color="1F4E79" w:themeColor="accent1" w:themeShade="80"/>
              <w:right w:val="nil"/>
            </w:tcBorders>
            <w:shd w:val="clear" w:color="auto" w:fill="auto"/>
            <w:noWrap/>
            <w:vAlign w:val="bottom"/>
          </w:tcPr>
          <w:p w14:paraId="5870B56E" w14:textId="77777777" w:rsidR="00931938" w:rsidRPr="00ED0236" w:rsidRDefault="00931938" w:rsidP="000E12F3">
            <w:pPr>
              <w:pStyle w:val="08-Tabelageral"/>
              <w:rPr>
                <w:rFonts w:cs="Arial"/>
                <w:b/>
              </w:rPr>
            </w:pPr>
            <w:r>
              <w:rPr>
                <w:rFonts w:cs="Arial"/>
                <w:b/>
              </w:rPr>
              <w:t>59,002</w:t>
            </w:r>
          </w:p>
        </w:tc>
        <w:tc>
          <w:tcPr>
            <w:tcW w:w="1224" w:type="dxa"/>
            <w:tcBorders>
              <w:top w:val="nil"/>
              <w:left w:val="nil"/>
              <w:bottom w:val="single" w:sz="2" w:space="0" w:color="1F4E79" w:themeColor="accent1" w:themeShade="80"/>
              <w:right w:val="nil"/>
            </w:tcBorders>
            <w:shd w:val="clear" w:color="auto" w:fill="auto"/>
            <w:noWrap/>
            <w:vAlign w:val="bottom"/>
          </w:tcPr>
          <w:p w14:paraId="76ED1BAB" w14:textId="77777777" w:rsidR="00931938" w:rsidRPr="00ED0236" w:rsidRDefault="00931938" w:rsidP="000E12F3">
            <w:pPr>
              <w:pStyle w:val="08-Tabelageral"/>
              <w:rPr>
                <w:rFonts w:cs="Arial"/>
                <w:b/>
              </w:rPr>
            </w:pPr>
            <w:r>
              <w:rPr>
                <w:rFonts w:cs="Arial"/>
                <w:b/>
              </w:rPr>
              <w:t>18,064</w:t>
            </w:r>
          </w:p>
        </w:tc>
        <w:tc>
          <w:tcPr>
            <w:tcW w:w="1224" w:type="dxa"/>
            <w:tcBorders>
              <w:top w:val="nil"/>
              <w:left w:val="nil"/>
              <w:bottom w:val="single" w:sz="2" w:space="0" w:color="1F4E79" w:themeColor="accent1" w:themeShade="80"/>
              <w:right w:val="nil"/>
            </w:tcBorders>
            <w:shd w:val="clear" w:color="auto" w:fill="auto"/>
            <w:noWrap/>
            <w:vAlign w:val="bottom"/>
          </w:tcPr>
          <w:p w14:paraId="014B5FBE" w14:textId="77777777" w:rsidR="00931938" w:rsidRPr="00ED0236" w:rsidRDefault="00931938" w:rsidP="000E12F3">
            <w:pPr>
              <w:pStyle w:val="08-Tabelageral"/>
              <w:rPr>
                <w:rFonts w:cs="Arial"/>
                <w:b/>
              </w:rPr>
            </w:pPr>
            <w:r>
              <w:rPr>
                <w:rFonts w:cs="Arial"/>
                <w:b/>
              </w:rPr>
              <w:t>77,066</w:t>
            </w:r>
          </w:p>
        </w:tc>
        <w:tc>
          <w:tcPr>
            <w:tcW w:w="1223" w:type="dxa"/>
            <w:tcBorders>
              <w:top w:val="nil"/>
              <w:left w:val="nil"/>
              <w:bottom w:val="single" w:sz="2" w:space="0" w:color="1F4E79" w:themeColor="accent1" w:themeShade="80"/>
              <w:right w:val="nil"/>
            </w:tcBorders>
            <w:shd w:val="clear" w:color="auto" w:fill="auto"/>
            <w:noWrap/>
            <w:vAlign w:val="bottom"/>
          </w:tcPr>
          <w:p w14:paraId="43A4AFCD" w14:textId="77777777" w:rsidR="00931938" w:rsidRPr="00ED0236" w:rsidRDefault="00931938" w:rsidP="000E12F3">
            <w:pPr>
              <w:pStyle w:val="08-Tabelageral"/>
              <w:keepLines w:val="0"/>
              <w:rPr>
                <w:rFonts w:cs="Arial"/>
                <w:b/>
              </w:rPr>
            </w:pPr>
            <w:r>
              <w:rPr>
                <w:rFonts w:cs="Arial"/>
                <w:b/>
              </w:rPr>
              <w:t>383,353</w:t>
            </w:r>
          </w:p>
        </w:tc>
        <w:tc>
          <w:tcPr>
            <w:tcW w:w="1224" w:type="dxa"/>
            <w:tcBorders>
              <w:top w:val="nil"/>
              <w:left w:val="nil"/>
              <w:bottom w:val="single" w:sz="2" w:space="0" w:color="1F4E79" w:themeColor="accent1" w:themeShade="80"/>
              <w:right w:val="nil"/>
            </w:tcBorders>
            <w:shd w:val="clear" w:color="auto" w:fill="auto"/>
            <w:noWrap/>
            <w:vAlign w:val="bottom"/>
          </w:tcPr>
          <w:p w14:paraId="1FF912A8" w14:textId="77777777" w:rsidR="00931938" w:rsidRPr="00ED0236" w:rsidRDefault="00931938" w:rsidP="000E12F3">
            <w:pPr>
              <w:pStyle w:val="08-Tabelageral"/>
              <w:keepLines w:val="0"/>
              <w:rPr>
                <w:rFonts w:cs="Arial"/>
                <w:b/>
              </w:rPr>
            </w:pPr>
            <w:r>
              <w:rPr>
                <w:rFonts w:cs="Arial"/>
                <w:b/>
              </w:rPr>
              <w:t>--</w:t>
            </w:r>
          </w:p>
        </w:tc>
        <w:tc>
          <w:tcPr>
            <w:tcW w:w="1224" w:type="dxa"/>
            <w:tcBorders>
              <w:top w:val="nil"/>
              <w:left w:val="nil"/>
              <w:bottom w:val="single" w:sz="2" w:space="0" w:color="1F4E79" w:themeColor="accent1" w:themeShade="80"/>
              <w:right w:val="nil"/>
            </w:tcBorders>
            <w:shd w:val="clear" w:color="auto" w:fill="auto"/>
            <w:noWrap/>
            <w:vAlign w:val="bottom"/>
          </w:tcPr>
          <w:p w14:paraId="314D8B67" w14:textId="77777777" w:rsidR="00931938" w:rsidRPr="00ED0236" w:rsidRDefault="00931938" w:rsidP="000E12F3">
            <w:pPr>
              <w:pStyle w:val="08-Tabelageral"/>
              <w:keepLines w:val="0"/>
              <w:rPr>
                <w:rFonts w:cs="Arial"/>
                <w:b/>
              </w:rPr>
            </w:pPr>
            <w:r>
              <w:rPr>
                <w:rFonts w:cs="Arial"/>
                <w:b/>
              </w:rPr>
              <w:t>383,353</w:t>
            </w:r>
          </w:p>
        </w:tc>
      </w:tr>
    </w:tbl>
    <w:p w14:paraId="4EFCBCF2" w14:textId="77777777" w:rsidR="00931938" w:rsidRPr="000F0D18" w:rsidRDefault="00931938" w:rsidP="00BF079C">
      <w:pPr>
        <w:keepNext/>
        <w:keepLines/>
        <w:spacing w:after="0" w:line="240" w:lineRule="auto"/>
        <w:ind w:right="-1"/>
        <w:rPr>
          <w:rFonts w:cs="Arial"/>
          <w:b/>
          <w:sz w:val="14"/>
          <w:szCs w:val="14"/>
        </w:rPr>
      </w:pPr>
    </w:p>
    <w:p w14:paraId="50E96927" w14:textId="77777777" w:rsidR="00931938" w:rsidRDefault="00931938" w:rsidP="00F87438">
      <w:pPr>
        <w:pStyle w:val="PargrafodaLista"/>
        <w:keepNext/>
        <w:keepLines/>
        <w:spacing w:after="0" w:line="240" w:lineRule="auto"/>
        <w:ind w:left="357" w:right="-1"/>
        <w:jc w:val="right"/>
        <w:rPr>
          <w:rFonts w:ascii="Arial" w:hAnsi="Arial" w:cs="Arial"/>
          <w:b/>
          <w:sz w:val="14"/>
          <w:szCs w:val="14"/>
        </w:rPr>
      </w:pPr>
    </w:p>
    <w:p w14:paraId="2573E3D2" w14:textId="77777777" w:rsidR="00931938" w:rsidRPr="000F0D18" w:rsidRDefault="00931938" w:rsidP="00F87438">
      <w:pPr>
        <w:pStyle w:val="PargrafodaLista"/>
        <w:keepNext/>
        <w:keepLines/>
        <w:spacing w:after="0" w:line="240" w:lineRule="auto"/>
        <w:ind w:left="357" w:right="-1"/>
        <w:jc w:val="right"/>
        <w:rPr>
          <w:rFonts w:ascii="Arial" w:hAnsi="Arial" w:cs="Arial"/>
          <w:b/>
          <w:sz w:val="14"/>
          <w:szCs w:val="14"/>
          <w:lang w:eastAsia="pt-BR"/>
        </w:rPr>
      </w:pPr>
      <w:r w:rsidRPr="000F0D18">
        <w:rPr>
          <w:rFonts w:ascii="Arial" w:hAnsi="Arial" w:cs="Arial"/>
          <w:b/>
          <w:sz w:val="14"/>
          <w:szCs w:val="14"/>
        </w:rPr>
        <w:t xml:space="preserve">R$ </w:t>
      </w:r>
      <w:r>
        <w:rPr>
          <w:rFonts w:ascii="Arial" w:hAnsi="Arial" w:cs="Arial"/>
          <w:b/>
          <w:sz w:val="14"/>
          <w:szCs w:val="14"/>
        </w:rPr>
        <w:t>thousand</w:t>
      </w:r>
      <w:r w:rsidRPr="000F0D18">
        <w:rPr>
          <w:rFonts w:ascii="Arial" w:hAnsi="Arial" w:cs="Arial"/>
          <w:b/>
          <w:sz w:val="14"/>
          <w:szCs w:val="14"/>
        </w:rPr>
        <w:t xml:space="preserve"> </w:t>
      </w:r>
    </w:p>
    <w:tbl>
      <w:tblPr>
        <w:tblW w:w="9639" w:type="dxa"/>
        <w:jc w:val="center"/>
        <w:tblLayout w:type="fixed"/>
        <w:tblLook w:val="04A0" w:firstRow="1" w:lastRow="0" w:firstColumn="1" w:lastColumn="0" w:noHBand="0" w:noVBand="1"/>
      </w:tblPr>
      <w:tblGrid>
        <w:gridCol w:w="2296"/>
        <w:gridCol w:w="1224"/>
        <w:gridCol w:w="1224"/>
        <w:gridCol w:w="1224"/>
        <w:gridCol w:w="1223"/>
        <w:gridCol w:w="1224"/>
        <w:gridCol w:w="1224"/>
      </w:tblGrid>
      <w:tr w:rsidR="00931938" w:rsidRPr="000F0D18" w14:paraId="14099151" w14:textId="77777777" w:rsidTr="0099606A">
        <w:trPr>
          <w:trHeight w:val="238"/>
          <w:jc w:val="center"/>
        </w:trPr>
        <w:tc>
          <w:tcPr>
            <w:tcW w:w="2296" w:type="dxa"/>
            <w:tcBorders>
              <w:top w:val="single" w:sz="2" w:space="0" w:color="1F4E79" w:themeColor="accent1" w:themeShade="80"/>
            </w:tcBorders>
            <w:shd w:val="clear" w:color="auto" w:fill="auto"/>
            <w:noWrap/>
            <w:hideMark/>
          </w:tcPr>
          <w:p w14:paraId="69F7C348" w14:textId="77777777" w:rsidR="00931938" w:rsidRPr="000F0D18" w:rsidRDefault="00931938" w:rsidP="00215A20">
            <w:pPr>
              <w:pStyle w:val="08-Tabelageral"/>
              <w:jc w:val="center"/>
              <w:rPr>
                <w:rFonts w:cs="Arial"/>
                <w:b/>
              </w:rPr>
            </w:pPr>
          </w:p>
        </w:tc>
        <w:tc>
          <w:tcPr>
            <w:tcW w:w="7343" w:type="dxa"/>
            <w:gridSpan w:val="6"/>
            <w:tcBorders>
              <w:top w:val="single" w:sz="2" w:space="0" w:color="1F4E79" w:themeColor="accent1" w:themeShade="80"/>
              <w:bottom w:val="single" w:sz="2" w:space="0" w:color="1F4E79" w:themeColor="accent1" w:themeShade="80"/>
            </w:tcBorders>
            <w:shd w:val="clear" w:color="auto" w:fill="auto"/>
            <w:noWrap/>
            <w:vAlign w:val="center"/>
            <w:hideMark/>
          </w:tcPr>
          <w:p w14:paraId="610B92BF" w14:textId="77777777" w:rsidR="00931938" w:rsidRPr="000F0D18" w:rsidRDefault="00931938" w:rsidP="000D11E8">
            <w:pPr>
              <w:pStyle w:val="08-Tabelageral"/>
              <w:jc w:val="center"/>
              <w:rPr>
                <w:rFonts w:cs="Arial"/>
                <w:b/>
              </w:rPr>
            </w:pPr>
            <w:r w:rsidRPr="000F0D18">
              <w:rPr>
                <w:rFonts w:cs="Arial"/>
                <w:b/>
              </w:rPr>
              <w:t>Consoli</w:t>
            </w:r>
            <w:r>
              <w:rPr>
                <w:rFonts w:cs="Arial"/>
                <w:b/>
              </w:rPr>
              <w:t>dated</w:t>
            </w:r>
          </w:p>
        </w:tc>
      </w:tr>
      <w:tr w:rsidR="00931938" w:rsidRPr="000F0D18" w14:paraId="2242F06C" w14:textId="77777777" w:rsidTr="0099606A">
        <w:trPr>
          <w:trHeight w:val="238"/>
          <w:jc w:val="center"/>
        </w:trPr>
        <w:tc>
          <w:tcPr>
            <w:tcW w:w="2296" w:type="dxa"/>
            <w:shd w:val="clear" w:color="auto" w:fill="auto"/>
            <w:noWrap/>
            <w:hideMark/>
          </w:tcPr>
          <w:p w14:paraId="4E18816E" w14:textId="77777777" w:rsidR="00931938" w:rsidRPr="000F0D18" w:rsidRDefault="00931938" w:rsidP="00215A20">
            <w:pPr>
              <w:pStyle w:val="08-Tabelageral"/>
              <w:jc w:val="center"/>
              <w:rPr>
                <w:rFonts w:cs="Arial"/>
                <w:b/>
              </w:rPr>
            </w:pPr>
          </w:p>
        </w:tc>
        <w:tc>
          <w:tcPr>
            <w:tcW w:w="3672"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1D2A2ADC" w14:textId="77777777" w:rsidR="00931938" w:rsidRPr="000F0D18" w:rsidRDefault="00931938" w:rsidP="00CF0D2B">
            <w:pPr>
              <w:pStyle w:val="08-Tabelageral"/>
              <w:jc w:val="center"/>
              <w:rPr>
                <w:rFonts w:cs="Arial"/>
                <w:b/>
              </w:rPr>
            </w:pPr>
            <w:r>
              <w:rPr>
                <w:rFonts w:cs="Arial"/>
                <w:b/>
              </w:rPr>
              <w:t>Dec</w:t>
            </w:r>
            <w:r w:rsidRPr="000D11E8">
              <w:rPr>
                <w:rFonts w:cs="Arial"/>
                <w:b/>
              </w:rPr>
              <w:t xml:space="preserve"> 3</w:t>
            </w:r>
            <w:r>
              <w:rPr>
                <w:rFonts w:cs="Arial"/>
                <w:b/>
              </w:rPr>
              <w:t>1</w:t>
            </w:r>
            <w:r w:rsidRPr="000D11E8">
              <w:rPr>
                <w:rFonts w:cs="Arial"/>
                <w:b/>
              </w:rPr>
              <w:t>, 202</w:t>
            </w:r>
            <w:r>
              <w:rPr>
                <w:rFonts w:cs="Arial"/>
                <w:b/>
              </w:rPr>
              <w:t>2</w:t>
            </w:r>
          </w:p>
        </w:tc>
        <w:tc>
          <w:tcPr>
            <w:tcW w:w="3671"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75BB01DA" w14:textId="77777777" w:rsidR="00931938" w:rsidRPr="000F0D18" w:rsidRDefault="00931938" w:rsidP="00412B95">
            <w:pPr>
              <w:pStyle w:val="08-Tabelageral"/>
              <w:jc w:val="center"/>
              <w:rPr>
                <w:rFonts w:cs="Arial"/>
                <w:b/>
              </w:rPr>
            </w:pPr>
            <w:r w:rsidRPr="000D11E8">
              <w:rPr>
                <w:rFonts w:cs="Arial"/>
                <w:b/>
              </w:rPr>
              <w:t>Dec 31, 20</w:t>
            </w:r>
            <w:r>
              <w:rPr>
                <w:rFonts w:cs="Arial"/>
                <w:b/>
              </w:rPr>
              <w:t>21</w:t>
            </w:r>
          </w:p>
        </w:tc>
      </w:tr>
      <w:tr w:rsidR="00931938" w:rsidRPr="000F0D18" w14:paraId="367C1001" w14:textId="77777777" w:rsidTr="00D33703">
        <w:trPr>
          <w:trHeight w:val="238"/>
          <w:jc w:val="center"/>
        </w:trPr>
        <w:tc>
          <w:tcPr>
            <w:tcW w:w="2296" w:type="dxa"/>
            <w:tcBorders>
              <w:bottom w:val="single" w:sz="2" w:space="0" w:color="1F4E79" w:themeColor="accent1" w:themeShade="80"/>
            </w:tcBorders>
            <w:shd w:val="clear" w:color="auto" w:fill="auto"/>
            <w:noWrap/>
            <w:hideMark/>
          </w:tcPr>
          <w:p w14:paraId="7D0E2C2F" w14:textId="77777777" w:rsidR="00931938" w:rsidRPr="000F0D18" w:rsidRDefault="00931938" w:rsidP="000D11E8">
            <w:pPr>
              <w:pStyle w:val="08-Tabelageral"/>
              <w:jc w:val="center"/>
              <w:rPr>
                <w:rFonts w:cs="Arial"/>
                <w:b/>
              </w:rPr>
            </w:pP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23C1F5D2" w14:textId="77777777" w:rsidR="00931938" w:rsidRPr="000F0D18" w:rsidRDefault="00931938" w:rsidP="000D11E8">
            <w:pPr>
              <w:pStyle w:val="08-Tabelageral"/>
              <w:keepLines w:val="0"/>
              <w:rPr>
                <w:rFonts w:cs="Arial"/>
                <w:b/>
              </w:rPr>
            </w:pPr>
            <w:r>
              <w:rPr>
                <w:rFonts w:cs="Arial"/>
                <w:b/>
              </w:rPr>
              <w:t>Leve</w:t>
            </w:r>
            <w:r w:rsidRPr="000F0D18">
              <w:rPr>
                <w:rFonts w:cs="Arial"/>
                <w:b/>
              </w:rPr>
              <w:t>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63003EBF" w14:textId="77777777" w:rsidR="00931938" w:rsidRPr="000F0D18" w:rsidRDefault="00931938" w:rsidP="000D11E8">
            <w:pPr>
              <w:pStyle w:val="08-Tabelageral"/>
              <w:keepLines w:val="0"/>
              <w:rPr>
                <w:rFonts w:cs="Arial"/>
                <w:b/>
              </w:rPr>
            </w:pPr>
            <w:r>
              <w:rPr>
                <w:rFonts w:cs="Arial"/>
                <w:b/>
              </w:rPr>
              <w:t>Level</w:t>
            </w:r>
            <w:r w:rsidRPr="000F0D18">
              <w:rPr>
                <w:rFonts w:cs="Arial"/>
                <w:b/>
              </w:rPr>
              <w:t xml:space="preserve">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1B740DD7" w14:textId="77777777" w:rsidR="00931938" w:rsidRPr="000F0D18" w:rsidRDefault="00931938" w:rsidP="000D11E8">
            <w:pPr>
              <w:pStyle w:val="08-Tabelageral"/>
              <w:keepLines w:val="0"/>
              <w:rPr>
                <w:rFonts w:cs="Arial"/>
                <w:b/>
              </w:rPr>
            </w:pPr>
            <w:r w:rsidRPr="000F0D18">
              <w:rPr>
                <w:rFonts w:cs="Arial"/>
                <w:b/>
              </w:rPr>
              <w:t>Total</w:t>
            </w:r>
          </w:p>
        </w:tc>
        <w:tc>
          <w:tcPr>
            <w:tcW w:w="1223" w:type="dxa"/>
            <w:tcBorders>
              <w:top w:val="single" w:sz="2" w:space="0" w:color="1F4E79" w:themeColor="accent1" w:themeShade="80"/>
              <w:bottom w:val="single" w:sz="2" w:space="0" w:color="1F4E79" w:themeColor="accent1" w:themeShade="80"/>
            </w:tcBorders>
            <w:shd w:val="clear" w:color="auto" w:fill="auto"/>
            <w:vAlign w:val="center"/>
            <w:hideMark/>
          </w:tcPr>
          <w:p w14:paraId="4E43AC86" w14:textId="77777777" w:rsidR="00931938" w:rsidRPr="000F0D18" w:rsidRDefault="00931938" w:rsidP="000D11E8">
            <w:pPr>
              <w:pStyle w:val="08-Tabelageral"/>
              <w:keepLines w:val="0"/>
              <w:rPr>
                <w:rFonts w:cs="Arial"/>
                <w:b/>
              </w:rPr>
            </w:pPr>
            <w:r>
              <w:rPr>
                <w:rFonts w:cs="Arial"/>
                <w:b/>
              </w:rPr>
              <w:t>Level</w:t>
            </w:r>
            <w:r w:rsidRPr="000F0D18">
              <w:rPr>
                <w:rFonts w:cs="Arial"/>
                <w:b/>
              </w:rPr>
              <w:t xml:space="preserve">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153E6C18" w14:textId="77777777" w:rsidR="00931938" w:rsidRPr="000F0D18" w:rsidRDefault="00931938" w:rsidP="000D11E8">
            <w:pPr>
              <w:pStyle w:val="08-Tabelageral"/>
              <w:keepLines w:val="0"/>
              <w:rPr>
                <w:rFonts w:cs="Arial"/>
                <w:b/>
              </w:rPr>
            </w:pPr>
            <w:r>
              <w:rPr>
                <w:rFonts w:cs="Arial"/>
                <w:b/>
              </w:rPr>
              <w:t>Level</w:t>
            </w:r>
            <w:r w:rsidRPr="000F0D18">
              <w:rPr>
                <w:rFonts w:cs="Arial"/>
                <w:b/>
              </w:rPr>
              <w:t xml:space="preserve">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16C59F46" w14:textId="77777777" w:rsidR="00931938" w:rsidRPr="000F0D18" w:rsidRDefault="00931938" w:rsidP="000D11E8">
            <w:pPr>
              <w:pStyle w:val="08-Tabelageral"/>
              <w:keepLines w:val="0"/>
              <w:rPr>
                <w:rFonts w:cs="Arial"/>
                <w:b/>
              </w:rPr>
            </w:pPr>
            <w:r w:rsidRPr="000F0D18">
              <w:rPr>
                <w:rFonts w:cs="Arial"/>
                <w:b/>
              </w:rPr>
              <w:t>Total</w:t>
            </w:r>
          </w:p>
        </w:tc>
      </w:tr>
      <w:tr w:rsidR="00931938" w:rsidRPr="000F0D18" w14:paraId="622027EC" w14:textId="77777777" w:rsidTr="00713779">
        <w:trPr>
          <w:trHeight w:val="238"/>
          <w:jc w:val="center"/>
        </w:trPr>
        <w:tc>
          <w:tcPr>
            <w:tcW w:w="2296" w:type="dxa"/>
            <w:tcBorders>
              <w:top w:val="single" w:sz="2" w:space="0" w:color="1F4E79" w:themeColor="accent1" w:themeShade="80"/>
              <w:left w:val="nil"/>
              <w:bottom w:val="nil"/>
              <w:right w:val="nil"/>
            </w:tcBorders>
            <w:shd w:val="clear" w:color="auto" w:fill="auto"/>
            <w:noWrap/>
            <w:vAlign w:val="bottom"/>
            <w:hideMark/>
          </w:tcPr>
          <w:p w14:paraId="507ECC75" w14:textId="77777777" w:rsidR="00931938" w:rsidRPr="00CC6E14" w:rsidRDefault="00931938" w:rsidP="00052779">
            <w:pPr>
              <w:pStyle w:val="08-Tabelageral"/>
              <w:ind w:left="113"/>
              <w:jc w:val="left"/>
              <w:rPr>
                <w:vertAlign w:val="superscript"/>
              </w:rPr>
            </w:pPr>
            <w:r>
              <w:t xml:space="preserve">Long-term fund </w:t>
            </w:r>
            <w:r>
              <w:rPr>
                <w:vertAlign w:val="superscript"/>
              </w:rPr>
              <w:t>(3)</w:t>
            </w:r>
          </w:p>
        </w:tc>
        <w:tc>
          <w:tcPr>
            <w:tcW w:w="1224" w:type="dxa"/>
            <w:tcBorders>
              <w:top w:val="single" w:sz="2" w:space="0" w:color="1F4E79" w:themeColor="accent1" w:themeShade="80"/>
              <w:left w:val="nil"/>
              <w:bottom w:val="nil"/>
              <w:right w:val="nil"/>
            </w:tcBorders>
            <w:shd w:val="clear" w:color="auto" w:fill="auto"/>
            <w:noWrap/>
            <w:vAlign w:val="bottom"/>
          </w:tcPr>
          <w:p w14:paraId="2B767308" w14:textId="77777777" w:rsidR="00931938" w:rsidRPr="00C24578" w:rsidRDefault="00931938" w:rsidP="00052779">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7A27BB2A" w14:textId="77777777" w:rsidR="00931938" w:rsidRPr="00C24578" w:rsidRDefault="00931938" w:rsidP="00052779">
            <w:pPr>
              <w:pStyle w:val="08-Tabelageral"/>
            </w:pPr>
            <w:r>
              <w:t>18,064</w:t>
            </w:r>
          </w:p>
        </w:tc>
        <w:tc>
          <w:tcPr>
            <w:tcW w:w="1224" w:type="dxa"/>
            <w:tcBorders>
              <w:top w:val="single" w:sz="2" w:space="0" w:color="1F4E79" w:themeColor="accent1" w:themeShade="80"/>
              <w:left w:val="nil"/>
              <w:bottom w:val="nil"/>
              <w:right w:val="nil"/>
            </w:tcBorders>
            <w:shd w:val="clear" w:color="auto" w:fill="auto"/>
            <w:noWrap/>
            <w:vAlign w:val="bottom"/>
          </w:tcPr>
          <w:p w14:paraId="6144427A" w14:textId="77777777" w:rsidR="00931938" w:rsidRPr="00C24578" w:rsidRDefault="00931938" w:rsidP="00052779">
            <w:pPr>
              <w:pStyle w:val="08-Tabelageral"/>
            </w:pPr>
            <w:r>
              <w:t>18,064</w:t>
            </w:r>
          </w:p>
        </w:tc>
        <w:tc>
          <w:tcPr>
            <w:tcW w:w="1223" w:type="dxa"/>
            <w:tcBorders>
              <w:top w:val="single" w:sz="2" w:space="0" w:color="1F4E79" w:themeColor="accent1" w:themeShade="80"/>
              <w:left w:val="nil"/>
              <w:bottom w:val="nil"/>
              <w:right w:val="nil"/>
            </w:tcBorders>
            <w:shd w:val="clear" w:color="auto" w:fill="auto"/>
            <w:noWrap/>
            <w:vAlign w:val="bottom"/>
          </w:tcPr>
          <w:p w14:paraId="12B724DB" w14:textId="77777777" w:rsidR="00931938" w:rsidRPr="00C24578" w:rsidRDefault="00931938" w:rsidP="00052779">
            <w:pPr>
              <w:pStyle w:val="08-Tabelageral"/>
            </w:pPr>
            <w:r>
              <w:t>14,011</w:t>
            </w:r>
          </w:p>
        </w:tc>
        <w:tc>
          <w:tcPr>
            <w:tcW w:w="1224" w:type="dxa"/>
            <w:tcBorders>
              <w:top w:val="single" w:sz="2" w:space="0" w:color="1F4E79" w:themeColor="accent1" w:themeShade="80"/>
              <w:left w:val="nil"/>
              <w:bottom w:val="nil"/>
              <w:right w:val="nil"/>
            </w:tcBorders>
            <w:shd w:val="clear" w:color="auto" w:fill="auto"/>
            <w:noWrap/>
            <w:vAlign w:val="bottom"/>
          </w:tcPr>
          <w:p w14:paraId="170D9391" w14:textId="77777777" w:rsidR="00931938" w:rsidRPr="00C24578" w:rsidRDefault="00931938" w:rsidP="00052779">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7EE2E961" w14:textId="77777777" w:rsidR="00931938" w:rsidRPr="00C24578" w:rsidRDefault="00931938" w:rsidP="00052779">
            <w:pPr>
              <w:pStyle w:val="08-Tabelageral"/>
            </w:pPr>
            <w:r>
              <w:t>14,011</w:t>
            </w:r>
          </w:p>
        </w:tc>
      </w:tr>
      <w:tr w:rsidR="00931938" w:rsidRPr="000F0D18" w14:paraId="5833F8D2" w14:textId="77777777" w:rsidTr="00713779">
        <w:trPr>
          <w:trHeight w:val="238"/>
          <w:jc w:val="center"/>
        </w:trPr>
        <w:tc>
          <w:tcPr>
            <w:tcW w:w="2296" w:type="dxa"/>
            <w:tcBorders>
              <w:top w:val="nil"/>
              <w:left w:val="nil"/>
              <w:bottom w:val="nil"/>
              <w:right w:val="nil"/>
            </w:tcBorders>
            <w:shd w:val="clear" w:color="auto" w:fill="auto"/>
            <w:noWrap/>
            <w:vAlign w:val="bottom"/>
            <w:hideMark/>
          </w:tcPr>
          <w:p w14:paraId="06A861FA" w14:textId="77777777" w:rsidR="00931938" w:rsidRPr="00C24578" w:rsidRDefault="00931938" w:rsidP="00052779">
            <w:pPr>
              <w:pStyle w:val="08-Tabelageral"/>
              <w:ind w:left="113"/>
              <w:jc w:val="left"/>
            </w:pPr>
            <w:r>
              <w:t>TPF</w:t>
            </w:r>
          </w:p>
        </w:tc>
        <w:tc>
          <w:tcPr>
            <w:tcW w:w="1224" w:type="dxa"/>
            <w:tcBorders>
              <w:top w:val="nil"/>
              <w:left w:val="nil"/>
              <w:bottom w:val="nil"/>
              <w:right w:val="nil"/>
            </w:tcBorders>
            <w:shd w:val="clear" w:color="auto" w:fill="auto"/>
            <w:noWrap/>
            <w:vAlign w:val="bottom"/>
          </w:tcPr>
          <w:p w14:paraId="04C3741D" w14:textId="77777777" w:rsidR="00931938" w:rsidRPr="00C24578" w:rsidRDefault="00931938" w:rsidP="00052779">
            <w:pPr>
              <w:pStyle w:val="08-Tabelageral"/>
            </w:pPr>
            <w:r>
              <w:t>350,217</w:t>
            </w:r>
          </w:p>
        </w:tc>
        <w:tc>
          <w:tcPr>
            <w:tcW w:w="1224" w:type="dxa"/>
            <w:tcBorders>
              <w:top w:val="nil"/>
              <w:left w:val="nil"/>
              <w:bottom w:val="nil"/>
              <w:right w:val="nil"/>
            </w:tcBorders>
            <w:shd w:val="clear" w:color="auto" w:fill="auto"/>
            <w:noWrap/>
            <w:vAlign w:val="bottom"/>
          </w:tcPr>
          <w:p w14:paraId="594A2A2A" w14:textId="77777777" w:rsidR="00931938" w:rsidRPr="00C24578" w:rsidRDefault="00931938" w:rsidP="00052779">
            <w:pPr>
              <w:pStyle w:val="08-Tabelageral"/>
            </w:pPr>
            <w:r>
              <w:t>--</w:t>
            </w:r>
          </w:p>
        </w:tc>
        <w:tc>
          <w:tcPr>
            <w:tcW w:w="1224" w:type="dxa"/>
            <w:tcBorders>
              <w:top w:val="nil"/>
              <w:left w:val="nil"/>
              <w:bottom w:val="nil"/>
              <w:right w:val="nil"/>
            </w:tcBorders>
            <w:shd w:val="clear" w:color="auto" w:fill="auto"/>
            <w:noWrap/>
            <w:vAlign w:val="bottom"/>
          </w:tcPr>
          <w:p w14:paraId="0D407EDA" w14:textId="77777777" w:rsidR="00931938" w:rsidRPr="00C24578" w:rsidRDefault="00931938" w:rsidP="00052779">
            <w:pPr>
              <w:pStyle w:val="08-Tabelageral"/>
            </w:pPr>
            <w:r>
              <w:t>350,217</w:t>
            </w:r>
          </w:p>
        </w:tc>
        <w:tc>
          <w:tcPr>
            <w:tcW w:w="1223" w:type="dxa"/>
            <w:tcBorders>
              <w:top w:val="nil"/>
              <w:left w:val="nil"/>
              <w:bottom w:val="nil"/>
              <w:right w:val="nil"/>
            </w:tcBorders>
            <w:shd w:val="clear" w:color="auto" w:fill="auto"/>
            <w:noWrap/>
            <w:vAlign w:val="bottom"/>
          </w:tcPr>
          <w:p w14:paraId="7E4F32C1" w14:textId="77777777" w:rsidR="00931938" w:rsidRPr="00C24578" w:rsidRDefault="00931938" w:rsidP="00052779">
            <w:pPr>
              <w:pStyle w:val="08-Tabelageral"/>
            </w:pPr>
            <w:r>
              <w:t>--</w:t>
            </w:r>
          </w:p>
        </w:tc>
        <w:tc>
          <w:tcPr>
            <w:tcW w:w="1224" w:type="dxa"/>
            <w:tcBorders>
              <w:top w:val="nil"/>
              <w:left w:val="nil"/>
              <w:bottom w:val="nil"/>
              <w:right w:val="nil"/>
            </w:tcBorders>
            <w:shd w:val="clear" w:color="auto" w:fill="auto"/>
            <w:noWrap/>
            <w:vAlign w:val="bottom"/>
          </w:tcPr>
          <w:p w14:paraId="3F5B13D8" w14:textId="77777777" w:rsidR="00931938" w:rsidRPr="00C24578" w:rsidRDefault="00931938" w:rsidP="00052779">
            <w:pPr>
              <w:pStyle w:val="08-Tabelageral"/>
            </w:pPr>
            <w:r>
              <w:t>--</w:t>
            </w:r>
          </w:p>
        </w:tc>
        <w:tc>
          <w:tcPr>
            <w:tcW w:w="1224" w:type="dxa"/>
            <w:tcBorders>
              <w:top w:val="nil"/>
              <w:left w:val="nil"/>
              <w:bottom w:val="nil"/>
              <w:right w:val="nil"/>
            </w:tcBorders>
            <w:shd w:val="clear" w:color="auto" w:fill="auto"/>
            <w:noWrap/>
            <w:vAlign w:val="bottom"/>
          </w:tcPr>
          <w:p w14:paraId="24151784" w14:textId="77777777" w:rsidR="00931938" w:rsidRPr="00C24578" w:rsidRDefault="00931938" w:rsidP="00052779">
            <w:pPr>
              <w:pStyle w:val="08-Tabelageral"/>
            </w:pPr>
            <w:r>
              <w:t>--</w:t>
            </w:r>
          </w:p>
        </w:tc>
      </w:tr>
      <w:tr w:rsidR="00931938" w:rsidRPr="000F0D18" w14:paraId="305F74CF" w14:textId="77777777" w:rsidTr="00D73514">
        <w:trPr>
          <w:trHeight w:val="238"/>
          <w:jc w:val="center"/>
        </w:trPr>
        <w:tc>
          <w:tcPr>
            <w:tcW w:w="2296" w:type="dxa"/>
            <w:tcBorders>
              <w:top w:val="nil"/>
              <w:left w:val="nil"/>
              <w:right w:val="nil"/>
            </w:tcBorders>
            <w:shd w:val="clear" w:color="auto" w:fill="auto"/>
            <w:noWrap/>
            <w:vAlign w:val="bottom"/>
          </w:tcPr>
          <w:p w14:paraId="5CDD7045" w14:textId="77777777" w:rsidR="00931938" w:rsidRPr="00C24578" w:rsidRDefault="00931938" w:rsidP="00BE7406">
            <w:pPr>
              <w:pStyle w:val="08-Tabelageral"/>
              <w:ind w:left="113"/>
              <w:jc w:val="left"/>
            </w:pPr>
            <w:r w:rsidRPr="000E12F3">
              <w:t>Cash and cash Equivalents</w:t>
            </w:r>
          </w:p>
        </w:tc>
        <w:tc>
          <w:tcPr>
            <w:tcW w:w="1224" w:type="dxa"/>
            <w:tcBorders>
              <w:top w:val="nil"/>
              <w:left w:val="nil"/>
              <w:right w:val="nil"/>
            </w:tcBorders>
            <w:shd w:val="clear" w:color="auto" w:fill="auto"/>
            <w:noWrap/>
            <w:vAlign w:val="bottom"/>
          </w:tcPr>
          <w:p w14:paraId="3628FB0E" w14:textId="77777777" w:rsidR="00931938" w:rsidRPr="00C24578" w:rsidRDefault="00931938" w:rsidP="00BE7406">
            <w:pPr>
              <w:pStyle w:val="08-Tabelageral"/>
            </w:pPr>
            <w:r>
              <w:t>6,076,618</w:t>
            </w:r>
          </w:p>
        </w:tc>
        <w:tc>
          <w:tcPr>
            <w:tcW w:w="1224" w:type="dxa"/>
            <w:tcBorders>
              <w:top w:val="nil"/>
              <w:left w:val="nil"/>
              <w:right w:val="nil"/>
            </w:tcBorders>
            <w:shd w:val="clear" w:color="auto" w:fill="auto"/>
            <w:noWrap/>
            <w:vAlign w:val="bottom"/>
          </w:tcPr>
          <w:p w14:paraId="5D3428D1" w14:textId="77777777" w:rsidR="00931938" w:rsidRPr="00C24578" w:rsidRDefault="00931938" w:rsidP="00BE7406">
            <w:pPr>
              <w:pStyle w:val="08-Tabelageral"/>
            </w:pPr>
            <w:r>
              <w:t>--</w:t>
            </w:r>
          </w:p>
        </w:tc>
        <w:tc>
          <w:tcPr>
            <w:tcW w:w="1224" w:type="dxa"/>
            <w:tcBorders>
              <w:top w:val="nil"/>
              <w:left w:val="nil"/>
              <w:right w:val="nil"/>
            </w:tcBorders>
            <w:shd w:val="clear" w:color="auto" w:fill="auto"/>
            <w:noWrap/>
            <w:vAlign w:val="bottom"/>
          </w:tcPr>
          <w:p w14:paraId="350EC6DF" w14:textId="77777777" w:rsidR="00931938" w:rsidRPr="00C24578" w:rsidRDefault="00931938" w:rsidP="00BE7406">
            <w:pPr>
              <w:pStyle w:val="08-Tabelageral"/>
            </w:pPr>
            <w:r>
              <w:t>6,076,618</w:t>
            </w:r>
          </w:p>
        </w:tc>
        <w:tc>
          <w:tcPr>
            <w:tcW w:w="1223" w:type="dxa"/>
            <w:tcBorders>
              <w:top w:val="nil"/>
              <w:left w:val="nil"/>
              <w:bottom w:val="nil"/>
              <w:right w:val="nil"/>
            </w:tcBorders>
            <w:shd w:val="clear" w:color="auto" w:fill="auto"/>
            <w:noWrap/>
            <w:vAlign w:val="bottom"/>
          </w:tcPr>
          <w:p w14:paraId="12F036E6" w14:textId="77777777" w:rsidR="00931938" w:rsidRPr="00C24578" w:rsidRDefault="00931938" w:rsidP="00BE7406">
            <w:pPr>
              <w:pStyle w:val="08-Tabelageral"/>
            </w:pPr>
            <w:r>
              <w:t>4,090,560</w:t>
            </w:r>
          </w:p>
        </w:tc>
        <w:tc>
          <w:tcPr>
            <w:tcW w:w="1224" w:type="dxa"/>
            <w:tcBorders>
              <w:top w:val="nil"/>
              <w:left w:val="nil"/>
              <w:bottom w:val="nil"/>
              <w:right w:val="nil"/>
            </w:tcBorders>
            <w:shd w:val="clear" w:color="auto" w:fill="auto"/>
            <w:noWrap/>
            <w:vAlign w:val="bottom"/>
          </w:tcPr>
          <w:p w14:paraId="2476DFE3" w14:textId="77777777" w:rsidR="00931938" w:rsidRPr="00C24578" w:rsidRDefault="00931938" w:rsidP="00BE7406">
            <w:pPr>
              <w:pStyle w:val="08-Tabelageral"/>
            </w:pPr>
            <w:r>
              <w:t>--</w:t>
            </w:r>
          </w:p>
        </w:tc>
        <w:tc>
          <w:tcPr>
            <w:tcW w:w="1224" w:type="dxa"/>
            <w:tcBorders>
              <w:top w:val="nil"/>
              <w:left w:val="nil"/>
              <w:bottom w:val="nil"/>
              <w:right w:val="nil"/>
            </w:tcBorders>
            <w:shd w:val="clear" w:color="auto" w:fill="auto"/>
            <w:noWrap/>
            <w:vAlign w:val="bottom"/>
          </w:tcPr>
          <w:p w14:paraId="7F77C221" w14:textId="77777777" w:rsidR="00931938" w:rsidRPr="00C24578" w:rsidRDefault="00931938" w:rsidP="00BE7406">
            <w:pPr>
              <w:pStyle w:val="08-Tabelageral"/>
            </w:pPr>
            <w:r>
              <w:t>4,090,560</w:t>
            </w:r>
          </w:p>
        </w:tc>
      </w:tr>
      <w:tr w:rsidR="00931938" w:rsidRPr="00ED0236" w14:paraId="77DB935A" w14:textId="77777777" w:rsidTr="00713779">
        <w:trPr>
          <w:trHeight w:val="238"/>
          <w:jc w:val="center"/>
        </w:trPr>
        <w:tc>
          <w:tcPr>
            <w:tcW w:w="2296" w:type="dxa"/>
            <w:tcBorders>
              <w:bottom w:val="single" w:sz="2" w:space="0" w:color="1F4E79" w:themeColor="accent1" w:themeShade="80"/>
            </w:tcBorders>
            <w:shd w:val="clear" w:color="auto" w:fill="auto"/>
            <w:noWrap/>
            <w:hideMark/>
          </w:tcPr>
          <w:p w14:paraId="5910F6C0" w14:textId="77777777" w:rsidR="00931938" w:rsidRPr="000F0D18" w:rsidRDefault="00931938" w:rsidP="00BE7406">
            <w:pPr>
              <w:pStyle w:val="08-Tabelageral"/>
              <w:jc w:val="left"/>
              <w:rPr>
                <w:rFonts w:cs="Arial"/>
                <w:b/>
              </w:rPr>
            </w:pPr>
            <w:r w:rsidRPr="000F0D18">
              <w:rPr>
                <w:rFonts w:cs="Arial"/>
                <w:b/>
              </w:rPr>
              <w:t>Total</w:t>
            </w:r>
          </w:p>
        </w:tc>
        <w:tc>
          <w:tcPr>
            <w:tcW w:w="1224" w:type="dxa"/>
            <w:tcBorders>
              <w:top w:val="nil"/>
              <w:left w:val="nil"/>
              <w:bottom w:val="single" w:sz="2" w:space="0" w:color="1F4E79" w:themeColor="accent1" w:themeShade="80"/>
              <w:right w:val="nil"/>
            </w:tcBorders>
            <w:shd w:val="clear" w:color="auto" w:fill="auto"/>
            <w:noWrap/>
            <w:vAlign w:val="bottom"/>
          </w:tcPr>
          <w:p w14:paraId="7AD6FD83" w14:textId="77777777" w:rsidR="00931938" w:rsidRPr="00ED0236" w:rsidRDefault="00931938" w:rsidP="00BE7406">
            <w:pPr>
              <w:pStyle w:val="08-Tabelageral"/>
              <w:rPr>
                <w:rFonts w:cs="Arial"/>
                <w:b/>
              </w:rPr>
            </w:pPr>
            <w:r>
              <w:rPr>
                <w:rFonts w:cs="Arial"/>
                <w:b/>
              </w:rPr>
              <w:t>6,426,835</w:t>
            </w:r>
          </w:p>
        </w:tc>
        <w:tc>
          <w:tcPr>
            <w:tcW w:w="1224" w:type="dxa"/>
            <w:tcBorders>
              <w:top w:val="nil"/>
              <w:left w:val="nil"/>
              <w:bottom w:val="single" w:sz="2" w:space="0" w:color="1F4E79" w:themeColor="accent1" w:themeShade="80"/>
              <w:right w:val="nil"/>
            </w:tcBorders>
            <w:shd w:val="clear" w:color="auto" w:fill="auto"/>
            <w:noWrap/>
            <w:vAlign w:val="bottom"/>
          </w:tcPr>
          <w:p w14:paraId="24C87BA9" w14:textId="77777777" w:rsidR="00931938" w:rsidRPr="00ED0236" w:rsidRDefault="00931938" w:rsidP="00BE7406">
            <w:pPr>
              <w:pStyle w:val="08-Tabelageral"/>
              <w:rPr>
                <w:rFonts w:cs="Arial"/>
                <w:b/>
              </w:rPr>
            </w:pPr>
            <w:r>
              <w:rPr>
                <w:rFonts w:cs="Arial"/>
                <w:b/>
              </w:rPr>
              <w:t>18,064</w:t>
            </w:r>
          </w:p>
        </w:tc>
        <w:tc>
          <w:tcPr>
            <w:tcW w:w="1224" w:type="dxa"/>
            <w:tcBorders>
              <w:top w:val="nil"/>
              <w:left w:val="nil"/>
              <w:bottom w:val="single" w:sz="2" w:space="0" w:color="1F4E79" w:themeColor="accent1" w:themeShade="80"/>
              <w:right w:val="nil"/>
            </w:tcBorders>
            <w:shd w:val="clear" w:color="auto" w:fill="auto"/>
            <w:noWrap/>
            <w:vAlign w:val="bottom"/>
          </w:tcPr>
          <w:p w14:paraId="3A3CB99E" w14:textId="77777777" w:rsidR="00931938" w:rsidRPr="00ED0236" w:rsidRDefault="00931938" w:rsidP="00BE7406">
            <w:pPr>
              <w:pStyle w:val="08-Tabelageral"/>
              <w:rPr>
                <w:rFonts w:cs="Arial"/>
                <w:b/>
              </w:rPr>
            </w:pPr>
            <w:r>
              <w:rPr>
                <w:rFonts w:cs="Arial"/>
                <w:b/>
              </w:rPr>
              <w:t>6,444,899</w:t>
            </w:r>
          </w:p>
        </w:tc>
        <w:tc>
          <w:tcPr>
            <w:tcW w:w="1223" w:type="dxa"/>
            <w:tcBorders>
              <w:top w:val="nil"/>
              <w:left w:val="nil"/>
              <w:bottom w:val="single" w:sz="2" w:space="0" w:color="1F4E79" w:themeColor="accent1" w:themeShade="80"/>
              <w:right w:val="nil"/>
            </w:tcBorders>
            <w:shd w:val="clear" w:color="auto" w:fill="auto"/>
            <w:noWrap/>
            <w:vAlign w:val="bottom"/>
          </w:tcPr>
          <w:p w14:paraId="46A9B738" w14:textId="77777777" w:rsidR="00931938" w:rsidRPr="00ED0236" w:rsidRDefault="00931938" w:rsidP="00BE7406">
            <w:pPr>
              <w:pStyle w:val="08-Tabelageral"/>
              <w:rPr>
                <w:rFonts w:cs="Arial"/>
                <w:b/>
              </w:rPr>
            </w:pPr>
            <w:r>
              <w:rPr>
                <w:rFonts w:cs="Arial"/>
                <w:b/>
              </w:rPr>
              <w:t>4,104,571</w:t>
            </w:r>
          </w:p>
        </w:tc>
        <w:tc>
          <w:tcPr>
            <w:tcW w:w="1224" w:type="dxa"/>
            <w:tcBorders>
              <w:top w:val="nil"/>
              <w:left w:val="nil"/>
              <w:bottom w:val="single" w:sz="2" w:space="0" w:color="1F4E79" w:themeColor="accent1" w:themeShade="80"/>
              <w:right w:val="nil"/>
            </w:tcBorders>
            <w:shd w:val="clear" w:color="auto" w:fill="auto"/>
            <w:noWrap/>
            <w:vAlign w:val="bottom"/>
          </w:tcPr>
          <w:p w14:paraId="77E6AA7E" w14:textId="77777777" w:rsidR="00931938" w:rsidRPr="00ED0236" w:rsidRDefault="00931938" w:rsidP="00BE7406">
            <w:pPr>
              <w:pStyle w:val="08-Tabelageral"/>
              <w:rPr>
                <w:rFonts w:cs="Arial"/>
                <w:b/>
              </w:rPr>
            </w:pPr>
            <w:r>
              <w:rPr>
                <w:rFonts w:cs="Arial"/>
                <w:b/>
              </w:rPr>
              <w:t>--</w:t>
            </w:r>
          </w:p>
        </w:tc>
        <w:tc>
          <w:tcPr>
            <w:tcW w:w="1224" w:type="dxa"/>
            <w:tcBorders>
              <w:top w:val="nil"/>
              <w:left w:val="nil"/>
              <w:bottom w:val="single" w:sz="2" w:space="0" w:color="1F4E79" w:themeColor="accent1" w:themeShade="80"/>
              <w:right w:val="nil"/>
            </w:tcBorders>
            <w:shd w:val="clear" w:color="auto" w:fill="auto"/>
            <w:noWrap/>
            <w:vAlign w:val="bottom"/>
          </w:tcPr>
          <w:p w14:paraId="6727AB18" w14:textId="77777777" w:rsidR="00931938" w:rsidRPr="00ED0236" w:rsidRDefault="00931938" w:rsidP="00BE7406">
            <w:pPr>
              <w:pStyle w:val="08-Tabelageral"/>
              <w:rPr>
                <w:rFonts w:cs="Arial"/>
                <w:b/>
              </w:rPr>
            </w:pPr>
            <w:r>
              <w:rPr>
                <w:rFonts w:cs="Arial"/>
                <w:b/>
              </w:rPr>
              <w:t>4,104,571</w:t>
            </w:r>
          </w:p>
        </w:tc>
      </w:tr>
    </w:tbl>
    <w:p w14:paraId="3DB0E985" w14:textId="77777777" w:rsidR="00931938" w:rsidRPr="00052779" w:rsidRDefault="00931938" w:rsidP="00931938">
      <w:pPr>
        <w:pStyle w:val="PargrafodaLista"/>
        <w:keepLines/>
        <w:numPr>
          <w:ilvl w:val="0"/>
          <w:numId w:val="36"/>
        </w:numPr>
        <w:tabs>
          <w:tab w:val="left" w:pos="284"/>
        </w:tabs>
        <w:spacing w:before="40" w:after="0" w:line="240" w:lineRule="auto"/>
        <w:contextualSpacing w:val="0"/>
        <w:jc w:val="both"/>
        <w:rPr>
          <w:rFonts w:ascii="Arial" w:eastAsia="Times New Roman" w:hAnsi="Arial" w:cs="Arial"/>
          <w:vanish/>
          <w:spacing w:val="-2"/>
          <w:sz w:val="14"/>
          <w:szCs w:val="18"/>
          <w:lang w:eastAsia="pt-BR"/>
        </w:rPr>
      </w:pPr>
    </w:p>
    <w:bookmarkEnd w:id="49"/>
    <w:p w14:paraId="46FB56AD" w14:textId="77777777" w:rsidR="00931938" w:rsidRPr="00052779" w:rsidRDefault="00931938" w:rsidP="00931938">
      <w:pPr>
        <w:pStyle w:val="PargrafodaLista"/>
        <w:numPr>
          <w:ilvl w:val="0"/>
          <w:numId w:val="21"/>
        </w:numPr>
        <w:spacing w:after="0"/>
        <w:jc w:val="both"/>
        <w:rPr>
          <w:rFonts w:ascii="Arial" w:eastAsia="Times New Roman" w:hAnsi="Arial" w:cs="Times New Roman"/>
          <w:spacing w:val="-2"/>
          <w:sz w:val="14"/>
          <w:szCs w:val="18"/>
          <w:lang w:val="en-US" w:eastAsia="pt-BR"/>
        </w:rPr>
      </w:pPr>
      <w:r w:rsidRPr="00052779">
        <w:rPr>
          <w:rFonts w:ascii="Arial" w:eastAsia="Times New Roman" w:hAnsi="Arial" w:cs="Times New Roman"/>
          <w:spacing w:val="-2"/>
          <w:sz w:val="14"/>
          <w:szCs w:val="18"/>
          <w:lang w:val="en-US" w:eastAsia="pt-BR"/>
        </w:rPr>
        <w:t>After reviewing the amounts allocated to long-term funds, there was an adjustment in the classification from Level 1 to Level 3 of the fair value hierarchy, due to the preponderance of assets whose valuation techniques make use of information that is not directly observable in the market.</w:t>
      </w:r>
    </w:p>
    <w:p w14:paraId="33391001" w14:textId="77777777" w:rsidR="00931938" w:rsidRPr="00052779" w:rsidRDefault="00931938" w:rsidP="00052779">
      <w:pPr>
        <w:pStyle w:val="07-Legenda"/>
        <w:keepNext/>
        <w:ind w:firstLine="0"/>
        <w:rPr>
          <w:rFonts w:cs="Arial"/>
          <w:b/>
          <w:szCs w:val="14"/>
          <w:lang w:val="en-US"/>
        </w:rPr>
      </w:pPr>
    </w:p>
    <w:p w14:paraId="187B229F" w14:textId="668487CA" w:rsidR="00931938" w:rsidRPr="00AB4D1D" w:rsidRDefault="00931938" w:rsidP="00FC4475">
      <w:pPr>
        <w:pStyle w:val="Ttulo1"/>
      </w:pPr>
      <w:bookmarkStart w:id="51" w:name="_Toc126781108"/>
      <w:r w:rsidRPr="00AB4D1D">
        <w:t>17 – DIVIDENDS / INTEREST ON EQUITY CAPITAL RECEIVABLE</w:t>
      </w:r>
      <w:bookmarkEnd w:id="51"/>
    </w:p>
    <w:p w14:paraId="46EBDB8B" w14:textId="77777777" w:rsidR="00931938" w:rsidRPr="004C6ED9" w:rsidRDefault="00931938" w:rsidP="0043555A">
      <w:pPr>
        <w:pStyle w:val="01-TtulodeNota"/>
        <w:spacing w:before="0" w:after="0"/>
        <w:jc w:val="right"/>
        <w:rPr>
          <w:sz w:val="14"/>
          <w:szCs w:val="14"/>
        </w:rPr>
      </w:pPr>
      <w:r w:rsidRPr="004C6ED9">
        <w:rPr>
          <w:sz w:val="14"/>
          <w:szCs w:val="14"/>
        </w:rPr>
        <w:t xml:space="preserve">R$ </w:t>
      </w:r>
      <w:r>
        <w:rPr>
          <w:sz w:val="14"/>
          <w:szCs w:val="14"/>
        </w:rPr>
        <w:t>thousand</w:t>
      </w:r>
    </w:p>
    <w:tbl>
      <w:tblPr>
        <w:tblW w:w="9639" w:type="dxa"/>
        <w:tblBorders>
          <w:top w:val="single" w:sz="6" w:space="0" w:color="1F4E79" w:themeColor="accent1" w:themeShade="80"/>
          <w:bottom w:val="single" w:sz="6" w:space="0" w:color="1F4E79" w:themeColor="accent1" w:themeShade="80"/>
          <w:insideH w:val="single" w:sz="6"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931938" w:rsidRPr="004C6ED9" w14:paraId="56658B9D" w14:textId="77777777" w:rsidTr="00041095">
        <w:trPr>
          <w:trHeight w:val="238"/>
        </w:trPr>
        <w:tc>
          <w:tcPr>
            <w:tcW w:w="850" w:type="dxa"/>
            <w:tcBorders>
              <w:bottom w:val="nil"/>
            </w:tcBorders>
            <w:shd w:val="clear" w:color="auto" w:fill="auto"/>
            <w:vAlign w:val="center"/>
          </w:tcPr>
          <w:p w14:paraId="61523CA9" w14:textId="77777777" w:rsidR="00931938" w:rsidRPr="004C6ED9" w:rsidRDefault="00931938" w:rsidP="0079276F">
            <w:pPr>
              <w:keepNext/>
              <w:keepLines/>
              <w:spacing w:before="40" w:after="40"/>
              <w:jc w:val="center"/>
              <w:rPr>
                <w:rFonts w:cs="Arial"/>
                <w:b/>
                <w:bCs/>
                <w:spacing w:val="-2"/>
                <w:sz w:val="14"/>
                <w:szCs w:val="14"/>
              </w:rPr>
            </w:pPr>
          </w:p>
        </w:tc>
        <w:tc>
          <w:tcPr>
            <w:tcW w:w="2848" w:type="dxa"/>
            <w:gridSpan w:val="2"/>
            <w:tcBorders>
              <w:bottom w:val="nil"/>
            </w:tcBorders>
            <w:shd w:val="clear" w:color="auto" w:fill="auto"/>
            <w:vAlign w:val="center"/>
          </w:tcPr>
          <w:p w14:paraId="2AEDFF14" w14:textId="77777777" w:rsidR="00931938" w:rsidRPr="004C6ED9" w:rsidRDefault="00931938" w:rsidP="0079276F">
            <w:pPr>
              <w:keepNext/>
              <w:keepLines/>
              <w:spacing w:before="40" w:after="40"/>
              <w:jc w:val="center"/>
              <w:rPr>
                <w:rFonts w:cs="Arial"/>
                <w:spacing w:val="-2"/>
                <w:sz w:val="14"/>
                <w:szCs w:val="14"/>
              </w:rPr>
            </w:pPr>
          </w:p>
        </w:tc>
        <w:tc>
          <w:tcPr>
            <w:tcW w:w="2823" w:type="dxa"/>
            <w:gridSpan w:val="2"/>
            <w:tcBorders>
              <w:bottom w:val="single" w:sz="6" w:space="0" w:color="1F4E79" w:themeColor="accent1" w:themeShade="80"/>
            </w:tcBorders>
            <w:shd w:val="clear" w:color="auto" w:fill="auto"/>
            <w:vAlign w:val="center"/>
          </w:tcPr>
          <w:p w14:paraId="075F7A63" w14:textId="77777777" w:rsidR="00931938" w:rsidRPr="0079276F" w:rsidRDefault="00931938" w:rsidP="0079276F">
            <w:pPr>
              <w:keepNext/>
              <w:keepLines/>
              <w:spacing w:before="40" w:after="40"/>
              <w:jc w:val="center"/>
              <w:rPr>
                <w:rFonts w:cs="Arial"/>
                <w:b/>
                <w:spacing w:val="-2"/>
                <w:sz w:val="14"/>
                <w:szCs w:val="14"/>
                <w:vertAlign w:val="superscript"/>
              </w:rPr>
            </w:pPr>
            <w:r>
              <w:rPr>
                <w:rFonts w:cs="Arial"/>
                <w:b/>
                <w:spacing w:val="-2"/>
                <w:sz w:val="14"/>
                <w:szCs w:val="14"/>
              </w:rPr>
              <w:t>Parent</w:t>
            </w:r>
          </w:p>
        </w:tc>
        <w:tc>
          <w:tcPr>
            <w:tcW w:w="283" w:type="dxa"/>
            <w:tcBorders>
              <w:bottom w:val="single" w:sz="6" w:space="0" w:color="1F4E79" w:themeColor="accent1" w:themeShade="80"/>
            </w:tcBorders>
            <w:shd w:val="clear" w:color="auto" w:fill="auto"/>
            <w:vAlign w:val="center"/>
          </w:tcPr>
          <w:p w14:paraId="74E6CC74" w14:textId="77777777" w:rsidR="00931938" w:rsidRPr="0079276F" w:rsidRDefault="00931938" w:rsidP="0079276F">
            <w:pPr>
              <w:keepNext/>
              <w:keepLines/>
              <w:spacing w:before="40" w:after="40"/>
              <w:jc w:val="center"/>
              <w:rPr>
                <w:rFonts w:cs="Arial"/>
                <w:b/>
                <w:bCs/>
                <w:spacing w:val="-2"/>
                <w:sz w:val="14"/>
                <w:szCs w:val="14"/>
              </w:rPr>
            </w:pPr>
          </w:p>
        </w:tc>
        <w:tc>
          <w:tcPr>
            <w:tcW w:w="2835" w:type="dxa"/>
            <w:gridSpan w:val="2"/>
            <w:tcBorders>
              <w:bottom w:val="single" w:sz="6" w:space="0" w:color="1F4E79" w:themeColor="accent1" w:themeShade="80"/>
            </w:tcBorders>
            <w:shd w:val="clear" w:color="auto" w:fill="auto"/>
            <w:vAlign w:val="center"/>
          </w:tcPr>
          <w:p w14:paraId="553E6996" w14:textId="77777777" w:rsidR="00931938" w:rsidRPr="0079276F" w:rsidRDefault="00931938" w:rsidP="0079276F">
            <w:pPr>
              <w:keepNext/>
              <w:keepLines/>
              <w:spacing w:before="40" w:after="40"/>
              <w:jc w:val="center"/>
              <w:rPr>
                <w:rFonts w:cs="Arial"/>
                <w:b/>
                <w:spacing w:val="-2"/>
                <w:sz w:val="14"/>
                <w:szCs w:val="14"/>
                <w:vertAlign w:val="superscript"/>
              </w:rPr>
            </w:pPr>
            <w:r w:rsidRPr="0079276F">
              <w:rPr>
                <w:rFonts w:cs="Arial"/>
                <w:b/>
                <w:spacing w:val="-2"/>
                <w:sz w:val="14"/>
                <w:szCs w:val="14"/>
              </w:rPr>
              <w:t>Consolida</w:t>
            </w:r>
            <w:r>
              <w:rPr>
                <w:rFonts w:cs="Arial"/>
                <w:b/>
                <w:spacing w:val="-2"/>
                <w:sz w:val="14"/>
                <w:szCs w:val="14"/>
              </w:rPr>
              <w:t>ted</w:t>
            </w:r>
          </w:p>
        </w:tc>
      </w:tr>
      <w:tr w:rsidR="00931938" w:rsidRPr="004C6ED9" w14:paraId="17A5E180" w14:textId="77777777" w:rsidTr="00772095">
        <w:trPr>
          <w:trHeight w:val="238"/>
        </w:trPr>
        <w:tc>
          <w:tcPr>
            <w:tcW w:w="3094" w:type="dxa"/>
            <w:gridSpan w:val="2"/>
            <w:tcBorders>
              <w:top w:val="nil"/>
              <w:bottom w:val="single" w:sz="6" w:space="0" w:color="1F4E79" w:themeColor="accent1" w:themeShade="80"/>
            </w:tcBorders>
            <w:shd w:val="clear" w:color="auto" w:fill="auto"/>
            <w:vAlign w:val="center"/>
          </w:tcPr>
          <w:p w14:paraId="10A9E400" w14:textId="77777777" w:rsidR="00931938" w:rsidRPr="004C6ED9" w:rsidRDefault="00931938" w:rsidP="0079276F">
            <w:pPr>
              <w:keepNext/>
              <w:keepLines/>
              <w:spacing w:before="40" w:after="40"/>
              <w:jc w:val="center"/>
              <w:rPr>
                <w:rFonts w:cs="Arial"/>
                <w:spacing w:val="-2"/>
                <w:sz w:val="14"/>
                <w:szCs w:val="14"/>
              </w:rPr>
            </w:pPr>
          </w:p>
        </w:tc>
        <w:tc>
          <w:tcPr>
            <w:tcW w:w="604" w:type="dxa"/>
            <w:tcBorders>
              <w:top w:val="nil"/>
              <w:bottom w:val="single" w:sz="6" w:space="0" w:color="1F4E79" w:themeColor="accent1" w:themeShade="80"/>
            </w:tcBorders>
            <w:shd w:val="clear" w:color="auto" w:fill="auto"/>
            <w:vAlign w:val="center"/>
          </w:tcPr>
          <w:p w14:paraId="609C7EEF" w14:textId="77777777" w:rsidR="00931938" w:rsidRPr="004C6ED9" w:rsidRDefault="00931938" w:rsidP="0079276F">
            <w:pPr>
              <w:keepNext/>
              <w:keepLines/>
              <w:spacing w:before="40" w:after="40"/>
              <w:jc w:val="center"/>
              <w:rPr>
                <w:rFonts w:cs="Arial"/>
                <w:b/>
                <w:spacing w:val="-2"/>
                <w:sz w:val="14"/>
                <w:szCs w:val="14"/>
              </w:rPr>
            </w:pPr>
          </w:p>
        </w:tc>
        <w:tc>
          <w:tcPr>
            <w:tcW w:w="1411" w:type="dxa"/>
            <w:tcBorders>
              <w:bottom w:val="single" w:sz="6" w:space="0" w:color="1F4E79" w:themeColor="accent1" w:themeShade="80"/>
            </w:tcBorders>
            <w:shd w:val="clear" w:color="auto" w:fill="auto"/>
            <w:vAlign w:val="center"/>
          </w:tcPr>
          <w:p w14:paraId="6EBE73BC" w14:textId="77777777" w:rsidR="00931938" w:rsidRPr="00CF762E" w:rsidRDefault="00931938" w:rsidP="00772095">
            <w:pPr>
              <w:keepNext/>
              <w:keepLines/>
              <w:spacing w:before="40" w:after="40"/>
              <w:jc w:val="right"/>
              <w:rPr>
                <w:rFonts w:cs="Arial"/>
                <w:b/>
                <w:spacing w:val="-2"/>
                <w:sz w:val="14"/>
                <w:szCs w:val="14"/>
                <w:vertAlign w:val="superscript"/>
              </w:rPr>
            </w:pPr>
            <w:r>
              <w:rPr>
                <w:rFonts w:cs="Arial"/>
                <w:b/>
                <w:spacing w:val="-2"/>
                <w:sz w:val="14"/>
                <w:szCs w:val="14"/>
              </w:rPr>
              <w:t xml:space="preserve">Dec </w:t>
            </w:r>
            <w:r w:rsidRPr="004C6ED9">
              <w:rPr>
                <w:rFonts w:cs="Arial"/>
                <w:b/>
                <w:spacing w:val="-2"/>
                <w:sz w:val="14"/>
                <w:szCs w:val="14"/>
              </w:rPr>
              <w:t>3</w:t>
            </w:r>
            <w:r>
              <w:rPr>
                <w:rFonts w:cs="Arial"/>
                <w:b/>
                <w:spacing w:val="-2"/>
                <w:sz w:val="14"/>
                <w:szCs w:val="14"/>
              </w:rPr>
              <w:t xml:space="preserve">1, </w:t>
            </w:r>
            <w:r w:rsidRPr="004C6ED9">
              <w:rPr>
                <w:rFonts w:cs="Arial"/>
                <w:b/>
                <w:spacing w:val="-2"/>
                <w:sz w:val="14"/>
                <w:szCs w:val="14"/>
              </w:rPr>
              <w:t>20</w:t>
            </w:r>
            <w:r>
              <w:rPr>
                <w:rFonts w:cs="Arial"/>
                <w:b/>
                <w:spacing w:val="-2"/>
                <w:sz w:val="14"/>
                <w:szCs w:val="14"/>
              </w:rPr>
              <w:t>22</w:t>
            </w:r>
          </w:p>
        </w:tc>
        <w:tc>
          <w:tcPr>
            <w:tcW w:w="1412" w:type="dxa"/>
            <w:tcBorders>
              <w:bottom w:val="single" w:sz="6" w:space="0" w:color="1F4E79" w:themeColor="accent1" w:themeShade="80"/>
            </w:tcBorders>
            <w:shd w:val="clear" w:color="auto" w:fill="auto"/>
            <w:vAlign w:val="center"/>
          </w:tcPr>
          <w:p w14:paraId="1B6AD621" w14:textId="77777777" w:rsidR="00931938" w:rsidRPr="00AF7E05" w:rsidRDefault="00931938" w:rsidP="00772095">
            <w:pPr>
              <w:keepNext/>
              <w:keepLines/>
              <w:spacing w:before="40" w:after="40"/>
              <w:jc w:val="right"/>
              <w:rPr>
                <w:rFonts w:cs="Arial"/>
                <w:b/>
                <w:spacing w:val="-2"/>
                <w:sz w:val="14"/>
                <w:szCs w:val="14"/>
                <w:vertAlign w:val="superscript"/>
              </w:rPr>
            </w:pPr>
            <w:r>
              <w:rPr>
                <w:rFonts w:cs="Arial"/>
                <w:b/>
                <w:spacing w:val="-2"/>
                <w:sz w:val="14"/>
                <w:szCs w:val="14"/>
              </w:rPr>
              <w:t xml:space="preserve">Dec </w:t>
            </w:r>
            <w:r w:rsidRPr="004C6ED9">
              <w:rPr>
                <w:rFonts w:cs="Arial"/>
                <w:b/>
                <w:spacing w:val="-2"/>
                <w:sz w:val="14"/>
                <w:szCs w:val="14"/>
              </w:rPr>
              <w:t>31</w:t>
            </w:r>
            <w:r>
              <w:rPr>
                <w:rFonts w:cs="Arial"/>
                <w:b/>
                <w:spacing w:val="-2"/>
                <w:sz w:val="14"/>
                <w:szCs w:val="14"/>
              </w:rPr>
              <w:t xml:space="preserve">, </w:t>
            </w:r>
            <w:r w:rsidRPr="004C6ED9">
              <w:rPr>
                <w:rFonts w:cs="Arial"/>
                <w:b/>
                <w:spacing w:val="-2"/>
                <w:sz w:val="14"/>
                <w:szCs w:val="14"/>
              </w:rPr>
              <w:t>20</w:t>
            </w:r>
            <w:r>
              <w:rPr>
                <w:rFonts w:cs="Arial"/>
                <w:b/>
                <w:spacing w:val="-2"/>
                <w:sz w:val="14"/>
                <w:szCs w:val="14"/>
              </w:rPr>
              <w:t xml:space="preserve">21 </w:t>
            </w:r>
            <w:r>
              <w:rPr>
                <w:rFonts w:cs="Arial"/>
                <w:b/>
                <w:spacing w:val="-2"/>
                <w:sz w:val="14"/>
                <w:szCs w:val="14"/>
                <w:vertAlign w:val="superscript"/>
              </w:rPr>
              <w:t>(1)</w:t>
            </w:r>
          </w:p>
        </w:tc>
        <w:tc>
          <w:tcPr>
            <w:tcW w:w="283" w:type="dxa"/>
            <w:tcBorders>
              <w:bottom w:val="single" w:sz="6" w:space="0" w:color="1F4E79" w:themeColor="accent1" w:themeShade="80"/>
            </w:tcBorders>
            <w:shd w:val="clear" w:color="auto" w:fill="auto"/>
            <w:vAlign w:val="center"/>
          </w:tcPr>
          <w:p w14:paraId="6CA579F1" w14:textId="77777777" w:rsidR="00931938" w:rsidRPr="004C6ED9" w:rsidRDefault="00931938" w:rsidP="00772095">
            <w:pPr>
              <w:keepNext/>
              <w:keepLines/>
              <w:spacing w:before="40" w:after="40"/>
              <w:jc w:val="right"/>
              <w:rPr>
                <w:rFonts w:cs="Arial"/>
                <w:b/>
                <w:spacing w:val="-2"/>
                <w:sz w:val="14"/>
                <w:szCs w:val="14"/>
              </w:rPr>
            </w:pPr>
          </w:p>
        </w:tc>
        <w:tc>
          <w:tcPr>
            <w:tcW w:w="1417" w:type="dxa"/>
            <w:tcBorders>
              <w:bottom w:val="single" w:sz="6" w:space="0" w:color="1F4E79" w:themeColor="accent1" w:themeShade="80"/>
            </w:tcBorders>
            <w:shd w:val="clear" w:color="auto" w:fill="auto"/>
            <w:vAlign w:val="center"/>
          </w:tcPr>
          <w:p w14:paraId="2343F71B" w14:textId="77777777" w:rsidR="00931938" w:rsidRPr="004C6ED9" w:rsidRDefault="00931938" w:rsidP="00772095">
            <w:pPr>
              <w:keepNext/>
              <w:keepLines/>
              <w:spacing w:before="40" w:after="40"/>
              <w:jc w:val="right"/>
              <w:rPr>
                <w:rFonts w:cs="Arial"/>
                <w:b/>
                <w:spacing w:val="-2"/>
                <w:sz w:val="14"/>
                <w:szCs w:val="14"/>
              </w:rPr>
            </w:pPr>
            <w:r>
              <w:rPr>
                <w:rFonts w:cs="Arial"/>
                <w:b/>
                <w:spacing w:val="-2"/>
                <w:sz w:val="14"/>
                <w:szCs w:val="14"/>
              </w:rPr>
              <w:t xml:space="preserve">Dec </w:t>
            </w:r>
            <w:r w:rsidRPr="004C6ED9">
              <w:rPr>
                <w:rFonts w:cs="Arial"/>
                <w:b/>
                <w:spacing w:val="-2"/>
                <w:sz w:val="14"/>
                <w:szCs w:val="14"/>
              </w:rPr>
              <w:t>3</w:t>
            </w:r>
            <w:r>
              <w:rPr>
                <w:rFonts w:cs="Arial"/>
                <w:b/>
                <w:spacing w:val="-2"/>
                <w:sz w:val="14"/>
                <w:szCs w:val="14"/>
              </w:rPr>
              <w:t xml:space="preserve">1, </w:t>
            </w:r>
            <w:r w:rsidRPr="004C6ED9">
              <w:rPr>
                <w:rFonts w:cs="Arial"/>
                <w:b/>
                <w:spacing w:val="-2"/>
                <w:sz w:val="14"/>
                <w:szCs w:val="14"/>
              </w:rPr>
              <w:t>20</w:t>
            </w:r>
            <w:r>
              <w:rPr>
                <w:rFonts w:cs="Arial"/>
                <w:b/>
                <w:spacing w:val="-2"/>
                <w:sz w:val="14"/>
                <w:szCs w:val="14"/>
              </w:rPr>
              <w:t>22</w:t>
            </w:r>
          </w:p>
        </w:tc>
        <w:tc>
          <w:tcPr>
            <w:tcW w:w="1418" w:type="dxa"/>
            <w:tcBorders>
              <w:bottom w:val="single" w:sz="6" w:space="0" w:color="1F4E79" w:themeColor="accent1" w:themeShade="80"/>
            </w:tcBorders>
            <w:shd w:val="clear" w:color="auto" w:fill="auto"/>
            <w:vAlign w:val="center"/>
          </w:tcPr>
          <w:p w14:paraId="016B97A9" w14:textId="77777777" w:rsidR="00931938" w:rsidRPr="0082415E" w:rsidRDefault="00931938" w:rsidP="00772095">
            <w:pPr>
              <w:keepNext/>
              <w:keepLines/>
              <w:spacing w:before="40" w:after="40"/>
              <w:jc w:val="right"/>
              <w:rPr>
                <w:rFonts w:cs="Arial"/>
                <w:b/>
                <w:spacing w:val="-2"/>
                <w:sz w:val="14"/>
                <w:szCs w:val="14"/>
                <w:vertAlign w:val="superscript"/>
              </w:rPr>
            </w:pPr>
            <w:r>
              <w:rPr>
                <w:rFonts w:cs="Arial"/>
                <w:b/>
                <w:spacing w:val="-2"/>
                <w:sz w:val="14"/>
                <w:szCs w:val="14"/>
              </w:rPr>
              <w:t xml:space="preserve">Dec </w:t>
            </w:r>
            <w:r w:rsidRPr="004C6ED9">
              <w:rPr>
                <w:rFonts w:cs="Arial"/>
                <w:b/>
                <w:spacing w:val="-2"/>
                <w:sz w:val="14"/>
                <w:szCs w:val="14"/>
              </w:rPr>
              <w:t>31</w:t>
            </w:r>
            <w:r>
              <w:rPr>
                <w:rFonts w:cs="Arial"/>
                <w:b/>
                <w:spacing w:val="-2"/>
                <w:sz w:val="14"/>
                <w:szCs w:val="14"/>
              </w:rPr>
              <w:t xml:space="preserve">, </w:t>
            </w:r>
            <w:r w:rsidRPr="004C6ED9">
              <w:rPr>
                <w:rFonts w:cs="Arial"/>
                <w:b/>
                <w:spacing w:val="-2"/>
                <w:sz w:val="14"/>
                <w:szCs w:val="14"/>
              </w:rPr>
              <w:t>20</w:t>
            </w:r>
            <w:r>
              <w:rPr>
                <w:rFonts w:cs="Arial"/>
                <w:b/>
                <w:spacing w:val="-2"/>
                <w:sz w:val="14"/>
                <w:szCs w:val="14"/>
              </w:rPr>
              <w:t>21</w:t>
            </w:r>
          </w:p>
        </w:tc>
      </w:tr>
      <w:tr w:rsidR="00931938" w:rsidRPr="004C6ED9" w14:paraId="7DB2E323" w14:textId="77777777" w:rsidTr="00772095">
        <w:trPr>
          <w:trHeight w:val="238"/>
        </w:trPr>
        <w:tc>
          <w:tcPr>
            <w:tcW w:w="3094" w:type="dxa"/>
            <w:gridSpan w:val="2"/>
            <w:tcBorders>
              <w:top w:val="single" w:sz="6" w:space="0" w:color="1F4E79" w:themeColor="accent1" w:themeShade="80"/>
            </w:tcBorders>
            <w:shd w:val="clear" w:color="auto" w:fill="auto"/>
            <w:vAlign w:val="center"/>
          </w:tcPr>
          <w:p w14:paraId="51C89A55" w14:textId="77777777" w:rsidR="00931938" w:rsidRPr="00B92CC7" w:rsidRDefault="00931938" w:rsidP="00772095">
            <w:pPr>
              <w:pStyle w:val="08-Tabelageral"/>
              <w:jc w:val="left"/>
              <w:rPr>
                <w:rFonts w:cs="Arial"/>
                <w:b/>
                <w:szCs w:val="14"/>
                <w:vertAlign w:val="superscript"/>
              </w:rPr>
            </w:pPr>
            <w:r>
              <w:rPr>
                <w:rFonts w:cs="Arial"/>
                <w:szCs w:val="14"/>
              </w:rPr>
              <w:t>Dividends receivable</w:t>
            </w:r>
          </w:p>
        </w:tc>
        <w:tc>
          <w:tcPr>
            <w:tcW w:w="604" w:type="dxa"/>
            <w:tcBorders>
              <w:top w:val="single" w:sz="6" w:space="0" w:color="1F4E79" w:themeColor="accent1" w:themeShade="80"/>
            </w:tcBorders>
            <w:shd w:val="clear" w:color="auto" w:fill="auto"/>
          </w:tcPr>
          <w:p w14:paraId="17D58204" w14:textId="77777777" w:rsidR="00931938" w:rsidRPr="004C6ED9" w:rsidRDefault="00931938" w:rsidP="00922DF8">
            <w:pPr>
              <w:pStyle w:val="08-Tabelageral"/>
              <w:rPr>
                <w:rFonts w:cs="Arial"/>
                <w:szCs w:val="14"/>
              </w:rPr>
            </w:pPr>
          </w:p>
        </w:tc>
        <w:tc>
          <w:tcPr>
            <w:tcW w:w="1411" w:type="dxa"/>
            <w:tcBorders>
              <w:top w:val="single" w:sz="6" w:space="0" w:color="1F4E79" w:themeColor="accent1" w:themeShade="80"/>
            </w:tcBorders>
            <w:shd w:val="clear" w:color="auto" w:fill="auto"/>
            <w:vAlign w:val="center"/>
          </w:tcPr>
          <w:p w14:paraId="74E9880D" w14:textId="77777777" w:rsidR="00931938" w:rsidRPr="004C6ED9" w:rsidRDefault="00931938" w:rsidP="00772095">
            <w:pPr>
              <w:pStyle w:val="08-Tabelageral"/>
              <w:rPr>
                <w:rFonts w:cs="Arial"/>
                <w:szCs w:val="14"/>
              </w:rPr>
            </w:pPr>
            <w:r w:rsidRPr="00772095">
              <w:rPr>
                <w:rFonts w:cs="Arial"/>
                <w:szCs w:val="14"/>
              </w:rPr>
              <w:t>3</w:t>
            </w:r>
            <w:r>
              <w:rPr>
                <w:rFonts w:cs="Arial"/>
                <w:szCs w:val="14"/>
              </w:rPr>
              <w:t>,</w:t>
            </w:r>
            <w:r w:rsidRPr="00772095">
              <w:rPr>
                <w:rFonts w:cs="Arial"/>
                <w:szCs w:val="14"/>
              </w:rPr>
              <w:t>683</w:t>
            </w:r>
            <w:r>
              <w:rPr>
                <w:rFonts w:cs="Arial"/>
                <w:szCs w:val="14"/>
              </w:rPr>
              <w:t>,</w:t>
            </w:r>
            <w:r w:rsidRPr="00772095">
              <w:rPr>
                <w:rFonts w:cs="Arial"/>
                <w:szCs w:val="14"/>
              </w:rPr>
              <w:t>356</w:t>
            </w:r>
          </w:p>
        </w:tc>
        <w:tc>
          <w:tcPr>
            <w:tcW w:w="1412" w:type="dxa"/>
            <w:tcBorders>
              <w:top w:val="single" w:sz="6" w:space="0" w:color="1F4E79" w:themeColor="accent1" w:themeShade="80"/>
            </w:tcBorders>
            <w:shd w:val="clear" w:color="auto" w:fill="auto"/>
            <w:vAlign w:val="center"/>
          </w:tcPr>
          <w:p w14:paraId="3E154831" w14:textId="77777777" w:rsidR="00931938" w:rsidRPr="004C6ED9" w:rsidRDefault="00931938" w:rsidP="00772095">
            <w:pPr>
              <w:pStyle w:val="08-Tabelageral"/>
              <w:rPr>
                <w:rFonts w:cs="Arial"/>
                <w:szCs w:val="14"/>
              </w:rPr>
            </w:pPr>
            <w:r>
              <w:rPr>
                <w:rFonts w:cs="Arial"/>
                <w:szCs w:val="14"/>
              </w:rPr>
              <w:t>1,572,428</w:t>
            </w:r>
          </w:p>
        </w:tc>
        <w:tc>
          <w:tcPr>
            <w:tcW w:w="283" w:type="dxa"/>
            <w:tcBorders>
              <w:top w:val="single" w:sz="6" w:space="0" w:color="1F4E79" w:themeColor="accent1" w:themeShade="80"/>
            </w:tcBorders>
            <w:shd w:val="clear" w:color="auto" w:fill="auto"/>
            <w:vAlign w:val="center"/>
          </w:tcPr>
          <w:p w14:paraId="517F682D" w14:textId="77777777" w:rsidR="00931938" w:rsidRPr="004C6ED9" w:rsidRDefault="00931938" w:rsidP="00772095">
            <w:pPr>
              <w:pStyle w:val="08-Tabelageral"/>
              <w:rPr>
                <w:rFonts w:cs="Arial"/>
                <w:szCs w:val="14"/>
              </w:rPr>
            </w:pPr>
          </w:p>
        </w:tc>
        <w:tc>
          <w:tcPr>
            <w:tcW w:w="1417" w:type="dxa"/>
            <w:tcBorders>
              <w:top w:val="single" w:sz="6" w:space="0" w:color="1F4E79" w:themeColor="accent1" w:themeShade="80"/>
            </w:tcBorders>
            <w:shd w:val="clear" w:color="auto" w:fill="auto"/>
            <w:vAlign w:val="center"/>
          </w:tcPr>
          <w:p w14:paraId="1FCC612A" w14:textId="77777777" w:rsidR="00931938" w:rsidRPr="004C6ED9" w:rsidRDefault="00931938" w:rsidP="00772095">
            <w:pPr>
              <w:pStyle w:val="08-Tabelageral"/>
              <w:ind w:right="313"/>
              <w:rPr>
                <w:rFonts w:cs="Arial"/>
                <w:szCs w:val="14"/>
              </w:rPr>
            </w:pPr>
            <w:r w:rsidRPr="00772095">
              <w:rPr>
                <w:rFonts w:cs="Arial"/>
                <w:szCs w:val="14"/>
              </w:rPr>
              <w:t>13</w:t>
            </w:r>
            <w:r>
              <w:rPr>
                <w:rFonts w:cs="Arial"/>
                <w:szCs w:val="14"/>
              </w:rPr>
              <w:t>,</w:t>
            </w:r>
            <w:r w:rsidRPr="00772095">
              <w:rPr>
                <w:rFonts w:cs="Arial"/>
                <w:szCs w:val="14"/>
              </w:rPr>
              <w:t>519</w:t>
            </w:r>
          </w:p>
        </w:tc>
        <w:tc>
          <w:tcPr>
            <w:tcW w:w="1418" w:type="dxa"/>
            <w:tcBorders>
              <w:top w:val="single" w:sz="6" w:space="0" w:color="1F4E79" w:themeColor="accent1" w:themeShade="80"/>
            </w:tcBorders>
            <w:shd w:val="clear" w:color="auto" w:fill="auto"/>
            <w:vAlign w:val="center"/>
          </w:tcPr>
          <w:p w14:paraId="7EB8416D" w14:textId="77777777" w:rsidR="00931938" w:rsidRPr="004C6ED9" w:rsidRDefault="00931938" w:rsidP="00772095">
            <w:pPr>
              <w:pStyle w:val="08-Tabelageral"/>
              <w:rPr>
                <w:rFonts w:cs="Arial"/>
                <w:szCs w:val="14"/>
              </w:rPr>
            </w:pPr>
            <w:r>
              <w:rPr>
                <w:rFonts w:cs="Arial"/>
                <w:szCs w:val="14"/>
              </w:rPr>
              <w:t>1,648</w:t>
            </w:r>
          </w:p>
        </w:tc>
      </w:tr>
    </w:tbl>
    <w:p w14:paraId="52C0AF53" w14:textId="77777777" w:rsidR="00931938" w:rsidRPr="00931938" w:rsidRDefault="00931938" w:rsidP="00931938">
      <w:pPr>
        <w:pStyle w:val="07-Legenda"/>
        <w:numPr>
          <w:ilvl w:val="0"/>
          <w:numId w:val="2"/>
        </w:numPr>
        <w:ind w:left="284" w:hanging="284"/>
        <w:rPr>
          <w:szCs w:val="14"/>
          <w:lang w:val="en-US"/>
        </w:rPr>
      </w:pPr>
      <w:r>
        <w:rPr>
          <w:lang w:val="en-US"/>
        </w:rPr>
        <w:t xml:space="preserve">On Dec </w:t>
      </w:r>
      <w:r w:rsidRPr="00931938">
        <w:rPr>
          <w:szCs w:val="14"/>
          <w:lang w:val="en-US"/>
        </w:rPr>
        <w:t>31, 2021, refers to dividends receivable from BB Corretora and BB Seguros paid on Feb 23, 2022.</w:t>
      </w:r>
    </w:p>
    <w:p w14:paraId="66E04B40" w14:textId="60EA056D" w:rsidR="008C707F" w:rsidRPr="006B0F73" w:rsidRDefault="008C707F" w:rsidP="00931938">
      <w:pPr>
        <w:pStyle w:val="Ttulo2"/>
        <w:rPr>
          <w:rFonts w:eastAsiaTheme="minorHAnsi"/>
          <w:lang w:val="en-US"/>
        </w:rPr>
      </w:pPr>
    </w:p>
    <w:p w14:paraId="2CB5FBBA" w14:textId="6A0BC74F" w:rsidR="00931938" w:rsidRPr="00AB4D1D" w:rsidRDefault="00931938" w:rsidP="00FC4475">
      <w:pPr>
        <w:pStyle w:val="Ttulo1"/>
      </w:pPr>
      <w:bookmarkStart w:id="52" w:name="_Toc126781109"/>
      <w:r w:rsidRPr="00AB4D1D">
        <w:t>18 – COMMISSIONS RECEIVABLE</w:t>
      </w:r>
      <w:bookmarkEnd w:id="52"/>
    </w:p>
    <w:p w14:paraId="5C86DF1E" w14:textId="77777777" w:rsidR="00931938" w:rsidRPr="002B208A" w:rsidRDefault="00931938" w:rsidP="0043555A">
      <w:pPr>
        <w:pStyle w:val="01-TtulodeNota"/>
        <w:spacing w:before="0" w:after="0"/>
        <w:jc w:val="right"/>
        <w:rPr>
          <w:sz w:val="6"/>
          <w:szCs w:val="12"/>
        </w:rPr>
      </w:pPr>
      <w:r w:rsidRPr="002B208A">
        <w:rPr>
          <w:sz w:val="14"/>
          <w:lang w:val="en-US"/>
        </w:rPr>
        <w:t>R$ thousand</w:t>
      </w:r>
      <w:r w:rsidRPr="002B208A">
        <w:rPr>
          <w:sz w:val="6"/>
          <w:szCs w:val="12"/>
        </w:rPr>
        <w:t xml:space="preserve"> </w:t>
      </w:r>
    </w:p>
    <w:tbl>
      <w:tblPr>
        <w:tblW w:w="9658"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4384"/>
        <w:gridCol w:w="856"/>
        <w:gridCol w:w="401"/>
        <w:gridCol w:w="2008"/>
        <w:gridCol w:w="2009"/>
      </w:tblGrid>
      <w:tr w:rsidR="00931938" w:rsidRPr="00D1582F" w14:paraId="55B1F9AA" w14:textId="77777777" w:rsidTr="00575A23">
        <w:trPr>
          <w:trHeight w:val="238"/>
          <w:jc w:val="center"/>
        </w:trPr>
        <w:tc>
          <w:tcPr>
            <w:tcW w:w="5240" w:type="dxa"/>
            <w:gridSpan w:val="2"/>
            <w:tcBorders>
              <w:top w:val="single" w:sz="2" w:space="0" w:color="1F4E79" w:themeColor="accent1" w:themeShade="80"/>
              <w:bottom w:val="nil"/>
            </w:tcBorders>
            <w:shd w:val="clear" w:color="auto" w:fill="auto"/>
          </w:tcPr>
          <w:p w14:paraId="3D2A65DA" w14:textId="77777777" w:rsidR="00931938" w:rsidRPr="00D1582F" w:rsidRDefault="00931938" w:rsidP="00922DF8">
            <w:pPr>
              <w:keepNext/>
              <w:keepLines/>
              <w:spacing w:before="40" w:after="40"/>
              <w:jc w:val="center"/>
              <w:rPr>
                <w:rFonts w:cs="Arial"/>
                <w:b/>
                <w:spacing w:val="-2"/>
                <w:sz w:val="14"/>
                <w:szCs w:val="18"/>
              </w:rPr>
            </w:pPr>
          </w:p>
        </w:tc>
        <w:tc>
          <w:tcPr>
            <w:tcW w:w="401" w:type="dxa"/>
            <w:tcBorders>
              <w:top w:val="single" w:sz="2" w:space="0" w:color="1F4E79" w:themeColor="accent1" w:themeShade="80"/>
              <w:bottom w:val="nil"/>
            </w:tcBorders>
            <w:shd w:val="clear" w:color="auto" w:fill="auto"/>
          </w:tcPr>
          <w:p w14:paraId="1E9241E0" w14:textId="77777777" w:rsidR="00931938" w:rsidRPr="00D1582F" w:rsidRDefault="00931938" w:rsidP="00922DF8">
            <w:pPr>
              <w:keepNext/>
              <w:keepLines/>
              <w:spacing w:before="40" w:after="40"/>
              <w:jc w:val="center"/>
              <w:rPr>
                <w:rFonts w:cs="Arial"/>
                <w:b/>
                <w:bCs/>
                <w:spacing w:val="-2"/>
                <w:sz w:val="14"/>
                <w:szCs w:val="18"/>
              </w:rPr>
            </w:pPr>
          </w:p>
        </w:tc>
        <w:tc>
          <w:tcPr>
            <w:tcW w:w="4017" w:type="dxa"/>
            <w:gridSpan w:val="2"/>
            <w:tcBorders>
              <w:top w:val="single" w:sz="2" w:space="0" w:color="1F4E79" w:themeColor="accent1" w:themeShade="80"/>
              <w:bottom w:val="single" w:sz="2" w:space="0" w:color="1F4E79" w:themeColor="accent1" w:themeShade="80"/>
            </w:tcBorders>
            <w:shd w:val="clear" w:color="auto" w:fill="auto"/>
            <w:vAlign w:val="center"/>
          </w:tcPr>
          <w:p w14:paraId="6BF5F481" w14:textId="77777777" w:rsidR="00931938" w:rsidRPr="00D1582F" w:rsidRDefault="00931938" w:rsidP="00D1582F">
            <w:pPr>
              <w:pStyle w:val="08-Tabelageral"/>
              <w:jc w:val="center"/>
              <w:rPr>
                <w:b/>
              </w:rPr>
            </w:pPr>
            <w:r w:rsidRPr="00D1582F">
              <w:rPr>
                <w:rFonts w:cs="Arial"/>
                <w:b/>
                <w:lang w:val="en-US"/>
              </w:rPr>
              <w:t>Consolidated</w:t>
            </w:r>
          </w:p>
        </w:tc>
      </w:tr>
      <w:tr w:rsidR="00931938" w:rsidRPr="00D1582F" w14:paraId="37736F0C" w14:textId="77777777" w:rsidTr="00575A23">
        <w:trPr>
          <w:trHeight w:val="238"/>
          <w:jc w:val="center"/>
        </w:trPr>
        <w:tc>
          <w:tcPr>
            <w:tcW w:w="4384" w:type="dxa"/>
            <w:tcBorders>
              <w:top w:val="nil"/>
              <w:bottom w:val="single" w:sz="2" w:space="0" w:color="1F4E79" w:themeColor="accent1" w:themeShade="80"/>
            </w:tcBorders>
            <w:shd w:val="clear" w:color="auto" w:fill="auto"/>
          </w:tcPr>
          <w:p w14:paraId="27C3D1E4" w14:textId="77777777" w:rsidR="00931938" w:rsidRPr="00D1582F" w:rsidRDefault="00931938" w:rsidP="0043015F">
            <w:pPr>
              <w:keepNext/>
              <w:keepLines/>
              <w:spacing w:before="40" w:after="40"/>
              <w:rPr>
                <w:rFonts w:cs="Arial"/>
                <w:b/>
                <w:spacing w:val="-2"/>
                <w:sz w:val="14"/>
                <w:szCs w:val="18"/>
              </w:rPr>
            </w:pPr>
          </w:p>
        </w:tc>
        <w:tc>
          <w:tcPr>
            <w:tcW w:w="856" w:type="dxa"/>
            <w:tcBorders>
              <w:top w:val="nil"/>
              <w:bottom w:val="single" w:sz="2" w:space="0" w:color="1F4E79" w:themeColor="accent1" w:themeShade="80"/>
            </w:tcBorders>
            <w:shd w:val="clear" w:color="auto" w:fill="auto"/>
          </w:tcPr>
          <w:p w14:paraId="1E57D738" w14:textId="77777777" w:rsidR="00931938" w:rsidRPr="00D1582F" w:rsidRDefault="00931938" w:rsidP="0043015F">
            <w:pPr>
              <w:keepNext/>
              <w:keepLines/>
              <w:spacing w:before="40" w:after="40"/>
              <w:rPr>
                <w:rFonts w:cs="Arial"/>
                <w:b/>
                <w:spacing w:val="-2"/>
                <w:sz w:val="14"/>
                <w:szCs w:val="18"/>
              </w:rPr>
            </w:pPr>
          </w:p>
        </w:tc>
        <w:tc>
          <w:tcPr>
            <w:tcW w:w="401" w:type="dxa"/>
            <w:tcBorders>
              <w:top w:val="nil"/>
              <w:bottom w:val="single" w:sz="2" w:space="0" w:color="1F4E79" w:themeColor="accent1" w:themeShade="80"/>
            </w:tcBorders>
            <w:shd w:val="clear" w:color="auto" w:fill="auto"/>
          </w:tcPr>
          <w:p w14:paraId="2AE84C72" w14:textId="77777777" w:rsidR="00931938" w:rsidRPr="00D1582F" w:rsidRDefault="00931938" w:rsidP="0043015F">
            <w:pPr>
              <w:keepNext/>
              <w:keepLines/>
              <w:spacing w:before="40" w:after="40"/>
              <w:jc w:val="right"/>
              <w:rPr>
                <w:rFonts w:cs="Arial"/>
                <w:b/>
                <w:spacing w:val="-2"/>
                <w:sz w:val="14"/>
                <w:szCs w:val="18"/>
              </w:rPr>
            </w:pPr>
          </w:p>
        </w:tc>
        <w:tc>
          <w:tcPr>
            <w:tcW w:w="2008" w:type="dxa"/>
            <w:tcBorders>
              <w:top w:val="single" w:sz="2" w:space="0" w:color="1F4E79" w:themeColor="accent1" w:themeShade="80"/>
              <w:bottom w:val="single" w:sz="2" w:space="0" w:color="1F4E79" w:themeColor="accent1" w:themeShade="80"/>
            </w:tcBorders>
            <w:shd w:val="clear" w:color="auto" w:fill="auto"/>
            <w:vAlign w:val="center"/>
          </w:tcPr>
          <w:p w14:paraId="2CC987BC" w14:textId="77777777" w:rsidR="00931938" w:rsidRPr="00D1582F" w:rsidRDefault="00931938" w:rsidP="0043015F">
            <w:pPr>
              <w:pStyle w:val="08-Tabelageral"/>
              <w:rPr>
                <w:b/>
              </w:rPr>
            </w:pPr>
            <w:r>
              <w:rPr>
                <w:rFonts w:cs="Arial"/>
                <w:b/>
              </w:rPr>
              <w:t>Dec</w:t>
            </w:r>
            <w:r w:rsidRPr="00D1582F">
              <w:rPr>
                <w:rFonts w:cs="Arial"/>
                <w:b/>
              </w:rPr>
              <w:t xml:space="preserve"> 3</w:t>
            </w:r>
            <w:r>
              <w:rPr>
                <w:rFonts w:cs="Arial"/>
                <w:b/>
              </w:rPr>
              <w:t>1</w:t>
            </w:r>
            <w:r w:rsidRPr="00D1582F">
              <w:rPr>
                <w:rFonts w:cs="Arial"/>
                <w:b/>
              </w:rPr>
              <w:t xml:space="preserve">, </w:t>
            </w:r>
            <w:r>
              <w:rPr>
                <w:rFonts w:cs="Arial"/>
                <w:b/>
              </w:rPr>
              <w:t>2022</w:t>
            </w:r>
          </w:p>
        </w:tc>
        <w:tc>
          <w:tcPr>
            <w:tcW w:w="2009" w:type="dxa"/>
            <w:tcBorders>
              <w:top w:val="single" w:sz="2" w:space="0" w:color="1F4E79" w:themeColor="accent1" w:themeShade="80"/>
              <w:bottom w:val="single" w:sz="2" w:space="0" w:color="1F4E79" w:themeColor="accent1" w:themeShade="80"/>
            </w:tcBorders>
            <w:shd w:val="clear" w:color="auto" w:fill="auto"/>
            <w:vAlign w:val="center"/>
          </w:tcPr>
          <w:p w14:paraId="4A68F45D" w14:textId="77777777" w:rsidR="00931938" w:rsidRPr="00D1582F" w:rsidRDefault="00931938" w:rsidP="0043015F">
            <w:pPr>
              <w:pStyle w:val="08-Tabelageral"/>
              <w:rPr>
                <w:b/>
              </w:rPr>
            </w:pPr>
            <w:r>
              <w:rPr>
                <w:rFonts w:cs="Arial"/>
                <w:b/>
              </w:rPr>
              <w:t>Dec</w:t>
            </w:r>
            <w:r w:rsidRPr="00D1582F">
              <w:rPr>
                <w:rFonts w:cs="Arial"/>
                <w:b/>
              </w:rPr>
              <w:t xml:space="preserve"> 3</w:t>
            </w:r>
            <w:r>
              <w:rPr>
                <w:rFonts w:cs="Arial"/>
                <w:b/>
              </w:rPr>
              <w:t>1</w:t>
            </w:r>
            <w:r w:rsidRPr="00D1582F">
              <w:rPr>
                <w:rFonts w:cs="Arial"/>
                <w:b/>
              </w:rPr>
              <w:t>, 202</w:t>
            </w:r>
            <w:r>
              <w:rPr>
                <w:rFonts w:cs="Arial"/>
                <w:b/>
              </w:rPr>
              <w:t>1</w:t>
            </w:r>
          </w:p>
        </w:tc>
      </w:tr>
      <w:tr w:rsidR="00931938" w:rsidRPr="00D1582F" w14:paraId="75D4FFCD" w14:textId="77777777" w:rsidTr="00575A23">
        <w:trPr>
          <w:trHeight w:val="238"/>
          <w:jc w:val="center"/>
        </w:trPr>
        <w:tc>
          <w:tcPr>
            <w:tcW w:w="4384" w:type="dxa"/>
            <w:tcBorders>
              <w:top w:val="single" w:sz="2" w:space="0" w:color="1F4E79" w:themeColor="accent1" w:themeShade="80"/>
            </w:tcBorders>
            <w:shd w:val="clear" w:color="auto" w:fill="auto"/>
            <w:vAlign w:val="center"/>
          </w:tcPr>
          <w:p w14:paraId="62780256" w14:textId="77777777" w:rsidR="00931938" w:rsidRPr="00D1582F" w:rsidRDefault="00931938" w:rsidP="00E823EA">
            <w:pPr>
              <w:pStyle w:val="08-Tabelageral"/>
              <w:jc w:val="left"/>
              <w:rPr>
                <w:rFonts w:cs="Arial"/>
                <w:b/>
                <w:lang w:val="en-US"/>
              </w:rPr>
            </w:pPr>
            <w:r w:rsidRPr="00D1582F">
              <w:rPr>
                <w:rFonts w:cs="Arial"/>
                <w:b/>
                <w:lang w:val="en-US"/>
              </w:rPr>
              <w:t>Current Assets</w:t>
            </w:r>
          </w:p>
        </w:tc>
        <w:tc>
          <w:tcPr>
            <w:tcW w:w="856" w:type="dxa"/>
            <w:tcBorders>
              <w:top w:val="single" w:sz="2" w:space="0" w:color="1F4E79" w:themeColor="accent1" w:themeShade="80"/>
            </w:tcBorders>
            <w:shd w:val="clear" w:color="auto" w:fill="auto"/>
          </w:tcPr>
          <w:p w14:paraId="30FE9B6C" w14:textId="77777777" w:rsidR="00931938" w:rsidRPr="00D1582F" w:rsidRDefault="00931938" w:rsidP="00E823EA">
            <w:pPr>
              <w:pStyle w:val="08-Tabelageral"/>
              <w:rPr>
                <w:b/>
              </w:rPr>
            </w:pPr>
          </w:p>
        </w:tc>
        <w:tc>
          <w:tcPr>
            <w:tcW w:w="401" w:type="dxa"/>
            <w:tcBorders>
              <w:top w:val="single" w:sz="2" w:space="0" w:color="1F4E79" w:themeColor="accent1" w:themeShade="80"/>
            </w:tcBorders>
            <w:shd w:val="clear" w:color="auto" w:fill="auto"/>
          </w:tcPr>
          <w:p w14:paraId="329D5394" w14:textId="77777777" w:rsidR="00931938" w:rsidRPr="00D1582F" w:rsidRDefault="00931938" w:rsidP="00E823EA">
            <w:pPr>
              <w:pStyle w:val="08-Tabelageral"/>
              <w:rPr>
                <w:b/>
              </w:rPr>
            </w:pPr>
          </w:p>
        </w:tc>
        <w:tc>
          <w:tcPr>
            <w:tcW w:w="2008" w:type="dxa"/>
            <w:tcBorders>
              <w:top w:val="single" w:sz="2" w:space="0" w:color="1F4E79" w:themeColor="accent1" w:themeShade="80"/>
            </w:tcBorders>
            <w:shd w:val="clear" w:color="auto" w:fill="auto"/>
            <w:vAlign w:val="center"/>
          </w:tcPr>
          <w:p w14:paraId="589C2A55" w14:textId="77777777" w:rsidR="00931938" w:rsidRPr="00D1582F" w:rsidRDefault="00931938" w:rsidP="00E823EA">
            <w:pPr>
              <w:pStyle w:val="08-Tabelageral"/>
              <w:rPr>
                <w:b/>
              </w:rPr>
            </w:pPr>
            <w:r>
              <w:rPr>
                <w:b/>
              </w:rPr>
              <w:t>1,114,256</w:t>
            </w:r>
          </w:p>
        </w:tc>
        <w:tc>
          <w:tcPr>
            <w:tcW w:w="2009" w:type="dxa"/>
            <w:tcBorders>
              <w:top w:val="single" w:sz="2" w:space="0" w:color="1F4E79" w:themeColor="accent1" w:themeShade="80"/>
            </w:tcBorders>
            <w:shd w:val="clear" w:color="auto" w:fill="auto"/>
            <w:vAlign w:val="center"/>
          </w:tcPr>
          <w:p w14:paraId="7A10E959" w14:textId="77777777" w:rsidR="00931938" w:rsidRPr="00D1582F" w:rsidRDefault="00931938" w:rsidP="00E823EA">
            <w:pPr>
              <w:pStyle w:val="08-Tabelageral"/>
              <w:rPr>
                <w:b/>
              </w:rPr>
            </w:pPr>
            <w:r>
              <w:rPr>
                <w:b/>
              </w:rPr>
              <w:t>1,026,158</w:t>
            </w:r>
          </w:p>
        </w:tc>
      </w:tr>
      <w:tr w:rsidR="00931938" w:rsidRPr="0049410B" w14:paraId="5EF873A8" w14:textId="77777777" w:rsidTr="00575A23">
        <w:trPr>
          <w:trHeight w:val="238"/>
          <w:jc w:val="center"/>
        </w:trPr>
        <w:tc>
          <w:tcPr>
            <w:tcW w:w="4384" w:type="dxa"/>
            <w:shd w:val="clear" w:color="auto" w:fill="auto"/>
            <w:vAlign w:val="center"/>
          </w:tcPr>
          <w:p w14:paraId="07666113" w14:textId="77777777" w:rsidR="00931938" w:rsidRPr="00FE42D8" w:rsidRDefault="00931938" w:rsidP="00E823EA">
            <w:pPr>
              <w:pStyle w:val="08-Tabelageral"/>
              <w:ind w:left="113"/>
              <w:jc w:val="left"/>
              <w:rPr>
                <w:rFonts w:cs="Arial"/>
                <w:b/>
                <w:lang w:val="en-US"/>
              </w:rPr>
            </w:pPr>
            <w:r>
              <w:rPr>
                <w:rFonts w:cs="Arial"/>
                <w:lang w:val="en-US"/>
              </w:rPr>
              <w:t xml:space="preserve">BB MAPFRE </w:t>
            </w:r>
            <w:r>
              <w:rPr>
                <w:rFonts w:cs="Arial"/>
                <w:vertAlign w:val="superscript"/>
                <w:lang w:val="en-US"/>
              </w:rPr>
              <w:t>(</w:t>
            </w:r>
            <w:r w:rsidRPr="00FE42D8">
              <w:rPr>
                <w:rFonts w:cs="Arial"/>
                <w:vertAlign w:val="superscript"/>
                <w:lang w:val="en-US"/>
              </w:rPr>
              <w:t>1)</w:t>
            </w:r>
          </w:p>
        </w:tc>
        <w:tc>
          <w:tcPr>
            <w:tcW w:w="856" w:type="dxa"/>
            <w:shd w:val="clear" w:color="auto" w:fill="auto"/>
          </w:tcPr>
          <w:p w14:paraId="7DA6C448" w14:textId="77777777" w:rsidR="00931938" w:rsidRPr="0049410B" w:rsidRDefault="00931938" w:rsidP="00E823EA">
            <w:pPr>
              <w:pStyle w:val="08-Tabelageral"/>
            </w:pPr>
          </w:p>
        </w:tc>
        <w:tc>
          <w:tcPr>
            <w:tcW w:w="401" w:type="dxa"/>
            <w:shd w:val="clear" w:color="auto" w:fill="auto"/>
          </w:tcPr>
          <w:p w14:paraId="01C4E8B5" w14:textId="77777777" w:rsidR="00931938" w:rsidRPr="0049410B" w:rsidRDefault="00931938" w:rsidP="00E823EA">
            <w:pPr>
              <w:pStyle w:val="08-Tabelageral"/>
            </w:pPr>
          </w:p>
        </w:tc>
        <w:tc>
          <w:tcPr>
            <w:tcW w:w="2008" w:type="dxa"/>
            <w:shd w:val="clear" w:color="auto" w:fill="auto"/>
            <w:vAlign w:val="center"/>
          </w:tcPr>
          <w:p w14:paraId="7A20269E" w14:textId="77777777" w:rsidR="00931938" w:rsidRPr="00FE0AFD" w:rsidRDefault="00931938" w:rsidP="00E823EA">
            <w:pPr>
              <w:pStyle w:val="08-Tabelageral"/>
            </w:pPr>
            <w:r>
              <w:t>1,014,707</w:t>
            </w:r>
          </w:p>
        </w:tc>
        <w:tc>
          <w:tcPr>
            <w:tcW w:w="2009" w:type="dxa"/>
            <w:shd w:val="clear" w:color="auto" w:fill="auto"/>
            <w:vAlign w:val="center"/>
          </w:tcPr>
          <w:p w14:paraId="3E766473" w14:textId="77777777" w:rsidR="00931938" w:rsidRPr="00FE0AFD" w:rsidRDefault="00931938" w:rsidP="00E823EA">
            <w:pPr>
              <w:pStyle w:val="08-Tabelageral"/>
            </w:pPr>
            <w:r>
              <w:t>962,465</w:t>
            </w:r>
          </w:p>
        </w:tc>
      </w:tr>
      <w:tr w:rsidR="00931938" w:rsidRPr="0049410B" w14:paraId="7F2A5D50" w14:textId="77777777" w:rsidTr="00575A23">
        <w:trPr>
          <w:trHeight w:val="238"/>
          <w:jc w:val="center"/>
        </w:trPr>
        <w:tc>
          <w:tcPr>
            <w:tcW w:w="4384" w:type="dxa"/>
            <w:shd w:val="clear" w:color="auto" w:fill="auto"/>
            <w:vAlign w:val="center"/>
          </w:tcPr>
          <w:p w14:paraId="7C79D2BD" w14:textId="77777777" w:rsidR="00931938" w:rsidRPr="00FE42D8" w:rsidRDefault="00931938" w:rsidP="00E823EA">
            <w:pPr>
              <w:pStyle w:val="08-Tabelageral"/>
              <w:ind w:left="113"/>
              <w:jc w:val="left"/>
              <w:rPr>
                <w:rFonts w:cs="Arial"/>
                <w:b/>
                <w:lang w:val="en-US"/>
              </w:rPr>
            </w:pPr>
            <w:r>
              <w:rPr>
                <w:rFonts w:cs="Arial"/>
                <w:lang w:val="en-US"/>
              </w:rPr>
              <w:t>MAPFRE Seguros Gerais</w:t>
            </w:r>
          </w:p>
        </w:tc>
        <w:tc>
          <w:tcPr>
            <w:tcW w:w="856" w:type="dxa"/>
            <w:shd w:val="clear" w:color="auto" w:fill="auto"/>
          </w:tcPr>
          <w:p w14:paraId="68968D46" w14:textId="77777777" w:rsidR="00931938" w:rsidRPr="0049410B" w:rsidRDefault="00931938" w:rsidP="00E823EA">
            <w:pPr>
              <w:pStyle w:val="08-Tabelageral"/>
            </w:pPr>
          </w:p>
        </w:tc>
        <w:tc>
          <w:tcPr>
            <w:tcW w:w="401" w:type="dxa"/>
            <w:shd w:val="clear" w:color="auto" w:fill="auto"/>
          </w:tcPr>
          <w:p w14:paraId="72B6B6EE" w14:textId="77777777" w:rsidR="00931938" w:rsidRPr="0049410B" w:rsidRDefault="00931938" w:rsidP="00E823EA">
            <w:pPr>
              <w:pStyle w:val="08-Tabelageral"/>
            </w:pPr>
          </w:p>
        </w:tc>
        <w:tc>
          <w:tcPr>
            <w:tcW w:w="2008" w:type="dxa"/>
            <w:shd w:val="clear" w:color="auto" w:fill="auto"/>
          </w:tcPr>
          <w:p w14:paraId="6694B601" w14:textId="77777777" w:rsidR="00931938" w:rsidRPr="00FE0AFD" w:rsidRDefault="00931938" w:rsidP="00E823EA">
            <w:pPr>
              <w:pStyle w:val="08-Tabelageral"/>
            </w:pPr>
            <w:r>
              <w:t>81,025</w:t>
            </w:r>
          </w:p>
        </w:tc>
        <w:tc>
          <w:tcPr>
            <w:tcW w:w="2009" w:type="dxa"/>
            <w:shd w:val="clear" w:color="auto" w:fill="auto"/>
          </w:tcPr>
          <w:p w14:paraId="721733C7" w14:textId="77777777" w:rsidR="00931938" w:rsidRPr="00FE0AFD" w:rsidRDefault="00931938" w:rsidP="00E823EA">
            <w:pPr>
              <w:pStyle w:val="08-Tabelageral"/>
            </w:pPr>
            <w:r>
              <w:t>53,396</w:t>
            </w:r>
          </w:p>
        </w:tc>
      </w:tr>
      <w:tr w:rsidR="00931938" w:rsidRPr="0049410B" w14:paraId="4F379AB5" w14:textId="77777777" w:rsidTr="00575A23">
        <w:trPr>
          <w:trHeight w:val="238"/>
          <w:jc w:val="center"/>
        </w:trPr>
        <w:tc>
          <w:tcPr>
            <w:tcW w:w="4384" w:type="dxa"/>
            <w:shd w:val="clear" w:color="auto" w:fill="auto"/>
            <w:vAlign w:val="center"/>
          </w:tcPr>
          <w:p w14:paraId="174AC85E" w14:textId="77777777" w:rsidR="00931938" w:rsidRPr="00FE42D8" w:rsidRDefault="00931938" w:rsidP="00E823EA">
            <w:pPr>
              <w:pStyle w:val="08-Tabelageral"/>
              <w:ind w:left="113"/>
              <w:jc w:val="left"/>
              <w:rPr>
                <w:rFonts w:cs="Arial"/>
                <w:b/>
                <w:lang w:val="en-US"/>
              </w:rPr>
            </w:pPr>
            <w:r w:rsidRPr="00FE42D8">
              <w:rPr>
                <w:rFonts w:cs="Arial"/>
                <w:lang w:val="en-US"/>
              </w:rPr>
              <w:t>Brasilprev</w:t>
            </w:r>
          </w:p>
        </w:tc>
        <w:tc>
          <w:tcPr>
            <w:tcW w:w="856" w:type="dxa"/>
            <w:shd w:val="clear" w:color="auto" w:fill="auto"/>
          </w:tcPr>
          <w:p w14:paraId="2AF56CD5" w14:textId="77777777" w:rsidR="00931938" w:rsidRPr="0049410B" w:rsidRDefault="00931938" w:rsidP="00E823EA">
            <w:pPr>
              <w:pStyle w:val="08-Tabelageral"/>
            </w:pPr>
          </w:p>
        </w:tc>
        <w:tc>
          <w:tcPr>
            <w:tcW w:w="401" w:type="dxa"/>
            <w:shd w:val="clear" w:color="auto" w:fill="auto"/>
          </w:tcPr>
          <w:p w14:paraId="245CE113" w14:textId="77777777" w:rsidR="00931938" w:rsidRPr="0049410B" w:rsidRDefault="00931938" w:rsidP="00E823EA">
            <w:pPr>
              <w:pStyle w:val="08-Tabelageral"/>
            </w:pPr>
          </w:p>
        </w:tc>
        <w:tc>
          <w:tcPr>
            <w:tcW w:w="2008" w:type="dxa"/>
            <w:shd w:val="clear" w:color="auto" w:fill="auto"/>
          </w:tcPr>
          <w:p w14:paraId="1A336A80" w14:textId="77777777" w:rsidR="00931938" w:rsidRDefault="00931938" w:rsidP="00E823EA">
            <w:pPr>
              <w:pStyle w:val="08-Tabelageral"/>
            </w:pPr>
            <w:r>
              <w:t>12,627</w:t>
            </w:r>
          </w:p>
        </w:tc>
        <w:tc>
          <w:tcPr>
            <w:tcW w:w="2009" w:type="dxa"/>
            <w:shd w:val="clear" w:color="auto" w:fill="auto"/>
          </w:tcPr>
          <w:p w14:paraId="418966C0" w14:textId="77777777" w:rsidR="00931938" w:rsidRDefault="00931938" w:rsidP="00E823EA">
            <w:pPr>
              <w:pStyle w:val="08-Tabelageral"/>
            </w:pPr>
            <w:r>
              <w:t>9,737</w:t>
            </w:r>
          </w:p>
        </w:tc>
      </w:tr>
      <w:tr w:rsidR="00931938" w:rsidRPr="0049410B" w14:paraId="00538513" w14:textId="77777777" w:rsidTr="00575A23">
        <w:trPr>
          <w:trHeight w:val="238"/>
          <w:jc w:val="center"/>
        </w:trPr>
        <w:tc>
          <w:tcPr>
            <w:tcW w:w="4384" w:type="dxa"/>
            <w:shd w:val="clear" w:color="auto" w:fill="auto"/>
            <w:vAlign w:val="center"/>
          </w:tcPr>
          <w:p w14:paraId="2336EC1F" w14:textId="77777777" w:rsidR="00931938" w:rsidRPr="00D4589F" w:rsidRDefault="00931938" w:rsidP="00E823EA">
            <w:pPr>
              <w:pStyle w:val="08-Tabelageral"/>
              <w:ind w:left="113"/>
              <w:jc w:val="left"/>
              <w:rPr>
                <w:rFonts w:cs="Arial"/>
                <w:b/>
                <w:lang w:val="en-US"/>
              </w:rPr>
            </w:pPr>
            <w:r w:rsidRPr="00D4589F">
              <w:rPr>
                <w:rFonts w:cs="Arial"/>
                <w:lang w:val="en-US"/>
              </w:rPr>
              <w:t>Brasilcap</w:t>
            </w:r>
          </w:p>
        </w:tc>
        <w:tc>
          <w:tcPr>
            <w:tcW w:w="856" w:type="dxa"/>
            <w:shd w:val="clear" w:color="auto" w:fill="auto"/>
          </w:tcPr>
          <w:p w14:paraId="0D0D16FD" w14:textId="77777777" w:rsidR="00931938" w:rsidRPr="0049410B" w:rsidRDefault="00931938" w:rsidP="00E823EA">
            <w:pPr>
              <w:pStyle w:val="08-Tabelageral"/>
            </w:pPr>
          </w:p>
        </w:tc>
        <w:tc>
          <w:tcPr>
            <w:tcW w:w="401" w:type="dxa"/>
            <w:shd w:val="clear" w:color="auto" w:fill="auto"/>
          </w:tcPr>
          <w:p w14:paraId="4A37A474" w14:textId="77777777" w:rsidR="00931938" w:rsidRPr="0049410B" w:rsidRDefault="00931938" w:rsidP="00E823EA">
            <w:pPr>
              <w:pStyle w:val="08-Tabelageral"/>
            </w:pPr>
          </w:p>
        </w:tc>
        <w:tc>
          <w:tcPr>
            <w:tcW w:w="2008" w:type="dxa"/>
            <w:shd w:val="clear" w:color="auto" w:fill="auto"/>
          </w:tcPr>
          <w:p w14:paraId="53ACC6FD" w14:textId="77777777" w:rsidR="00931938" w:rsidRDefault="00931938" w:rsidP="00E823EA">
            <w:pPr>
              <w:pStyle w:val="08-Tabelageral"/>
            </w:pPr>
            <w:r>
              <w:t>5,802</w:t>
            </w:r>
          </w:p>
        </w:tc>
        <w:tc>
          <w:tcPr>
            <w:tcW w:w="2009" w:type="dxa"/>
            <w:shd w:val="clear" w:color="auto" w:fill="auto"/>
          </w:tcPr>
          <w:p w14:paraId="265AB160" w14:textId="77777777" w:rsidR="00931938" w:rsidRDefault="00931938" w:rsidP="00E823EA">
            <w:pPr>
              <w:pStyle w:val="08-Tabelageral"/>
            </w:pPr>
            <w:r>
              <w:t>481</w:t>
            </w:r>
          </w:p>
        </w:tc>
      </w:tr>
      <w:tr w:rsidR="00931938" w:rsidRPr="0049410B" w14:paraId="1E28C879" w14:textId="77777777" w:rsidTr="00575A23">
        <w:trPr>
          <w:trHeight w:val="238"/>
          <w:jc w:val="center"/>
        </w:trPr>
        <w:tc>
          <w:tcPr>
            <w:tcW w:w="4384" w:type="dxa"/>
            <w:shd w:val="clear" w:color="auto" w:fill="auto"/>
            <w:vAlign w:val="center"/>
          </w:tcPr>
          <w:p w14:paraId="1F24CB2C" w14:textId="77777777" w:rsidR="00931938" w:rsidRPr="00F97BF2" w:rsidRDefault="00931938" w:rsidP="00E823EA">
            <w:pPr>
              <w:pStyle w:val="08-Tabelageral"/>
              <w:ind w:left="113"/>
              <w:jc w:val="left"/>
              <w:rPr>
                <w:rFonts w:cs="Arial"/>
                <w:b/>
                <w:bCs/>
                <w:lang w:val="en-US"/>
              </w:rPr>
            </w:pPr>
            <w:r>
              <w:rPr>
                <w:rFonts w:cs="Arial"/>
                <w:lang w:val="en-US"/>
              </w:rPr>
              <w:t>Others</w:t>
            </w:r>
          </w:p>
        </w:tc>
        <w:tc>
          <w:tcPr>
            <w:tcW w:w="856" w:type="dxa"/>
            <w:shd w:val="clear" w:color="auto" w:fill="auto"/>
          </w:tcPr>
          <w:p w14:paraId="61932356" w14:textId="77777777" w:rsidR="00931938" w:rsidRPr="0049410B" w:rsidRDefault="00931938" w:rsidP="00E823EA">
            <w:pPr>
              <w:pStyle w:val="08-Tabelageral"/>
            </w:pPr>
          </w:p>
        </w:tc>
        <w:tc>
          <w:tcPr>
            <w:tcW w:w="401" w:type="dxa"/>
            <w:shd w:val="clear" w:color="auto" w:fill="auto"/>
          </w:tcPr>
          <w:p w14:paraId="64BF85FD" w14:textId="77777777" w:rsidR="00931938" w:rsidRPr="0049410B" w:rsidRDefault="00931938" w:rsidP="00E823EA">
            <w:pPr>
              <w:pStyle w:val="08-Tabelageral"/>
            </w:pPr>
          </w:p>
        </w:tc>
        <w:tc>
          <w:tcPr>
            <w:tcW w:w="2008" w:type="dxa"/>
            <w:shd w:val="clear" w:color="auto" w:fill="auto"/>
          </w:tcPr>
          <w:p w14:paraId="22841C65" w14:textId="77777777" w:rsidR="00931938" w:rsidRPr="00D4589F" w:rsidRDefault="00931938" w:rsidP="00E823EA">
            <w:pPr>
              <w:pStyle w:val="08-Tabelageral"/>
              <w:rPr>
                <w:b/>
              </w:rPr>
            </w:pPr>
            <w:r>
              <w:t>95</w:t>
            </w:r>
          </w:p>
        </w:tc>
        <w:tc>
          <w:tcPr>
            <w:tcW w:w="2009" w:type="dxa"/>
            <w:shd w:val="clear" w:color="auto" w:fill="auto"/>
          </w:tcPr>
          <w:p w14:paraId="41420E3B" w14:textId="77777777" w:rsidR="00931938" w:rsidRPr="00D4589F" w:rsidRDefault="00931938" w:rsidP="00E823EA">
            <w:pPr>
              <w:pStyle w:val="08-Tabelageral"/>
              <w:rPr>
                <w:b/>
              </w:rPr>
            </w:pPr>
            <w:r>
              <w:t>79</w:t>
            </w:r>
          </w:p>
        </w:tc>
      </w:tr>
      <w:tr w:rsidR="00931938" w:rsidRPr="00D1582F" w14:paraId="4061608E" w14:textId="77777777" w:rsidTr="00575A23">
        <w:trPr>
          <w:trHeight w:val="238"/>
          <w:jc w:val="center"/>
        </w:trPr>
        <w:tc>
          <w:tcPr>
            <w:tcW w:w="4384" w:type="dxa"/>
            <w:shd w:val="clear" w:color="auto" w:fill="auto"/>
            <w:vAlign w:val="center"/>
          </w:tcPr>
          <w:p w14:paraId="1D9F9809" w14:textId="77777777" w:rsidR="00931938" w:rsidRPr="00D1582F" w:rsidRDefault="00931938" w:rsidP="00E823EA">
            <w:pPr>
              <w:pStyle w:val="08-Tabelageral"/>
              <w:jc w:val="left"/>
              <w:rPr>
                <w:rFonts w:cs="Arial"/>
                <w:b/>
                <w:vertAlign w:val="superscript"/>
                <w:lang w:val="en-US"/>
              </w:rPr>
            </w:pPr>
            <w:r w:rsidRPr="00D1582F">
              <w:rPr>
                <w:rFonts w:cs="Arial"/>
                <w:b/>
                <w:lang w:val="en-US"/>
              </w:rPr>
              <w:t>Non-Current Assets</w:t>
            </w:r>
          </w:p>
        </w:tc>
        <w:tc>
          <w:tcPr>
            <w:tcW w:w="856" w:type="dxa"/>
            <w:shd w:val="clear" w:color="auto" w:fill="auto"/>
          </w:tcPr>
          <w:p w14:paraId="0E984F17" w14:textId="77777777" w:rsidR="00931938" w:rsidRPr="00D1582F" w:rsidRDefault="00931938" w:rsidP="00E823EA">
            <w:pPr>
              <w:pStyle w:val="08-Tabelageral"/>
              <w:rPr>
                <w:b/>
              </w:rPr>
            </w:pPr>
          </w:p>
        </w:tc>
        <w:tc>
          <w:tcPr>
            <w:tcW w:w="401" w:type="dxa"/>
            <w:shd w:val="clear" w:color="auto" w:fill="auto"/>
          </w:tcPr>
          <w:p w14:paraId="041ED337" w14:textId="77777777" w:rsidR="00931938" w:rsidRPr="00D1582F" w:rsidRDefault="00931938" w:rsidP="00E823EA">
            <w:pPr>
              <w:pStyle w:val="08-Tabelageral"/>
              <w:rPr>
                <w:b/>
              </w:rPr>
            </w:pPr>
          </w:p>
        </w:tc>
        <w:tc>
          <w:tcPr>
            <w:tcW w:w="2008" w:type="dxa"/>
            <w:shd w:val="clear" w:color="auto" w:fill="auto"/>
            <w:vAlign w:val="center"/>
          </w:tcPr>
          <w:p w14:paraId="2D999EC0" w14:textId="77777777" w:rsidR="00931938" w:rsidRPr="00D1582F" w:rsidRDefault="00931938" w:rsidP="00E823EA">
            <w:pPr>
              <w:pStyle w:val="08-Tabelageral"/>
              <w:rPr>
                <w:b/>
              </w:rPr>
            </w:pPr>
            <w:r>
              <w:rPr>
                <w:b/>
              </w:rPr>
              <w:t>708,990</w:t>
            </w:r>
          </w:p>
        </w:tc>
        <w:tc>
          <w:tcPr>
            <w:tcW w:w="2009" w:type="dxa"/>
            <w:shd w:val="clear" w:color="auto" w:fill="auto"/>
            <w:vAlign w:val="center"/>
          </w:tcPr>
          <w:p w14:paraId="796C074F" w14:textId="77777777" w:rsidR="00931938" w:rsidRPr="00D1582F" w:rsidRDefault="00931938" w:rsidP="00E823EA">
            <w:pPr>
              <w:pStyle w:val="08-Tabelageral"/>
              <w:rPr>
                <w:b/>
              </w:rPr>
            </w:pPr>
            <w:r>
              <w:rPr>
                <w:b/>
              </w:rPr>
              <w:t>698,435</w:t>
            </w:r>
          </w:p>
        </w:tc>
      </w:tr>
      <w:tr w:rsidR="00931938" w:rsidRPr="00880B68" w14:paraId="26D507EF" w14:textId="77777777" w:rsidTr="00575A23">
        <w:trPr>
          <w:trHeight w:val="238"/>
          <w:jc w:val="center"/>
        </w:trPr>
        <w:tc>
          <w:tcPr>
            <w:tcW w:w="4384" w:type="dxa"/>
            <w:shd w:val="clear" w:color="auto" w:fill="auto"/>
            <w:vAlign w:val="center"/>
          </w:tcPr>
          <w:p w14:paraId="72C1EEFD" w14:textId="77777777" w:rsidR="00931938" w:rsidRPr="003E53C4" w:rsidRDefault="00931938" w:rsidP="00E823EA">
            <w:pPr>
              <w:pStyle w:val="08-Tabelageral"/>
              <w:ind w:left="113"/>
              <w:jc w:val="left"/>
              <w:rPr>
                <w:rFonts w:cs="Arial"/>
                <w:b/>
                <w:lang w:val="en-US"/>
              </w:rPr>
            </w:pPr>
            <w:r>
              <w:rPr>
                <w:rFonts w:cs="Arial"/>
                <w:lang w:val="en-US"/>
              </w:rPr>
              <w:t>BB MAPFRE</w:t>
            </w:r>
          </w:p>
        </w:tc>
        <w:tc>
          <w:tcPr>
            <w:tcW w:w="856" w:type="dxa"/>
            <w:shd w:val="clear" w:color="auto" w:fill="auto"/>
          </w:tcPr>
          <w:p w14:paraId="14FA6416" w14:textId="77777777" w:rsidR="00931938" w:rsidRPr="00880B68" w:rsidRDefault="00931938" w:rsidP="00E823EA">
            <w:pPr>
              <w:pStyle w:val="08-Tabelageral"/>
              <w:rPr>
                <w:b/>
                <w:szCs w:val="14"/>
              </w:rPr>
            </w:pPr>
          </w:p>
        </w:tc>
        <w:tc>
          <w:tcPr>
            <w:tcW w:w="401" w:type="dxa"/>
            <w:shd w:val="clear" w:color="auto" w:fill="auto"/>
          </w:tcPr>
          <w:p w14:paraId="64DE635A" w14:textId="77777777" w:rsidR="00931938" w:rsidRPr="00880B68" w:rsidRDefault="00931938" w:rsidP="00E823EA">
            <w:pPr>
              <w:pStyle w:val="08-Tabelageral"/>
              <w:rPr>
                <w:b/>
                <w:szCs w:val="14"/>
              </w:rPr>
            </w:pPr>
          </w:p>
        </w:tc>
        <w:tc>
          <w:tcPr>
            <w:tcW w:w="2008" w:type="dxa"/>
            <w:shd w:val="clear" w:color="auto" w:fill="auto"/>
            <w:vAlign w:val="center"/>
          </w:tcPr>
          <w:p w14:paraId="429658D9" w14:textId="77777777" w:rsidR="00931938" w:rsidRPr="00AE7AC4" w:rsidRDefault="00931938" w:rsidP="00E823EA">
            <w:pPr>
              <w:pStyle w:val="08-Tabelageral"/>
              <w:rPr>
                <w:b/>
              </w:rPr>
            </w:pPr>
            <w:r>
              <w:t>708,990</w:t>
            </w:r>
          </w:p>
        </w:tc>
        <w:tc>
          <w:tcPr>
            <w:tcW w:w="2009" w:type="dxa"/>
            <w:shd w:val="clear" w:color="auto" w:fill="auto"/>
            <w:vAlign w:val="center"/>
          </w:tcPr>
          <w:p w14:paraId="1CDB5EEA" w14:textId="77777777" w:rsidR="00931938" w:rsidRPr="00AE7AC4" w:rsidRDefault="00931938" w:rsidP="00E823EA">
            <w:pPr>
              <w:pStyle w:val="08-Tabelageral"/>
              <w:rPr>
                <w:b/>
              </w:rPr>
            </w:pPr>
            <w:r>
              <w:t>698,435</w:t>
            </w:r>
          </w:p>
        </w:tc>
      </w:tr>
      <w:tr w:rsidR="00931938" w:rsidRPr="00D1582F" w14:paraId="0A69AB0F" w14:textId="77777777" w:rsidTr="00575A23">
        <w:trPr>
          <w:trHeight w:val="238"/>
          <w:jc w:val="center"/>
        </w:trPr>
        <w:tc>
          <w:tcPr>
            <w:tcW w:w="4384" w:type="dxa"/>
            <w:tcBorders>
              <w:bottom w:val="single" w:sz="2" w:space="0" w:color="1F4E79" w:themeColor="accent1" w:themeShade="80"/>
            </w:tcBorders>
            <w:shd w:val="clear" w:color="auto" w:fill="auto"/>
            <w:vAlign w:val="center"/>
          </w:tcPr>
          <w:p w14:paraId="559E15E5" w14:textId="77777777" w:rsidR="00931938" w:rsidRPr="00D1582F" w:rsidRDefault="00931938" w:rsidP="00E823EA">
            <w:pPr>
              <w:pStyle w:val="08-Tabelageral"/>
              <w:jc w:val="left"/>
              <w:rPr>
                <w:rFonts w:cs="Arial"/>
                <w:b/>
                <w:lang w:val="en-US"/>
              </w:rPr>
            </w:pPr>
            <w:r w:rsidRPr="00D1582F">
              <w:rPr>
                <w:rFonts w:cs="Arial"/>
                <w:b/>
                <w:lang w:val="en-US"/>
              </w:rPr>
              <w:t>Total</w:t>
            </w:r>
          </w:p>
        </w:tc>
        <w:tc>
          <w:tcPr>
            <w:tcW w:w="856" w:type="dxa"/>
            <w:tcBorders>
              <w:bottom w:val="single" w:sz="2" w:space="0" w:color="1F4E79" w:themeColor="accent1" w:themeShade="80"/>
            </w:tcBorders>
            <w:shd w:val="clear" w:color="auto" w:fill="auto"/>
          </w:tcPr>
          <w:p w14:paraId="2CBAC344" w14:textId="77777777" w:rsidR="00931938" w:rsidRPr="00D1582F" w:rsidRDefault="00931938" w:rsidP="00E823EA">
            <w:pPr>
              <w:pStyle w:val="08-Tabelageral"/>
              <w:rPr>
                <w:b/>
                <w:szCs w:val="14"/>
              </w:rPr>
            </w:pPr>
          </w:p>
        </w:tc>
        <w:tc>
          <w:tcPr>
            <w:tcW w:w="401" w:type="dxa"/>
            <w:tcBorders>
              <w:bottom w:val="single" w:sz="2" w:space="0" w:color="1F4E79" w:themeColor="accent1" w:themeShade="80"/>
            </w:tcBorders>
            <w:shd w:val="clear" w:color="auto" w:fill="auto"/>
          </w:tcPr>
          <w:p w14:paraId="13E1CFB6" w14:textId="77777777" w:rsidR="00931938" w:rsidRPr="00D1582F" w:rsidRDefault="00931938" w:rsidP="00E823EA">
            <w:pPr>
              <w:pStyle w:val="08-Tabelageral"/>
              <w:rPr>
                <w:b/>
                <w:szCs w:val="14"/>
              </w:rPr>
            </w:pPr>
          </w:p>
        </w:tc>
        <w:tc>
          <w:tcPr>
            <w:tcW w:w="2008" w:type="dxa"/>
            <w:tcBorders>
              <w:bottom w:val="single" w:sz="2" w:space="0" w:color="1F4E79" w:themeColor="accent1" w:themeShade="80"/>
            </w:tcBorders>
            <w:shd w:val="clear" w:color="auto" w:fill="auto"/>
            <w:vAlign w:val="center"/>
          </w:tcPr>
          <w:p w14:paraId="58EA41F2" w14:textId="77777777" w:rsidR="00931938" w:rsidRPr="00D1582F" w:rsidRDefault="00931938" w:rsidP="00E823EA">
            <w:pPr>
              <w:pStyle w:val="08-Tabelageral"/>
              <w:rPr>
                <w:b/>
              </w:rPr>
            </w:pPr>
            <w:r>
              <w:rPr>
                <w:b/>
              </w:rPr>
              <w:t>1,823,246</w:t>
            </w:r>
          </w:p>
        </w:tc>
        <w:tc>
          <w:tcPr>
            <w:tcW w:w="2009" w:type="dxa"/>
            <w:tcBorders>
              <w:bottom w:val="single" w:sz="2" w:space="0" w:color="1F4E79" w:themeColor="accent1" w:themeShade="80"/>
            </w:tcBorders>
            <w:shd w:val="clear" w:color="auto" w:fill="auto"/>
            <w:vAlign w:val="center"/>
          </w:tcPr>
          <w:p w14:paraId="2DF0D009" w14:textId="77777777" w:rsidR="00931938" w:rsidRPr="00D1582F" w:rsidRDefault="00931938" w:rsidP="00E823EA">
            <w:pPr>
              <w:pStyle w:val="08-Tabelageral"/>
              <w:rPr>
                <w:b/>
              </w:rPr>
            </w:pPr>
            <w:r>
              <w:rPr>
                <w:b/>
              </w:rPr>
              <w:t>1,724,593</w:t>
            </w:r>
          </w:p>
        </w:tc>
      </w:tr>
    </w:tbl>
    <w:p w14:paraId="12D4245C" w14:textId="77777777" w:rsidR="00931938" w:rsidRPr="00D41A1A" w:rsidRDefault="00931938" w:rsidP="00931938">
      <w:pPr>
        <w:pStyle w:val="07-Legenda"/>
        <w:numPr>
          <w:ilvl w:val="0"/>
          <w:numId w:val="12"/>
        </w:numPr>
        <w:tabs>
          <w:tab w:val="clear" w:pos="284"/>
        </w:tabs>
        <w:ind w:left="284" w:hanging="284"/>
        <w:rPr>
          <w:lang w:val="en-US"/>
        </w:rPr>
      </w:pPr>
      <w:r w:rsidRPr="00D41A1A">
        <w:rPr>
          <w:rFonts w:cs="Arial"/>
          <w:color w:val="222222"/>
          <w:szCs w:val="14"/>
          <w:shd w:val="clear" w:color="auto" w:fill="F8F9FA"/>
          <w:lang w:val="en-US"/>
        </w:rPr>
        <w:t xml:space="preserve">On </w:t>
      </w:r>
      <w:r>
        <w:rPr>
          <w:rFonts w:cs="Arial"/>
          <w:color w:val="222222"/>
          <w:szCs w:val="14"/>
          <w:shd w:val="clear" w:color="auto" w:fill="F8F9FA"/>
          <w:lang w:val="en-US"/>
        </w:rPr>
        <w:t>12</w:t>
      </w:r>
      <w:r w:rsidRPr="00D41A1A">
        <w:rPr>
          <w:rFonts w:cs="Arial"/>
          <w:color w:val="222222"/>
          <w:szCs w:val="14"/>
          <w:shd w:val="clear" w:color="auto" w:fill="F8F9FA"/>
          <w:lang w:val="en-US"/>
        </w:rPr>
        <w:t>.3</w:t>
      </w:r>
      <w:r>
        <w:rPr>
          <w:rFonts w:cs="Arial"/>
          <w:color w:val="222222"/>
          <w:szCs w:val="14"/>
          <w:shd w:val="clear" w:color="auto" w:fill="F8F9FA"/>
          <w:lang w:val="en-US"/>
        </w:rPr>
        <w:t>1</w:t>
      </w:r>
      <w:r w:rsidRPr="00D41A1A">
        <w:rPr>
          <w:rFonts w:cs="Arial"/>
          <w:color w:val="222222"/>
          <w:szCs w:val="14"/>
          <w:shd w:val="clear" w:color="auto" w:fill="F8F9FA"/>
          <w:lang w:val="en-US"/>
        </w:rPr>
        <w:t xml:space="preserve">.2022, R$ </w:t>
      </w:r>
      <w:r>
        <w:rPr>
          <w:rFonts w:cs="Arial"/>
          <w:color w:val="222222"/>
          <w:szCs w:val="14"/>
          <w:shd w:val="clear" w:color="auto" w:fill="F8F9FA"/>
          <w:lang w:val="en-US"/>
        </w:rPr>
        <w:t>203</w:t>
      </w:r>
      <w:r w:rsidRPr="00D41A1A">
        <w:rPr>
          <w:rFonts w:cs="Arial"/>
          <w:color w:val="222222"/>
          <w:szCs w:val="14"/>
          <w:shd w:val="clear" w:color="auto" w:fill="F8F9FA"/>
          <w:lang w:val="en-US"/>
        </w:rPr>
        <w:t xml:space="preserve"> million refers to the additional commission according to the restructuring agreement between BB Seguros and the M</w:t>
      </w:r>
      <w:r>
        <w:rPr>
          <w:rFonts w:cs="Arial"/>
          <w:color w:val="222222"/>
          <w:szCs w:val="14"/>
          <w:shd w:val="clear" w:color="auto" w:fill="F8F9FA"/>
          <w:lang w:val="en-US"/>
        </w:rPr>
        <w:t>APFRE</w:t>
      </w:r>
      <w:r w:rsidRPr="00D41A1A">
        <w:rPr>
          <w:rFonts w:cs="Arial"/>
          <w:color w:val="222222"/>
          <w:szCs w:val="14"/>
          <w:shd w:val="clear" w:color="auto" w:fill="F8F9FA"/>
          <w:lang w:val="en-US"/>
        </w:rPr>
        <w:t xml:space="preserve"> Group </w:t>
      </w:r>
      <w:r w:rsidRPr="00E823EA">
        <w:rPr>
          <w:rFonts w:cs="Arial"/>
          <w:color w:val="222222"/>
          <w:szCs w:val="14"/>
          <w:shd w:val="clear" w:color="auto" w:fill="F8F9FA"/>
          <w:lang w:val="en-US"/>
        </w:rPr>
        <w:t>in force until the end of 2022</w:t>
      </w:r>
      <w:r w:rsidRPr="00D41A1A">
        <w:rPr>
          <w:rFonts w:cs="Arial"/>
          <w:color w:val="222222"/>
          <w:szCs w:val="14"/>
          <w:shd w:val="clear" w:color="auto" w:fill="F8F9FA"/>
          <w:lang w:val="en-US"/>
        </w:rPr>
        <w:t>. The recognition for the additional commission is made monthly and is expected to be received within 60 days after the end of the year. On 12.31.2021, R$ 291 million refers to the additional commission, received on 02.24.2022.</w:t>
      </w:r>
    </w:p>
    <w:p w14:paraId="6F83A2F4" w14:textId="77777777" w:rsidR="00931938" w:rsidRPr="00D41A1A" w:rsidRDefault="00931938" w:rsidP="00957515">
      <w:pPr>
        <w:pStyle w:val="07-Legenda"/>
        <w:tabs>
          <w:tab w:val="clear" w:pos="284"/>
        </w:tabs>
        <w:ind w:left="0" w:firstLine="0"/>
        <w:rPr>
          <w:lang w:val="en-US"/>
        </w:rPr>
      </w:pPr>
    </w:p>
    <w:p w14:paraId="280F5A10" w14:textId="77777777" w:rsidR="00931938" w:rsidRDefault="00931938" w:rsidP="00706A78">
      <w:pPr>
        <w:pStyle w:val="07-Legenda"/>
        <w:spacing w:before="120" w:after="120" w:line="276" w:lineRule="auto"/>
        <w:rPr>
          <w:sz w:val="18"/>
          <w:lang w:val="en-US"/>
        </w:rPr>
      </w:pPr>
      <w:r w:rsidRPr="00FD6B41">
        <w:rPr>
          <w:sz w:val="18"/>
          <w:lang w:val="en-US"/>
        </w:rPr>
        <w:t>There are no amount of comissions receivable in parent.</w:t>
      </w:r>
    </w:p>
    <w:p w14:paraId="6FFECF2F" w14:textId="77777777" w:rsidR="00931938" w:rsidRDefault="00931938" w:rsidP="00706A78">
      <w:pPr>
        <w:pStyle w:val="07-Legenda"/>
        <w:spacing w:before="120" w:after="120" w:line="276" w:lineRule="auto"/>
        <w:ind w:left="0" w:firstLine="0"/>
        <w:rPr>
          <w:sz w:val="18"/>
          <w:lang w:val="en-US"/>
        </w:rPr>
      </w:pPr>
      <w:r>
        <w:rPr>
          <w:sz w:val="18"/>
          <w:lang w:val="en-US"/>
        </w:rPr>
        <w:t xml:space="preserve">Comissions </w:t>
      </w:r>
      <w:r w:rsidRPr="00E76C32">
        <w:rPr>
          <w:sz w:val="18"/>
          <w:lang w:val="en-US"/>
        </w:rPr>
        <w:t>Receivables are classified as financial assets</w:t>
      </w:r>
      <w:r>
        <w:rPr>
          <w:sz w:val="18"/>
          <w:lang w:val="en-US"/>
        </w:rPr>
        <w:t xml:space="preserve"> valued</w:t>
      </w:r>
      <w:r w:rsidRPr="00E76C32">
        <w:rPr>
          <w:sz w:val="18"/>
          <w:lang w:val="en-US"/>
        </w:rPr>
        <w:t xml:space="preserve"> at amortized cost, as described in Note 4.</w:t>
      </w:r>
    </w:p>
    <w:p w14:paraId="1D5F20D5" w14:textId="77777777" w:rsidR="00931938" w:rsidRDefault="00931938" w:rsidP="000C71E0">
      <w:pPr>
        <w:pStyle w:val="07-Legenda"/>
        <w:spacing w:before="120" w:after="120" w:line="276" w:lineRule="auto"/>
        <w:ind w:left="0" w:firstLine="0"/>
        <w:rPr>
          <w:sz w:val="18"/>
          <w:lang w:val="en-US"/>
        </w:rPr>
      </w:pPr>
      <w:r w:rsidRPr="00872E58">
        <w:rPr>
          <w:sz w:val="18"/>
          <w:lang w:val="en-US"/>
        </w:rPr>
        <w:lastRenderedPageBreak/>
        <w:t>In the partnership model signed between BB Seguros and the M</w:t>
      </w:r>
      <w:r>
        <w:rPr>
          <w:sz w:val="18"/>
          <w:lang w:val="en-US"/>
        </w:rPr>
        <w:t>APFRE</w:t>
      </w:r>
      <w:r w:rsidRPr="00872E58">
        <w:rPr>
          <w:sz w:val="18"/>
          <w:lang w:val="en-US"/>
        </w:rPr>
        <w:t xml:space="preserve"> Group</w:t>
      </w:r>
      <w:r>
        <w:rPr>
          <w:sz w:val="18"/>
          <w:lang w:val="en-US"/>
        </w:rPr>
        <w:t xml:space="preserve"> in effect until the end of 2022</w:t>
      </w:r>
      <w:r w:rsidRPr="00872E58">
        <w:rPr>
          <w:sz w:val="18"/>
          <w:lang w:val="en-US"/>
        </w:rPr>
        <w:t xml:space="preserve">, the payment of additional remuneration by Brasilseg Companhia de Seguros SA to BB Corretora </w:t>
      </w:r>
      <w:r>
        <w:rPr>
          <w:sz w:val="18"/>
          <w:lang w:val="en-US"/>
        </w:rPr>
        <w:t>was</w:t>
      </w:r>
      <w:r w:rsidRPr="00872E58">
        <w:rPr>
          <w:sz w:val="18"/>
          <w:lang w:val="en-US"/>
        </w:rPr>
        <w:t xml:space="preserve"> foreseen to exceed the sales growth target in some specific products, following the rules of the 2nd Amendment to the Operating Agreement for Operation in the Insurance Segment and its annexes ("Operating Agreement" or "Agreement") which Brasilseg and BB Corretora have been signatory since November 30th, 2018.</w:t>
      </w:r>
    </w:p>
    <w:p w14:paraId="657B4E70" w14:textId="77777777" w:rsidR="00931938" w:rsidRPr="00F35574" w:rsidRDefault="00931938" w:rsidP="00306C92">
      <w:pPr>
        <w:spacing w:before="120" w:after="120"/>
        <w:jc w:val="both"/>
        <w:rPr>
          <w:rFonts w:eastAsia="Times New Roman" w:cs="Arial"/>
          <w:spacing w:val="-2"/>
          <w:szCs w:val="18"/>
          <w:highlight w:val="yellow"/>
          <w:lang w:val="en-US" w:eastAsia="pt-BR"/>
        </w:rPr>
      </w:pPr>
      <w:r w:rsidRPr="00F35574">
        <w:rPr>
          <w:rFonts w:eastAsia="Times New Roman" w:cs="Arial"/>
          <w:spacing w:val="-2"/>
          <w:szCs w:val="18"/>
          <w:lang w:val="en-US" w:eastAsia="pt-BR"/>
        </w:rPr>
        <w:t>On 12.29.2022, the 3rd Amendment to the Operating Agreement for Operating in the Insurance Segment (“Amendment to the Operating Agreement”) was formalized,</w:t>
      </w:r>
      <w:r>
        <w:rPr>
          <w:rFonts w:eastAsia="Times New Roman" w:cs="Arial"/>
          <w:spacing w:val="-2"/>
          <w:szCs w:val="18"/>
          <w:lang w:val="en-US" w:eastAsia="pt-BR"/>
        </w:rPr>
        <w:t xml:space="preserve"> effective from 01.01.2023,</w:t>
      </w:r>
      <w:r w:rsidRPr="00F35574">
        <w:rPr>
          <w:rFonts w:eastAsia="Times New Roman" w:cs="Arial"/>
          <w:spacing w:val="-2"/>
          <w:szCs w:val="18"/>
          <w:lang w:val="en-US" w:eastAsia="pt-BR"/>
        </w:rPr>
        <w:t xml:space="preserve"> which excludes the additional remuneration mechanism paid by Brasilseg to BB Corretora, increases the percentage of commission paid by Brasilseg to BB Corretora on premiums written for life and credit life insurance and reduces the percentage of commission paid by Brasilseg to BB Corretora on premiums written for rural pledge insurance.</w:t>
      </w:r>
    </w:p>
    <w:p w14:paraId="467D0E55" w14:textId="77777777" w:rsidR="00931938" w:rsidRPr="000C71E0" w:rsidRDefault="00931938" w:rsidP="000C71E0">
      <w:pPr>
        <w:spacing w:before="120" w:after="120"/>
        <w:jc w:val="both"/>
        <w:rPr>
          <w:rFonts w:eastAsia="Times New Roman" w:cs="Arial"/>
          <w:spacing w:val="-2"/>
          <w:szCs w:val="18"/>
          <w:lang w:val="en-US" w:eastAsia="pt-BR"/>
        </w:rPr>
      </w:pPr>
      <w:r w:rsidRPr="00F35574">
        <w:rPr>
          <w:rFonts w:eastAsia="Times New Roman" w:cs="Arial"/>
          <w:spacing w:val="-2"/>
          <w:szCs w:val="18"/>
          <w:lang w:val="en-US" w:eastAsia="pt-BR"/>
        </w:rPr>
        <w:t>The new Amendment to the Operating Agreement will be in force for a period of 3 (three) years, starting from January 1, 2023, being automatically renewed for new subsequent periods of 3 (three) years.</w:t>
      </w:r>
    </w:p>
    <w:p w14:paraId="1CD201ED" w14:textId="65EDACD1" w:rsidR="00931938" w:rsidRPr="00AB4D1D" w:rsidRDefault="00931938" w:rsidP="00FC4475">
      <w:pPr>
        <w:pStyle w:val="Ttulo1"/>
      </w:pPr>
      <w:bookmarkStart w:id="53" w:name="_Toc126781110"/>
      <w:bookmarkStart w:id="54" w:name="OLE_LINK11"/>
      <w:r w:rsidRPr="00AB4D1D">
        <w:t>19 – INTANGIBLE ASSET</w:t>
      </w:r>
      <w:bookmarkEnd w:id="53"/>
    </w:p>
    <w:p w14:paraId="3FA0A715" w14:textId="77777777" w:rsidR="00931938" w:rsidRPr="00183B01" w:rsidRDefault="00931938" w:rsidP="00931938">
      <w:pPr>
        <w:pStyle w:val="01-TtulodeNota"/>
        <w:numPr>
          <w:ilvl w:val="0"/>
          <w:numId w:val="8"/>
        </w:numPr>
        <w:ind w:left="284" w:hanging="284"/>
        <w:rPr>
          <w:color w:val="1F4E79" w:themeColor="accent1" w:themeShade="80"/>
          <w:sz w:val="18"/>
          <w:szCs w:val="18"/>
        </w:rPr>
      </w:pPr>
      <w:r w:rsidRPr="00183B01">
        <w:rPr>
          <w:color w:val="1F4E79" w:themeColor="accent1" w:themeShade="80"/>
          <w:sz w:val="18"/>
          <w:szCs w:val="18"/>
        </w:rPr>
        <w:t>ERP - Enterprise Resource Planning</w:t>
      </w:r>
    </w:p>
    <w:p w14:paraId="11369D22" w14:textId="7466D042" w:rsidR="00931938" w:rsidRPr="00315C9A" w:rsidRDefault="00931938" w:rsidP="00AB4D1D">
      <w:pPr>
        <w:pStyle w:val="07-Legenda"/>
        <w:ind w:left="708" w:firstLine="0"/>
        <w:jc w:val="right"/>
        <w:rPr>
          <w:b/>
          <w:szCs w:val="14"/>
        </w:rPr>
      </w:pPr>
      <w:r w:rsidRPr="00315C9A">
        <w:rPr>
          <w:b/>
          <w:szCs w:val="14"/>
        </w:rPr>
        <w:t>R$</w:t>
      </w:r>
      <w:r>
        <w:rPr>
          <w:b/>
          <w:szCs w:val="14"/>
        </w:rPr>
        <w:t xml:space="preserve"> </w:t>
      </w:r>
      <w:r w:rsidRPr="005D5AE6">
        <w:rPr>
          <w:rFonts w:cs="Arial"/>
          <w:b/>
          <w:lang w:val="en-US"/>
        </w:rPr>
        <w:t>thousand</w:t>
      </w:r>
    </w:p>
    <w:tbl>
      <w:tblPr>
        <w:tblW w:w="9645"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805"/>
        <w:gridCol w:w="238"/>
        <w:gridCol w:w="1038"/>
        <w:gridCol w:w="239"/>
        <w:gridCol w:w="151"/>
        <w:gridCol w:w="66"/>
        <w:gridCol w:w="19"/>
        <w:gridCol w:w="1056"/>
        <w:gridCol w:w="1138"/>
        <w:gridCol w:w="784"/>
        <w:gridCol w:w="287"/>
        <w:gridCol w:w="759"/>
        <w:gridCol w:w="162"/>
        <w:gridCol w:w="913"/>
        <w:gridCol w:w="105"/>
        <w:gridCol w:w="855"/>
        <w:gridCol w:w="1030"/>
      </w:tblGrid>
      <w:tr w:rsidR="00931938" w:rsidRPr="00F71EE3" w14:paraId="5BB8E2DB" w14:textId="77777777" w:rsidTr="00E13F8D">
        <w:trPr>
          <w:trHeight w:val="238"/>
          <w:jc w:val="center"/>
        </w:trPr>
        <w:tc>
          <w:tcPr>
            <w:tcW w:w="805" w:type="dxa"/>
            <w:vMerge w:val="restart"/>
            <w:tcBorders>
              <w:top w:val="single" w:sz="2" w:space="0" w:color="1F4E79" w:themeColor="accent1" w:themeShade="80"/>
              <w:bottom w:val="single" w:sz="2" w:space="0" w:color="8EAADB" w:themeColor="accent5" w:themeTint="99"/>
            </w:tcBorders>
            <w:shd w:val="clear" w:color="auto" w:fill="auto"/>
          </w:tcPr>
          <w:p w14:paraId="7736E648" w14:textId="77777777" w:rsidR="00931938" w:rsidRPr="00F71EE3" w:rsidRDefault="00931938" w:rsidP="006218A8">
            <w:pPr>
              <w:ind w:left="741" w:firstLine="259"/>
              <w:rPr>
                <w:rFonts w:cs="Arial"/>
                <w:sz w:val="14"/>
                <w:szCs w:val="14"/>
              </w:rPr>
            </w:pPr>
          </w:p>
        </w:tc>
        <w:tc>
          <w:tcPr>
            <w:tcW w:w="7810" w:type="dxa"/>
            <w:gridSpan w:val="15"/>
            <w:tcBorders>
              <w:top w:val="single" w:sz="2" w:space="0" w:color="1F4E79" w:themeColor="accent1" w:themeShade="80"/>
              <w:bottom w:val="single" w:sz="2" w:space="0" w:color="1F4E79" w:themeColor="accent1" w:themeShade="80"/>
            </w:tcBorders>
            <w:shd w:val="clear" w:color="auto" w:fill="auto"/>
            <w:vAlign w:val="center"/>
          </w:tcPr>
          <w:p w14:paraId="102D5C8F" w14:textId="77777777" w:rsidR="00931938" w:rsidRPr="00AF7AF6" w:rsidRDefault="00931938" w:rsidP="006218A8">
            <w:pPr>
              <w:pStyle w:val="08-Tabelageral"/>
              <w:jc w:val="center"/>
              <w:rPr>
                <w:b/>
                <w:bCs/>
              </w:rPr>
            </w:pPr>
            <w:r w:rsidRPr="005B4D44">
              <w:rPr>
                <w:rFonts w:cs="Arial"/>
                <w:b/>
                <w:bCs/>
                <w:snapToGrid w:val="0"/>
              </w:rPr>
              <w:t>Parent</w:t>
            </w:r>
            <w:r w:rsidRPr="00AF7AF6">
              <w:rPr>
                <w:rFonts w:cs="Arial"/>
                <w:b/>
                <w:bCs/>
                <w:snapToGrid w:val="0"/>
              </w:rPr>
              <w:t xml:space="preserve"> and </w:t>
            </w:r>
            <w:r w:rsidRPr="00AF7AF6">
              <w:rPr>
                <w:rFonts w:cs="Arial"/>
                <w:b/>
                <w:bCs/>
              </w:rPr>
              <w:t>Consolidated</w:t>
            </w:r>
          </w:p>
        </w:tc>
        <w:tc>
          <w:tcPr>
            <w:tcW w:w="1030" w:type="dxa"/>
            <w:tcBorders>
              <w:top w:val="single" w:sz="2" w:space="0" w:color="1F4E79" w:themeColor="accent1" w:themeShade="80"/>
              <w:bottom w:val="single" w:sz="2" w:space="0" w:color="1F4E79" w:themeColor="accent1" w:themeShade="80"/>
            </w:tcBorders>
          </w:tcPr>
          <w:p w14:paraId="37448BED" w14:textId="77777777" w:rsidR="00931938" w:rsidRPr="00EF7262" w:rsidRDefault="00931938" w:rsidP="006218A8">
            <w:pPr>
              <w:pStyle w:val="08-Tabelageral"/>
              <w:jc w:val="center"/>
              <w:rPr>
                <w:b/>
              </w:rPr>
            </w:pPr>
          </w:p>
        </w:tc>
      </w:tr>
      <w:tr w:rsidR="00931938" w:rsidRPr="00F71EE3" w14:paraId="578351F0" w14:textId="77777777" w:rsidTr="00E13F8D">
        <w:trPr>
          <w:trHeight w:val="238"/>
          <w:jc w:val="center"/>
        </w:trPr>
        <w:tc>
          <w:tcPr>
            <w:tcW w:w="805" w:type="dxa"/>
            <w:vMerge/>
            <w:tcBorders>
              <w:top w:val="nil"/>
              <w:bottom w:val="single" w:sz="2" w:space="0" w:color="8EAADB" w:themeColor="accent5" w:themeTint="99"/>
            </w:tcBorders>
            <w:shd w:val="clear" w:color="auto" w:fill="auto"/>
          </w:tcPr>
          <w:p w14:paraId="5EE3CAA4" w14:textId="77777777" w:rsidR="00931938" w:rsidRPr="00F71EE3" w:rsidRDefault="00931938" w:rsidP="006218A8">
            <w:pPr>
              <w:rPr>
                <w:rFonts w:cs="Arial"/>
                <w:sz w:val="14"/>
                <w:szCs w:val="14"/>
              </w:rPr>
            </w:pPr>
          </w:p>
        </w:tc>
        <w:tc>
          <w:tcPr>
            <w:tcW w:w="238" w:type="dxa"/>
            <w:tcBorders>
              <w:top w:val="single" w:sz="2" w:space="0" w:color="1F4E79" w:themeColor="accent1" w:themeShade="80"/>
              <w:bottom w:val="nil"/>
            </w:tcBorders>
            <w:shd w:val="clear" w:color="auto" w:fill="auto"/>
          </w:tcPr>
          <w:p w14:paraId="63E1E2AC" w14:textId="77777777" w:rsidR="00931938" w:rsidRPr="00F71EE3" w:rsidRDefault="00931938" w:rsidP="006218A8">
            <w:pPr>
              <w:jc w:val="center"/>
              <w:rPr>
                <w:rFonts w:cs="Arial"/>
                <w:b/>
                <w:sz w:val="14"/>
                <w:szCs w:val="14"/>
              </w:rPr>
            </w:pPr>
          </w:p>
        </w:tc>
        <w:tc>
          <w:tcPr>
            <w:tcW w:w="1038" w:type="dxa"/>
            <w:tcBorders>
              <w:top w:val="single" w:sz="2" w:space="0" w:color="1F4E79" w:themeColor="accent1" w:themeShade="80"/>
              <w:bottom w:val="single" w:sz="2" w:space="0" w:color="1F4E79" w:themeColor="accent1" w:themeShade="80"/>
            </w:tcBorders>
            <w:shd w:val="clear" w:color="auto" w:fill="auto"/>
            <w:vAlign w:val="center"/>
          </w:tcPr>
          <w:p w14:paraId="6BC1CC4E" w14:textId="77777777" w:rsidR="00931938" w:rsidRPr="00DE3735" w:rsidRDefault="00931938" w:rsidP="006218A8">
            <w:pPr>
              <w:pStyle w:val="08-Tabelageral"/>
              <w:jc w:val="center"/>
              <w:rPr>
                <w:b/>
              </w:rPr>
            </w:pPr>
            <w:r>
              <w:rPr>
                <w:rFonts w:cs="Arial"/>
                <w:b/>
              </w:rPr>
              <w:t>Dec 31, 2021</w:t>
            </w:r>
          </w:p>
        </w:tc>
        <w:tc>
          <w:tcPr>
            <w:tcW w:w="239" w:type="dxa"/>
            <w:tcBorders>
              <w:top w:val="single" w:sz="2" w:space="0" w:color="1F4E79" w:themeColor="accent1" w:themeShade="80"/>
              <w:bottom w:val="single" w:sz="2" w:space="0" w:color="1F4E79" w:themeColor="accent1" w:themeShade="80"/>
            </w:tcBorders>
            <w:shd w:val="clear" w:color="auto" w:fill="auto"/>
            <w:vAlign w:val="center"/>
          </w:tcPr>
          <w:p w14:paraId="04C7B4CA" w14:textId="77777777" w:rsidR="00931938" w:rsidRPr="00DE3735" w:rsidRDefault="00931938" w:rsidP="006218A8">
            <w:pPr>
              <w:pStyle w:val="08-Tabelageral"/>
              <w:jc w:val="center"/>
              <w:rPr>
                <w:b/>
              </w:rPr>
            </w:pPr>
          </w:p>
        </w:tc>
        <w:tc>
          <w:tcPr>
            <w:tcW w:w="236" w:type="dxa"/>
            <w:gridSpan w:val="3"/>
            <w:tcBorders>
              <w:top w:val="single" w:sz="2" w:space="0" w:color="1F4E79" w:themeColor="accent1" w:themeShade="80"/>
              <w:bottom w:val="single" w:sz="2" w:space="0" w:color="1F4E79" w:themeColor="accent1" w:themeShade="80"/>
            </w:tcBorders>
            <w:shd w:val="clear" w:color="auto" w:fill="auto"/>
            <w:vAlign w:val="center"/>
          </w:tcPr>
          <w:p w14:paraId="7C6F64F3" w14:textId="77777777" w:rsidR="00931938" w:rsidRPr="00DE3735" w:rsidRDefault="00931938" w:rsidP="006218A8">
            <w:pPr>
              <w:pStyle w:val="08-Tabelageral"/>
              <w:jc w:val="center"/>
              <w:rPr>
                <w:b/>
              </w:rPr>
            </w:pPr>
          </w:p>
        </w:tc>
        <w:tc>
          <w:tcPr>
            <w:tcW w:w="2978" w:type="dxa"/>
            <w:gridSpan w:val="3"/>
            <w:tcBorders>
              <w:top w:val="single" w:sz="2" w:space="0" w:color="1F4E79" w:themeColor="accent1" w:themeShade="80"/>
              <w:bottom w:val="single" w:sz="2" w:space="0" w:color="1F4E79" w:themeColor="accent1" w:themeShade="80"/>
            </w:tcBorders>
            <w:shd w:val="clear" w:color="auto" w:fill="auto"/>
            <w:vAlign w:val="center"/>
          </w:tcPr>
          <w:p w14:paraId="5880A7A0" w14:textId="77777777" w:rsidR="00931938" w:rsidRPr="00DE3735" w:rsidRDefault="00931938" w:rsidP="006218A8">
            <w:pPr>
              <w:pStyle w:val="08-Tabelageral"/>
              <w:jc w:val="center"/>
              <w:rPr>
                <w:b/>
              </w:rPr>
            </w:pPr>
            <w:r>
              <w:rPr>
                <w:b/>
              </w:rPr>
              <w:t xml:space="preserve">   2022</w:t>
            </w:r>
          </w:p>
        </w:tc>
        <w:tc>
          <w:tcPr>
            <w:tcW w:w="3081" w:type="dxa"/>
            <w:gridSpan w:val="6"/>
            <w:tcBorders>
              <w:top w:val="single" w:sz="2" w:space="0" w:color="1F4E79" w:themeColor="accent1" w:themeShade="80"/>
              <w:bottom w:val="single" w:sz="2" w:space="0" w:color="8EAADB" w:themeColor="accent5" w:themeTint="99"/>
            </w:tcBorders>
            <w:shd w:val="clear" w:color="auto" w:fill="auto"/>
            <w:vAlign w:val="center"/>
          </w:tcPr>
          <w:p w14:paraId="5AAB8DF3" w14:textId="77777777" w:rsidR="00931938" w:rsidRPr="00DE3735" w:rsidRDefault="00931938" w:rsidP="00E13F8D">
            <w:pPr>
              <w:pStyle w:val="08-Tabelageral"/>
              <w:rPr>
                <w:b/>
              </w:rPr>
            </w:pPr>
            <w:r>
              <w:rPr>
                <w:b/>
              </w:rPr>
              <w:t>Dec 31</w:t>
            </w:r>
            <w:r>
              <w:rPr>
                <w:rFonts w:cs="Arial"/>
                <w:b/>
                <w:bCs/>
              </w:rPr>
              <w:t>, 2022</w:t>
            </w:r>
          </w:p>
        </w:tc>
        <w:tc>
          <w:tcPr>
            <w:tcW w:w="1030" w:type="dxa"/>
            <w:tcBorders>
              <w:top w:val="single" w:sz="2" w:space="0" w:color="1F4E79" w:themeColor="accent1" w:themeShade="80"/>
              <w:bottom w:val="single" w:sz="2" w:space="0" w:color="8EAADB" w:themeColor="accent5" w:themeTint="99"/>
            </w:tcBorders>
          </w:tcPr>
          <w:p w14:paraId="0271818B" w14:textId="77777777" w:rsidR="00931938" w:rsidRDefault="00931938" w:rsidP="006218A8">
            <w:pPr>
              <w:pStyle w:val="08-Tabelageral"/>
              <w:ind w:right="-110"/>
              <w:jc w:val="center"/>
              <w:rPr>
                <w:b/>
              </w:rPr>
            </w:pPr>
          </w:p>
        </w:tc>
      </w:tr>
      <w:tr w:rsidR="00931938" w:rsidRPr="00F71EE3" w14:paraId="6BDCA2E5" w14:textId="77777777" w:rsidTr="00E13F8D">
        <w:trPr>
          <w:trHeight w:val="238"/>
          <w:jc w:val="center"/>
        </w:trPr>
        <w:tc>
          <w:tcPr>
            <w:tcW w:w="805" w:type="dxa"/>
            <w:vMerge/>
            <w:tcBorders>
              <w:top w:val="nil"/>
              <w:bottom w:val="single" w:sz="2" w:space="0" w:color="1F4E79" w:themeColor="accent1" w:themeShade="80"/>
            </w:tcBorders>
            <w:shd w:val="clear" w:color="auto" w:fill="auto"/>
          </w:tcPr>
          <w:p w14:paraId="63EB56FA" w14:textId="77777777" w:rsidR="00931938" w:rsidRPr="00F71EE3" w:rsidRDefault="00931938" w:rsidP="006218A8">
            <w:pPr>
              <w:rPr>
                <w:rFonts w:cs="Arial"/>
                <w:sz w:val="14"/>
                <w:szCs w:val="14"/>
              </w:rPr>
            </w:pPr>
          </w:p>
        </w:tc>
        <w:tc>
          <w:tcPr>
            <w:tcW w:w="238" w:type="dxa"/>
            <w:tcBorders>
              <w:top w:val="nil"/>
              <w:bottom w:val="single" w:sz="2" w:space="0" w:color="1F4E79" w:themeColor="accent1" w:themeShade="80"/>
            </w:tcBorders>
            <w:shd w:val="clear" w:color="auto" w:fill="auto"/>
          </w:tcPr>
          <w:p w14:paraId="5674B027" w14:textId="77777777" w:rsidR="00931938" w:rsidRPr="00F71EE3" w:rsidRDefault="00931938" w:rsidP="006218A8">
            <w:pPr>
              <w:jc w:val="center"/>
              <w:rPr>
                <w:rFonts w:cs="Arial"/>
                <w:b/>
                <w:sz w:val="14"/>
                <w:szCs w:val="14"/>
              </w:rPr>
            </w:pPr>
          </w:p>
        </w:tc>
        <w:tc>
          <w:tcPr>
            <w:tcW w:w="1038" w:type="dxa"/>
            <w:tcBorders>
              <w:top w:val="single" w:sz="2" w:space="0" w:color="1F4E79" w:themeColor="accent1" w:themeShade="80"/>
              <w:bottom w:val="single" w:sz="2" w:space="0" w:color="1F4E79" w:themeColor="accent1" w:themeShade="80"/>
            </w:tcBorders>
            <w:shd w:val="clear" w:color="auto" w:fill="auto"/>
            <w:vAlign w:val="center"/>
          </w:tcPr>
          <w:p w14:paraId="5596A142" w14:textId="77777777" w:rsidR="00931938" w:rsidRPr="00DE3735" w:rsidRDefault="00931938" w:rsidP="006218A8">
            <w:pPr>
              <w:pStyle w:val="08-Tabelageral"/>
              <w:jc w:val="center"/>
              <w:rPr>
                <w:b/>
              </w:rPr>
            </w:pPr>
            <w:r>
              <w:rPr>
                <w:rFonts w:cs="Arial"/>
                <w:b/>
              </w:rPr>
              <w:t>Book value</w:t>
            </w:r>
          </w:p>
        </w:tc>
        <w:tc>
          <w:tcPr>
            <w:tcW w:w="390" w:type="dxa"/>
            <w:gridSpan w:val="2"/>
            <w:tcBorders>
              <w:top w:val="nil"/>
              <w:bottom w:val="single" w:sz="2" w:space="0" w:color="1F4E79" w:themeColor="accent1" w:themeShade="80"/>
            </w:tcBorders>
            <w:shd w:val="clear" w:color="auto" w:fill="auto"/>
            <w:vAlign w:val="center"/>
          </w:tcPr>
          <w:p w14:paraId="0EB539B2" w14:textId="77777777" w:rsidR="00931938" w:rsidRPr="00DE3735" w:rsidRDefault="00931938" w:rsidP="006218A8">
            <w:pPr>
              <w:pStyle w:val="08-Tabelageral"/>
              <w:jc w:val="center"/>
              <w:rPr>
                <w:b/>
              </w:rPr>
            </w:pPr>
          </w:p>
        </w:tc>
        <w:tc>
          <w:tcPr>
            <w:tcW w:w="1141" w:type="dxa"/>
            <w:gridSpan w:val="3"/>
            <w:tcBorders>
              <w:top w:val="single" w:sz="2" w:space="0" w:color="1F4E79" w:themeColor="accent1" w:themeShade="80"/>
              <w:bottom w:val="single" w:sz="2" w:space="0" w:color="1F4E79" w:themeColor="accent1" w:themeShade="80"/>
            </w:tcBorders>
            <w:shd w:val="clear" w:color="auto" w:fill="auto"/>
            <w:vAlign w:val="center"/>
          </w:tcPr>
          <w:p w14:paraId="59731789" w14:textId="77777777" w:rsidR="00931938" w:rsidRPr="00DE3735" w:rsidRDefault="00931938" w:rsidP="006218A8">
            <w:pPr>
              <w:pStyle w:val="08-Tabelageral"/>
              <w:jc w:val="center"/>
              <w:rPr>
                <w:b/>
              </w:rPr>
            </w:pPr>
            <w:r w:rsidRPr="00EB5D75">
              <w:rPr>
                <w:rFonts w:cs="Arial"/>
                <w:b/>
              </w:rPr>
              <w:t>Acquisitions</w:t>
            </w:r>
          </w:p>
        </w:tc>
        <w:tc>
          <w:tcPr>
            <w:tcW w:w="1138" w:type="dxa"/>
            <w:tcBorders>
              <w:top w:val="single" w:sz="2" w:space="0" w:color="1F4E79" w:themeColor="accent1" w:themeShade="80"/>
              <w:bottom w:val="single" w:sz="2" w:space="0" w:color="1F4E79" w:themeColor="accent1" w:themeShade="80"/>
            </w:tcBorders>
            <w:shd w:val="clear" w:color="auto" w:fill="auto"/>
            <w:vAlign w:val="center"/>
          </w:tcPr>
          <w:p w14:paraId="2F5AD39D" w14:textId="77777777" w:rsidR="00931938" w:rsidRPr="00DE3735" w:rsidRDefault="00931938" w:rsidP="006218A8">
            <w:pPr>
              <w:pStyle w:val="08-Tabelageral"/>
              <w:jc w:val="center"/>
              <w:rPr>
                <w:b/>
              </w:rPr>
            </w:pPr>
            <w:r>
              <w:rPr>
                <w:rFonts w:cs="Arial"/>
                <w:b/>
              </w:rPr>
              <w:t>Amortization</w:t>
            </w:r>
            <w:r>
              <w:rPr>
                <w:b/>
              </w:rPr>
              <w:t xml:space="preserve">                </w:t>
            </w:r>
          </w:p>
        </w:tc>
        <w:tc>
          <w:tcPr>
            <w:tcW w:w="1071" w:type="dxa"/>
            <w:gridSpan w:val="2"/>
            <w:tcBorders>
              <w:top w:val="single" w:sz="2" w:space="0" w:color="1F4E79" w:themeColor="accent1" w:themeShade="80"/>
              <w:bottom w:val="single" w:sz="2" w:space="0" w:color="1F4E79" w:themeColor="accent1" w:themeShade="80"/>
            </w:tcBorders>
            <w:shd w:val="clear" w:color="auto" w:fill="auto"/>
            <w:vAlign w:val="center"/>
          </w:tcPr>
          <w:p w14:paraId="4A74F6A4" w14:textId="77777777" w:rsidR="00931938" w:rsidRPr="00DE3735" w:rsidRDefault="00931938" w:rsidP="006218A8">
            <w:pPr>
              <w:pStyle w:val="08-Tabelageral"/>
              <w:jc w:val="center"/>
              <w:rPr>
                <w:b/>
              </w:rPr>
            </w:pPr>
            <w:r>
              <w:rPr>
                <w:b/>
              </w:rPr>
              <w:t>Write-offs</w:t>
            </w:r>
          </w:p>
        </w:tc>
        <w:tc>
          <w:tcPr>
            <w:tcW w:w="759" w:type="dxa"/>
            <w:tcBorders>
              <w:top w:val="single" w:sz="2" w:space="0" w:color="1F4E79" w:themeColor="accent1" w:themeShade="80"/>
              <w:bottom w:val="single" w:sz="2" w:space="0" w:color="1F4E79" w:themeColor="accent1" w:themeShade="80"/>
            </w:tcBorders>
            <w:shd w:val="clear" w:color="auto" w:fill="auto"/>
            <w:vAlign w:val="center"/>
          </w:tcPr>
          <w:p w14:paraId="0426CBCC" w14:textId="77777777" w:rsidR="00931938" w:rsidRPr="00DE3735" w:rsidRDefault="00931938" w:rsidP="006218A8">
            <w:pPr>
              <w:pStyle w:val="08-Tabelageral"/>
              <w:jc w:val="center"/>
              <w:rPr>
                <w:b/>
              </w:rPr>
            </w:pPr>
            <w:r>
              <w:rPr>
                <w:rFonts w:cs="Arial"/>
                <w:b/>
                <w:bCs/>
              </w:rPr>
              <w:t>Cost value</w:t>
            </w:r>
          </w:p>
        </w:tc>
        <w:tc>
          <w:tcPr>
            <w:tcW w:w="1075" w:type="dxa"/>
            <w:gridSpan w:val="2"/>
            <w:tcBorders>
              <w:top w:val="single" w:sz="2" w:space="0" w:color="1F4E79" w:themeColor="accent1" w:themeShade="80"/>
              <w:bottom w:val="single" w:sz="2" w:space="0" w:color="1F4E79" w:themeColor="accent1" w:themeShade="80"/>
            </w:tcBorders>
            <w:shd w:val="clear" w:color="auto" w:fill="auto"/>
            <w:vAlign w:val="center"/>
          </w:tcPr>
          <w:p w14:paraId="5F64F8E5" w14:textId="77777777" w:rsidR="00931938" w:rsidRPr="00DE3735" w:rsidRDefault="00931938" w:rsidP="006218A8">
            <w:pPr>
              <w:pStyle w:val="08-Tabelageral"/>
              <w:jc w:val="center"/>
              <w:rPr>
                <w:b/>
              </w:rPr>
            </w:pPr>
            <w:r w:rsidRPr="009A6FC8">
              <w:rPr>
                <w:rFonts w:cs="Arial"/>
                <w:b/>
                <w:bCs/>
              </w:rPr>
              <w:t>Accumulated amortization</w:t>
            </w:r>
          </w:p>
        </w:tc>
        <w:tc>
          <w:tcPr>
            <w:tcW w:w="959" w:type="dxa"/>
            <w:gridSpan w:val="2"/>
            <w:tcBorders>
              <w:top w:val="single" w:sz="2" w:space="0" w:color="1F4E79" w:themeColor="accent1" w:themeShade="80"/>
              <w:bottom w:val="single" w:sz="2" w:space="0" w:color="1F4E79" w:themeColor="accent1" w:themeShade="80"/>
            </w:tcBorders>
            <w:shd w:val="clear" w:color="auto" w:fill="auto"/>
            <w:vAlign w:val="center"/>
          </w:tcPr>
          <w:p w14:paraId="3FAD5457" w14:textId="77777777" w:rsidR="00931938" w:rsidRPr="00DE3735" w:rsidRDefault="00931938" w:rsidP="006218A8">
            <w:pPr>
              <w:pStyle w:val="08-Tabelageral"/>
              <w:jc w:val="center"/>
              <w:rPr>
                <w:b/>
              </w:rPr>
            </w:pPr>
            <w:r>
              <w:rPr>
                <w:b/>
                <w:bCs/>
              </w:rPr>
              <w:t>Write-offs</w:t>
            </w:r>
          </w:p>
        </w:tc>
        <w:tc>
          <w:tcPr>
            <w:tcW w:w="1030" w:type="dxa"/>
            <w:tcBorders>
              <w:top w:val="single" w:sz="2" w:space="0" w:color="1F4E79" w:themeColor="accent1" w:themeShade="80"/>
              <w:bottom w:val="single" w:sz="2" w:space="0" w:color="1F4E79" w:themeColor="accent1" w:themeShade="80"/>
            </w:tcBorders>
            <w:vAlign w:val="center"/>
          </w:tcPr>
          <w:p w14:paraId="77895DB3" w14:textId="77777777" w:rsidR="00931938" w:rsidRPr="00DE3735" w:rsidRDefault="00931938" w:rsidP="006218A8">
            <w:pPr>
              <w:pStyle w:val="08-Tabelageral"/>
              <w:jc w:val="center"/>
              <w:rPr>
                <w:b/>
                <w:bCs/>
              </w:rPr>
            </w:pPr>
            <w:r>
              <w:rPr>
                <w:rFonts w:cs="Arial"/>
                <w:b/>
                <w:bCs/>
              </w:rPr>
              <w:t>Book value</w:t>
            </w:r>
          </w:p>
        </w:tc>
      </w:tr>
      <w:tr w:rsidR="00931938" w:rsidRPr="00543AEB" w14:paraId="7E9E79DB" w14:textId="77777777" w:rsidTr="00E13F8D">
        <w:trPr>
          <w:trHeight w:val="238"/>
          <w:jc w:val="center"/>
        </w:trPr>
        <w:tc>
          <w:tcPr>
            <w:tcW w:w="805" w:type="dxa"/>
            <w:tcBorders>
              <w:top w:val="single" w:sz="2" w:space="0" w:color="1F4E79" w:themeColor="accent1" w:themeShade="80"/>
              <w:bottom w:val="single" w:sz="2" w:space="0" w:color="1F4E79" w:themeColor="accent1" w:themeShade="80"/>
            </w:tcBorders>
            <w:shd w:val="clear" w:color="auto" w:fill="auto"/>
          </w:tcPr>
          <w:p w14:paraId="0A622999" w14:textId="77777777" w:rsidR="00931938" w:rsidRPr="003B0482" w:rsidRDefault="00931938" w:rsidP="006218A8">
            <w:pPr>
              <w:pStyle w:val="08-Tabelageral"/>
              <w:jc w:val="left"/>
              <w:rPr>
                <w:rFonts w:cs="Arial"/>
                <w:b/>
                <w:szCs w:val="14"/>
                <w:vertAlign w:val="superscript"/>
              </w:rPr>
            </w:pPr>
            <w:r w:rsidRPr="003B0482">
              <w:rPr>
                <w:rFonts w:cs="Arial"/>
                <w:szCs w:val="14"/>
              </w:rPr>
              <w:t>Software – ERP</w:t>
            </w:r>
            <w:r>
              <w:rPr>
                <w:rFonts w:cs="Arial"/>
                <w:szCs w:val="14"/>
              </w:rPr>
              <w:t xml:space="preserve"> </w:t>
            </w:r>
            <w:r w:rsidRPr="003B0482">
              <w:rPr>
                <w:rFonts w:cs="Arial"/>
                <w:szCs w:val="14"/>
                <w:vertAlign w:val="superscript"/>
              </w:rPr>
              <w:t>(1)</w:t>
            </w:r>
          </w:p>
        </w:tc>
        <w:tc>
          <w:tcPr>
            <w:tcW w:w="238" w:type="dxa"/>
            <w:tcBorders>
              <w:top w:val="single" w:sz="2" w:space="0" w:color="1F4E79" w:themeColor="accent1" w:themeShade="80"/>
              <w:bottom w:val="single" w:sz="2" w:space="0" w:color="1F4E79" w:themeColor="accent1" w:themeShade="80"/>
            </w:tcBorders>
            <w:shd w:val="clear" w:color="auto" w:fill="auto"/>
          </w:tcPr>
          <w:p w14:paraId="72E2968A" w14:textId="77777777" w:rsidR="00931938" w:rsidRPr="003B0482" w:rsidRDefault="00931938" w:rsidP="006218A8">
            <w:pPr>
              <w:pStyle w:val="08-Tabelageral"/>
              <w:jc w:val="center"/>
              <w:rPr>
                <w:rFonts w:cs="Arial"/>
                <w:szCs w:val="14"/>
              </w:rPr>
            </w:pPr>
          </w:p>
        </w:tc>
        <w:tc>
          <w:tcPr>
            <w:tcW w:w="1038" w:type="dxa"/>
            <w:tcBorders>
              <w:top w:val="single" w:sz="2" w:space="0" w:color="1F4E79" w:themeColor="accent1" w:themeShade="80"/>
              <w:bottom w:val="single" w:sz="2" w:space="0" w:color="1F4E79" w:themeColor="accent1" w:themeShade="80"/>
            </w:tcBorders>
            <w:shd w:val="clear" w:color="auto" w:fill="auto"/>
          </w:tcPr>
          <w:p w14:paraId="79B622AB" w14:textId="77777777" w:rsidR="00931938" w:rsidRPr="003B0482" w:rsidRDefault="00931938" w:rsidP="006218A8">
            <w:pPr>
              <w:pStyle w:val="08-Tabelageral"/>
              <w:jc w:val="center"/>
              <w:rPr>
                <w:rFonts w:cs="Arial"/>
                <w:szCs w:val="14"/>
              </w:rPr>
            </w:pPr>
            <w:r>
              <w:rPr>
                <w:rFonts w:cs="Arial"/>
                <w:szCs w:val="14"/>
              </w:rPr>
              <w:t>4,959</w:t>
            </w:r>
          </w:p>
        </w:tc>
        <w:tc>
          <w:tcPr>
            <w:tcW w:w="456" w:type="dxa"/>
            <w:gridSpan w:val="3"/>
            <w:tcBorders>
              <w:top w:val="single" w:sz="2" w:space="0" w:color="1F4E79" w:themeColor="accent1" w:themeShade="80"/>
              <w:bottom w:val="single" w:sz="2" w:space="0" w:color="1F4E79" w:themeColor="accent1" w:themeShade="80"/>
            </w:tcBorders>
            <w:shd w:val="clear" w:color="auto" w:fill="auto"/>
          </w:tcPr>
          <w:p w14:paraId="5B5CE1BF" w14:textId="77777777" w:rsidR="00931938" w:rsidRPr="003B0482" w:rsidRDefault="00931938" w:rsidP="006218A8">
            <w:pPr>
              <w:pStyle w:val="08-Tabelageral"/>
              <w:jc w:val="center"/>
              <w:rPr>
                <w:rFonts w:cs="Arial"/>
                <w:szCs w:val="14"/>
              </w:rPr>
            </w:pPr>
          </w:p>
        </w:tc>
        <w:tc>
          <w:tcPr>
            <w:tcW w:w="1075" w:type="dxa"/>
            <w:gridSpan w:val="2"/>
            <w:tcBorders>
              <w:top w:val="single" w:sz="2" w:space="0" w:color="1F4E79" w:themeColor="accent1" w:themeShade="80"/>
              <w:bottom w:val="single" w:sz="2" w:space="0" w:color="1F4E79" w:themeColor="accent1" w:themeShade="80"/>
            </w:tcBorders>
            <w:shd w:val="clear" w:color="auto" w:fill="auto"/>
          </w:tcPr>
          <w:p w14:paraId="154D3E52" w14:textId="77777777" w:rsidR="00931938" w:rsidRPr="003B0482" w:rsidRDefault="00931938" w:rsidP="006218A8">
            <w:pPr>
              <w:pStyle w:val="08-Tabelageral"/>
              <w:jc w:val="center"/>
              <w:rPr>
                <w:rFonts w:cs="Arial"/>
                <w:szCs w:val="14"/>
              </w:rPr>
            </w:pPr>
            <w:r>
              <w:rPr>
                <w:rFonts w:cs="Arial"/>
                <w:szCs w:val="14"/>
              </w:rPr>
              <w:t>322</w:t>
            </w:r>
          </w:p>
        </w:tc>
        <w:tc>
          <w:tcPr>
            <w:tcW w:w="1138" w:type="dxa"/>
            <w:tcBorders>
              <w:top w:val="single" w:sz="2" w:space="0" w:color="1F4E79" w:themeColor="accent1" w:themeShade="80"/>
              <w:bottom w:val="single" w:sz="2" w:space="0" w:color="1F4E79" w:themeColor="accent1" w:themeShade="80"/>
            </w:tcBorders>
            <w:shd w:val="clear" w:color="auto" w:fill="auto"/>
          </w:tcPr>
          <w:p w14:paraId="4F5C92C6" w14:textId="77777777" w:rsidR="00931938" w:rsidRPr="003B0482" w:rsidRDefault="00931938" w:rsidP="006218A8">
            <w:pPr>
              <w:pStyle w:val="08-Tabelageral"/>
              <w:jc w:val="center"/>
              <w:rPr>
                <w:rFonts w:cs="Arial"/>
                <w:szCs w:val="14"/>
              </w:rPr>
            </w:pPr>
            <w:r>
              <w:rPr>
                <w:rFonts w:cs="Arial"/>
                <w:szCs w:val="14"/>
              </w:rPr>
              <w:t>(863)</w:t>
            </w:r>
          </w:p>
        </w:tc>
        <w:tc>
          <w:tcPr>
            <w:tcW w:w="1071" w:type="dxa"/>
            <w:gridSpan w:val="2"/>
            <w:tcBorders>
              <w:top w:val="single" w:sz="2" w:space="0" w:color="1F4E79" w:themeColor="accent1" w:themeShade="80"/>
              <w:bottom w:val="single" w:sz="2" w:space="0" w:color="1F4E79" w:themeColor="accent1" w:themeShade="80"/>
            </w:tcBorders>
            <w:shd w:val="clear" w:color="auto" w:fill="auto"/>
          </w:tcPr>
          <w:p w14:paraId="2D779E9B" w14:textId="77777777" w:rsidR="00931938" w:rsidRPr="003B0482" w:rsidRDefault="00931938" w:rsidP="006218A8">
            <w:pPr>
              <w:pStyle w:val="08-Tabelageral"/>
              <w:jc w:val="center"/>
              <w:rPr>
                <w:rFonts w:cs="Arial"/>
                <w:szCs w:val="14"/>
              </w:rPr>
            </w:pPr>
            <w:r>
              <w:rPr>
                <w:rFonts w:cs="Arial"/>
                <w:szCs w:val="14"/>
              </w:rPr>
              <w:t>(397)</w:t>
            </w:r>
          </w:p>
        </w:tc>
        <w:tc>
          <w:tcPr>
            <w:tcW w:w="921" w:type="dxa"/>
            <w:gridSpan w:val="2"/>
            <w:tcBorders>
              <w:top w:val="single" w:sz="2" w:space="0" w:color="1F4E79" w:themeColor="accent1" w:themeShade="80"/>
              <w:bottom w:val="single" w:sz="2" w:space="0" w:color="1F4E79" w:themeColor="accent1" w:themeShade="80"/>
            </w:tcBorders>
            <w:shd w:val="clear" w:color="auto" w:fill="auto"/>
          </w:tcPr>
          <w:p w14:paraId="610C70A1" w14:textId="77777777" w:rsidR="00931938" w:rsidRPr="003B0482" w:rsidRDefault="00931938" w:rsidP="006218A8">
            <w:pPr>
              <w:pStyle w:val="08-Tabelageral"/>
              <w:jc w:val="center"/>
              <w:rPr>
                <w:rFonts w:cs="Arial"/>
                <w:szCs w:val="14"/>
              </w:rPr>
            </w:pPr>
            <w:r>
              <w:rPr>
                <w:rFonts w:cs="Arial"/>
                <w:szCs w:val="14"/>
              </w:rPr>
              <w:t>8,096</w:t>
            </w:r>
          </w:p>
        </w:tc>
        <w:tc>
          <w:tcPr>
            <w:tcW w:w="1018" w:type="dxa"/>
            <w:gridSpan w:val="2"/>
            <w:tcBorders>
              <w:top w:val="single" w:sz="2" w:space="0" w:color="1F4E79" w:themeColor="accent1" w:themeShade="80"/>
              <w:bottom w:val="single" w:sz="2" w:space="0" w:color="1F4E79" w:themeColor="accent1" w:themeShade="80"/>
            </w:tcBorders>
            <w:shd w:val="clear" w:color="auto" w:fill="auto"/>
          </w:tcPr>
          <w:p w14:paraId="3549C5E7" w14:textId="77777777" w:rsidR="00931938" w:rsidRPr="003B0482" w:rsidRDefault="00931938" w:rsidP="006218A8">
            <w:pPr>
              <w:pStyle w:val="08-Tabelageral"/>
              <w:jc w:val="center"/>
              <w:rPr>
                <w:rFonts w:cs="Arial"/>
                <w:szCs w:val="14"/>
              </w:rPr>
            </w:pPr>
            <w:r>
              <w:rPr>
                <w:rFonts w:cs="Arial"/>
                <w:szCs w:val="14"/>
              </w:rPr>
              <w:t>(3,678)</w:t>
            </w:r>
          </w:p>
        </w:tc>
        <w:tc>
          <w:tcPr>
            <w:tcW w:w="855" w:type="dxa"/>
            <w:tcBorders>
              <w:top w:val="single" w:sz="2" w:space="0" w:color="1F4E79" w:themeColor="accent1" w:themeShade="80"/>
              <w:bottom w:val="single" w:sz="2" w:space="0" w:color="1F4E79" w:themeColor="accent1" w:themeShade="80"/>
            </w:tcBorders>
            <w:shd w:val="clear" w:color="auto" w:fill="auto"/>
          </w:tcPr>
          <w:p w14:paraId="6A39FA98" w14:textId="77777777" w:rsidR="00931938" w:rsidRPr="003B0482" w:rsidRDefault="00931938" w:rsidP="006218A8">
            <w:pPr>
              <w:pStyle w:val="08-Tabelageral"/>
              <w:jc w:val="center"/>
              <w:rPr>
                <w:rFonts w:cs="Arial"/>
                <w:szCs w:val="14"/>
              </w:rPr>
            </w:pPr>
            <w:r>
              <w:rPr>
                <w:rFonts w:cs="Arial"/>
                <w:szCs w:val="14"/>
              </w:rPr>
              <w:t>(397)</w:t>
            </w:r>
          </w:p>
        </w:tc>
        <w:tc>
          <w:tcPr>
            <w:tcW w:w="1030" w:type="dxa"/>
            <w:tcBorders>
              <w:top w:val="single" w:sz="2" w:space="0" w:color="1F4E79" w:themeColor="accent1" w:themeShade="80"/>
              <w:bottom w:val="single" w:sz="2" w:space="0" w:color="1F4E79" w:themeColor="accent1" w:themeShade="80"/>
            </w:tcBorders>
          </w:tcPr>
          <w:p w14:paraId="4D4F8497" w14:textId="77777777" w:rsidR="00931938" w:rsidRDefault="00931938" w:rsidP="006218A8">
            <w:pPr>
              <w:pStyle w:val="08-Tabelageral"/>
              <w:jc w:val="center"/>
              <w:rPr>
                <w:rFonts w:cs="Arial"/>
                <w:szCs w:val="14"/>
              </w:rPr>
            </w:pPr>
            <w:r>
              <w:rPr>
                <w:rFonts w:cs="Arial"/>
                <w:szCs w:val="14"/>
              </w:rPr>
              <w:t>4,021</w:t>
            </w:r>
          </w:p>
        </w:tc>
      </w:tr>
    </w:tbl>
    <w:p w14:paraId="20B5C112" w14:textId="77777777" w:rsidR="00931938" w:rsidRDefault="00931938" w:rsidP="00931938">
      <w:pPr>
        <w:pStyle w:val="07-Legenda"/>
        <w:numPr>
          <w:ilvl w:val="0"/>
          <w:numId w:val="13"/>
        </w:numPr>
        <w:tabs>
          <w:tab w:val="clear" w:pos="284"/>
          <w:tab w:val="left" w:pos="0"/>
        </w:tabs>
        <w:ind w:left="284" w:hanging="284"/>
        <w:rPr>
          <w:lang w:val="en-US"/>
        </w:rPr>
      </w:pPr>
      <w:r w:rsidRPr="00887BA2">
        <w:rPr>
          <w:lang w:val="en-US"/>
        </w:rPr>
        <w:t xml:space="preserve">In January 2018, the amortization of Enterprise Resource Planning (ERP) began, according to CPC </w:t>
      </w:r>
      <w:r>
        <w:rPr>
          <w:lang w:val="en-US"/>
        </w:rPr>
        <w:t xml:space="preserve">04 [IAS 38] - Intangible Assets </w:t>
      </w:r>
      <w:r w:rsidRPr="001C7169">
        <w:rPr>
          <w:lang w:val="en-US"/>
        </w:rPr>
        <w:t>in which the</w:t>
      </w:r>
      <w:r w:rsidRPr="00FC7714">
        <w:rPr>
          <w:lang w:val="en-US"/>
        </w:rPr>
        <w:t xml:space="preserve"> amortization period of intangible assets with a defined useful li</w:t>
      </w:r>
      <w:r>
        <w:rPr>
          <w:lang w:val="en-US"/>
        </w:rPr>
        <w:t xml:space="preserve">fe is 10 years and amortization </w:t>
      </w:r>
      <w:r w:rsidRPr="00FC7714">
        <w:rPr>
          <w:lang w:val="en-US"/>
        </w:rPr>
        <w:t xml:space="preserve">is calculated at the annual rate of 10% and recognized to the income statement on a straight-line </w:t>
      </w:r>
      <w:r>
        <w:rPr>
          <w:lang w:val="en-US"/>
        </w:rPr>
        <w:t>method.</w:t>
      </w:r>
    </w:p>
    <w:p w14:paraId="77BC826A" w14:textId="77777777" w:rsidR="00931938" w:rsidRPr="00E13F8D" w:rsidRDefault="00931938" w:rsidP="00E13F8D">
      <w:pPr>
        <w:pStyle w:val="07-Legenda"/>
        <w:tabs>
          <w:tab w:val="clear" w:pos="284"/>
          <w:tab w:val="left" w:pos="0"/>
        </w:tabs>
        <w:ind w:left="0" w:firstLine="0"/>
        <w:rPr>
          <w:lang w:val="en-US"/>
        </w:rPr>
      </w:pPr>
    </w:p>
    <w:bookmarkEnd w:id="54"/>
    <w:p w14:paraId="15E4032A" w14:textId="77777777" w:rsidR="00931938" w:rsidRPr="005B4D44" w:rsidRDefault="00931938" w:rsidP="0032182B">
      <w:pPr>
        <w:pStyle w:val="01-TtulodeNota"/>
        <w:rPr>
          <w:color w:val="1F4E79" w:themeColor="accent1" w:themeShade="80"/>
          <w:sz w:val="18"/>
          <w:lang w:val="en-US"/>
        </w:rPr>
      </w:pPr>
      <w:r w:rsidRPr="005B4D44">
        <w:rPr>
          <w:color w:val="1F4E79" w:themeColor="accent1" w:themeShade="80"/>
          <w:sz w:val="18"/>
          <w:lang w:val="en-US"/>
        </w:rPr>
        <w:t xml:space="preserve">a.1) </w:t>
      </w:r>
      <w:r w:rsidRPr="00CA6A0A">
        <w:rPr>
          <w:color w:val="1F4E79" w:themeColor="accent1" w:themeShade="80"/>
          <w:sz w:val="18"/>
          <w:szCs w:val="18"/>
          <w:lang w:val="en-US"/>
        </w:rPr>
        <w:t>Estimate for amortization</w:t>
      </w:r>
    </w:p>
    <w:p w14:paraId="675A1009" w14:textId="5499F9A0" w:rsidR="00931938" w:rsidRPr="005B4D44" w:rsidRDefault="00931938" w:rsidP="00AB4D1D">
      <w:pPr>
        <w:pStyle w:val="07-Legenda"/>
        <w:ind w:left="708" w:firstLine="0"/>
        <w:jc w:val="right"/>
        <w:rPr>
          <w:b/>
          <w:szCs w:val="12"/>
          <w:lang w:val="en-US"/>
        </w:rPr>
      </w:pPr>
      <w:r w:rsidRPr="005B4D44">
        <w:rPr>
          <w:b/>
          <w:szCs w:val="12"/>
          <w:lang w:val="en-US"/>
        </w:rPr>
        <w:t>R$ 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104"/>
        <w:gridCol w:w="1056"/>
        <w:gridCol w:w="1058"/>
        <w:gridCol w:w="1058"/>
        <w:gridCol w:w="1058"/>
        <w:gridCol w:w="1157"/>
        <w:gridCol w:w="1148"/>
      </w:tblGrid>
      <w:tr w:rsidR="00931938" w:rsidRPr="00255E0A" w14:paraId="7863911D" w14:textId="77777777" w:rsidTr="006218A8">
        <w:trPr>
          <w:trHeight w:val="238"/>
          <w:jc w:val="center"/>
        </w:trPr>
        <w:tc>
          <w:tcPr>
            <w:tcW w:w="3162" w:type="dxa"/>
            <w:tcBorders>
              <w:top w:val="single" w:sz="2" w:space="0" w:color="1F4E79" w:themeColor="accent1" w:themeShade="80"/>
              <w:bottom w:val="single" w:sz="2" w:space="0" w:color="1F4E79" w:themeColor="accent1" w:themeShade="80"/>
            </w:tcBorders>
            <w:shd w:val="clear" w:color="auto" w:fill="auto"/>
            <w:vAlign w:val="center"/>
          </w:tcPr>
          <w:p w14:paraId="052628CD" w14:textId="77777777" w:rsidR="00931938" w:rsidRPr="005B4D44" w:rsidRDefault="00931938" w:rsidP="006218A8">
            <w:pPr>
              <w:pStyle w:val="08-Tabelageral"/>
              <w:jc w:val="center"/>
              <w:rPr>
                <w:b/>
                <w:lang w:val="en-US"/>
              </w:rPr>
            </w:pPr>
          </w:p>
        </w:tc>
        <w:tc>
          <w:tcPr>
            <w:tcW w:w="1070" w:type="dxa"/>
            <w:tcBorders>
              <w:top w:val="single" w:sz="2" w:space="0" w:color="1F4E79" w:themeColor="accent1" w:themeShade="80"/>
              <w:bottom w:val="single" w:sz="2" w:space="0" w:color="1F4E79" w:themeColor="accent1" w:themeShade="80"/>
            </w:tcBorders>
            <w:shd w:val="clear" w:color="auto" w:fill="auto"/>
            <w:vAlign w:val="center"/>
          </w:tcPr>
          <w:p w14:paraId="23F7F9CB" w14:textId="77777777" w:rsidR="00931938" w:rsidRPr="00255E0A" w:rsidRDefault="00931938" w:rsidP="006218A8">
            <w:pPr>
              <w:pStyle w:val="08-Tabelageral"/>
              <w:jc w:val="center"/>
              <w:rPr>
                <w:b/>
              </w:rPr>
            </w:pPr>
            <w:r w:rsidRPr="00255E0A">
              <w:rPr>
                <w:b/>
              </w:rPr>
              <w:t>2023</w:t>
            </w:r>
          </w:p>
        </w:tc>
        <w:tc>
          <w:tcPr>
            <w:tcW w:w="1071" w:type="dxa"/>
            <w:tcBorders>
              <w:top w:val="single" w:sz="2" w:space="0" w:color="1F4E79" w:themeColor="accent1" w:themeShade="80"/>
              <w:bottom w:val="single" w:sz="2" w:space="0" w:color="1F4E79" w:themeColor="accent1" w:themeShade="80"/>
            </w:tcBorders>
            <w:shd w:val="clear" w:color="auto" w:fill="auto"/>
            <w:vAlign w:val="center"/>
          </w:tcPr>
          <w:p w14:paraId="7B36B8DC" w14:textId="77777777" w:rsidR="00931938" w:rsidRPr="00255E0A" w:rsidRDefault="00931938" w:rsidP="006218A8">
            <w:pPr>
              <w:pStyle w:val="08-Tabelageral"/>
              <w:jc w:val="center"/>
              <w:rPr>
                <w:b/>
              </w:rPr>
            </w:pPr>
            <w:r w:rsidRPr="00255E0A">
              <w:rPr>
                <w:b/>
              </w:rPr>
              <w:t>2024</w:t>
            </w:r>
          </w:p>
        </w:tc>
        <w:tc>
          <w:tcPr>
            <w:tcW w:w="1071" w:type="dxa"/>
            <w:tcBorders>
              <w:top w:val="single" w:sz="2" w:space="0" w:color="1F4E79" w:themeColor="accent1" w:themeShade="80"/>
              <w:bottom w:val="single" w:sz="2" w:space="0" w:color="1F4E79" w:themeColor="accent1" w:themeShade="80"/>
            </w:tcBorders>
            <w:shd w:val="clear" w:color="auto" w:fill="auto"/>
            <w:vAlign w:val="center"/>
          </w:tcPr>
          <w:p w14:paraId="7D5EC123" w14:textId="77777777" w:rsidR="00931938" w:rsidRPr="00255E0A" w:rsidRDefault="00931938" w:rsidP="006218A8">
            <w:pPr>
              <w:pStyle w:val="08-Tabelageral"/>
              <w:jc w:val="center"/>
              <w:rPr>
                <w:b/>
              </w:rPr>
            </w:pPr>
            <w:r w:rsidRPr="00255E0A">
              <w:rPr>
                <w:b/>
              </w:rPr>
              <w:t>2025</w:t>
            </w:r>
          </w:p>
        </w:tc>
        <w:tc>
          <w:tcPr>
            <w:tcW w:w="1071" w:type="dxa"/>
            <w:tcBorders>
              <w:top w:val="single" w:sz="2" w:space="0" w:color="1F4E79" w:themeColor="accent1" w:themeShade="80"/>
              <w:bottom w:val="single" w:sz="2" w:space="0" w:color="1F4E79" w:themeColor="accent1" w:themeShade="80"/>
            </w:tcBorders>
            <w:shd w:val="clear" w:color="auto" w:fill="auto"/>
            <w:vAlign w:val="center"/>
          </w:tcPr>
          <w:p w14:paraId="3724473D" w14:textId="77777777" w:rsidR="00931938" w:rsidRPr="00255E0A" w:rsidRDefault="00931938" w:rsidP="006218A8">
            <w:pPr>
              <w:pStyle w:val="08-Tabelageral"/>
              <w:jc w:val="center"/>
              <w:rPr>
                <w:b/>
              </w:rPr>
            </w:pPr>
            <w:r w:rsidRPr="00255E0A">
              <w:rPr>
                <w:b/>
              </w:rPr>
              <w:t>2026</w:t>
            </w:r>
          </w:p>
        </w:tc>
        <w:tc>
          <w:tcPr>
            <w:tcW w:w="1173" w:type="dxa"/>
            <w:tcBorders>
              <w:top w:val="single" w:sz="2" w:space="0" w:color="1F4E79" w:themeColor="accent1" w:themeShade="80"/>
              <w:bottom w:val="single" w:sz="2" w:space="0" w:color="1F4E79" w:themeColor="accent1" w:themeShade="80"/>
            </w:tcBorders>
            <w:shd w:val="clear" w:color="auto" w:fill="auto"/>
            <w:vAlign w:val="center"/>
          </w:tcPr>
          <w:p w14:paraId="05CDBBD1" w14:textId="77777777" w:rsidR="00931938" w:rsidRPr="00255E0A" w:rsidRDefault="00931938" w:rsidP="006218A8">
            <w:pPr>
              <w:pStyle w:val="08-Tabelageral"/>
              <w:jc w:val="center"/>
              <w:rPr>
                <w:b/>
              </w:rPr>
            </w:pPr>
            <w:r>
              <w:rPr>
                <w:b/>
              </w:rPr>
              <w:t>2027</w:t>
            </w:r>
          </w:p>
        </w:tc>
        <w:tc>
          <w:tcPr>
            <w:tcW w:w="1163" w:type="dxa"/>
            <w:tcBorders>
              <w:top w:val="single" w:sz="2" w:space="0" w:color="1F4E79" w:themeColor="accent1" w:themeShade="80"/>
              <w:bottom w:val="single" w:sz="2" w:space="0" w:color="1F4E79" w:themeColor="accent1" w:themeShade="80"/>
            </w:tcBorders>
            <w:shd w:val="clear" w:color="auto" w:fill="auto"/>
            <w:vAlign w:val="center"/>
          </w:tcPr>
          <w:p w14:paraId="40AAED6F" w14:textId="77777777" w:rsidR="00931938" w:rsidRPr="00255E0A" w:rsidRDefault="00931938" w:rsidP="006218A8">
            <w:pPr>
              <w:pStyle w:val="08-Tabelageral"/>
              <w:jc w:val="center"/>
              <w:rPr>
                <w:b/>
              </w:rPr>
            </w:pPr>
            <w:r w:rsidRPr="00255E0A">
              <w:rPr>
                <w:b/>
              </w:rPr>
              <w:t>Total</w:t>
            </w:r>
          </w:p>
        </w:tc>
      </w:tr>
      <w:tr w:rsidR="00931938" w:rsidRPr="00E177EF" w14:paraId="78888AC1" w14:textId="77777777" w:rsidTr="006218A8">
        <w:trPr>
          <w:trHeight w:val="238"/>
          <w:jc w:val="center"/>
        </w:trPr>
        <w:tc>
          <w:tcPr>
            <w:tcW w:w="3162" w:type="dxa"/>
            <w:tcBorders>
              <w:top w:val="single" w:sz="2" w:space="0" w:color="1F4E79" w:themeColor="accent1" w:themeShade="80"/>
              <w:bottom w:val="single" w:sz="2" w:space="0" w:color="1F4E79" w:themeColor="accent1" w:themeShade="80"/>
            </w:tcBorders>
            <w:shd w:val="clear" w:color="auto" w:fill="auto"/>
          </w:tcPr>
          <w:p w14:paraId="1EC304EA" w14:textId="77777777" w:rsidR="00931938" w:rsidRPr="0095503D" w:rsidRDefault="00931938" w:rsidP="006218A8">
            <w:pPr>
              <w:pStyle w:val="08-Tabelageral"/>
              <w:jc w:val="left"/>
              <w:rPr>
                <w:b/>
                <w:szCs w:val="14"/>
              </w:rPr>
            </w:pPr>
            <w:r w:rsidRPr="005D5AE6">
              <w:rPr>
                <w:rFonts w:cs="Arial"/>
              </w:rPr>
              <w:t>Amounts to be amortized</w:t>
            </w:r>
          </w:p>
        </w:tc>
        <w:tc>
          <w:tcPr>
            <w:tcW w:w="1070" w:type="dxa"/>
            <w:tcBorders>
              <w:top w:val="single" w:sz="2" w:space="0" w:color="1F4E79" w:themeColor="accent1" w:themeShade="80"/>
              <w:bottom w:val="single" w:sz="2" w:space="0" w:color="1F4E79" w:themeColor="accent1" w:themeShade="80"/>
            </w:tcBorders>
            <w:shd w:val="clear" w:color="auto" w:fill="auto"/>
          </w:tcPr>
          <w:p w14:paraId="3AA056C1" w14:textId="77777777" w:rsidR="00931938" w:rsidRPr="008331D9" w:rsidRDefault="00931938" w:rsidP="006218A8">
            <w:pPr>
              <w:pStyle w:val="08-Tabelageral"/>
              <w:jc w:val="center"/>
              <w:rPr>
                <w:szCs w:val="14"/>
              </w:rPr>
            </w:pPr>
            <w:r>
              <w:rPr>
                <w:szCs w:val="14"/>
              </w:rPr>
              <w:t>804</w:t>
            </w:r>
          </w:p>
        </w:tc>
        <w:tc>
          <w:tcPr>
            <w:tcW w:w="1071" w:type="dxa"/>
            <w:tcBorders>
              <w:top w:val="single" w:sz="2" w:space="0" w:color="1F4E79" w:themeColor="accent1" w:themeShade="80"/>
              <w:bottom w:val="single" w:sz="2" w:space="0" w:color="1F4E79" w:themeColor="accent1" w:themeShade="80"/>
            </w:tcBorders>
            <w:shd w:val="clear" w:color="auto" w:fill="auto"/>
          </w:tcPr>
          <w:p w14:paraId="342D0A79" w14:textId="77777777" w:rsidR="00931938" w:rsidRPr="008331D9" w:rsidRDefault="00931938" w:rsidP="006218A8">
            <w:pPr>
              <w:pStyle w:val="08-Tabelageral"/>
              <w:jc w:val="center"/>
              <w:rPr>
                <w:szCs w:val="14"/>
              </w:rPr>
            </w:pPr>
            <w:r>
              <w:rPr>
                <w:szCs w:val="14"/>
              </w:rPr>
              <w:t>804</w:t>
            </w:r>
          </w:p>
        </w:tc>
        <w:tc>
          <w:tcPr>
            <w:tcW w:w="1071" w:type="dxa"/>
            <w:tcBorders>
              <w:top w:val="single" w:sz="2" w:space="0" w:color="1F4E79" w:themeColor="accent1" w:themeShade="80"/>
              <w:bottom w:val="single" w:sz="2" w:space="0" w:color="1F4E79" w:themeColor="accent1" w:themeShade="80"/>
            </w:tcBorders>
            <w:shd w:val="clear" w:color="auto" w:fill="auto"/>
          </w:tcPr>
          <w:p w14:paraId="3EF78E10" w14:textId="77777777" w:rsidR="00931938" w:rsidRPr="008331D9" w:rsidRDefault="00931938" w:rsidP="006218A8">
            <w:pPr>
              <w:pStyle w:val="08-Tabelageral"/>
              <w:jc w:val="center"/>
              <w:rPr>
                <w:szCs w:val="14"/>
              </w:rPr>
            </w:pPr>
            <w:r>
              <w:rPr>
                <w:szCs w:val="14"/>
              </w:rPr>
              <w:t>804</w:t>
            </w:r>
          </w:p>
        </w:tc>
        <w:tc>
          <w:tcPr>
            <w:tcW w:w="1071" w:type="dxa"/>
            <w:tcBorders>
              <w:top w:val="single" w:sz="2" w:space="0" w:color="1F4E79" w:themeColor="accent1" w:themeShade="80"/>
              <w:bottom w:val="single" w:sz="2" w:space="0" w:color="1F4E79" w:themeColor="accent1" w:themeShade="80"/>
            </w:tcBorders>
            <w:shd w:val="clear" w:color="auto" w:fill="auto"/>
          </w:tcPr>
          <w:p w14:paraId="3A11C7F1" w14:textId="77777777" w:rsidR="00931938" w:rsidRPr="008331D9" w:rsidRDefault="00931938" w:rsidP="006218A8">
            <w:pPr>
              <w:pStyle w:val="08-Tabelageral"/>
              <w:jc w:val="center"/>
              <w:rPr>
                <w:szCs w:val="14"/>
              </w:rPr>
            </w:pPr>
            <w:r>
              <w:rPr>
                <w:szCs w:val="14"/>
              </w:rPr>
              <w:t>804</w:t>
            </w:r>
          </w:p>
        </w:tc>
        <w:tc>
          <w:tcPr>
            <w:tcW w:w="1173" w:type="dxa"/>
            <w:tcBorders>
              <w:top w:val="single" w:sz="2" w:space="0" w:color="1F4E79" w:themeColor="accent1" w:themeShade="80"/>
              <w:bottom w:val="single" w:sz="2" w:space="0" w:color="1F4E79" w:themeColor="accent1" w:themeShade="80"/>
            </w:tcBorders>
            <w:shd w:val="clear" w:color="auto" w:fill="auto"/>
          </w:tcPr>
          <w:p w14:paraId="57303101" w14:textId="77777777" w:rsidR="00931938" w:rsidRPr="008331D9" w:rsidRDefault="00931938" w:rsidP="006218A8">
            <w:pPr>
              <w:pStyle w:val="08-Tabelageral"/>
              <w:jc w:val="center"/>
              <w:rPr>
                <w:szCs w:val="14"/>
              </w:rPr>
            </w:pPr>
            <w:r>
              <w:rPr>
                <w:szCs w:val="14"/>
              </w:rPr>
              <w:t>805</w:t>
            </w:r>
          </w:p>
        </w:tc>
        <w:tc>
          <w:tcPr>
            <w:tcW w:w="1163" w:type="dxa"/>
            <w:tcBorders>
              <w:top w:val="single" w:sz="2" w:space="0" w:color="1F4E79" w:themeColor="accent1" w:themeShade="80"/>
              <w:bottom w:val="single" w:sz="2" w:space="0" w:color="1F4E79" w:themeColor="accent1" w:themeShade="80"/>
            </w:tcBorders>
            <w:shd w:val="clear" w:color="auto" w:fill="auto"/>
          </w:tcPr>
          <w:p w14:paraId="6ED4E600" w14:textId="77777777" w:rsidR="00931938" w:rsidRPr="00E647E0" w:rsidRDefault="00931938" w:rsidP="006218A8">
            <w:pPr>
              <w:pStyle w:val="08-Tabelageral"/>
              <w:jc w:val="center"/>
              <w:rPr>
                <w:b/>
              </w:rPr>
            </w:pPr>
            <w:r w:rsidRPr="00E647E0">
              <w:rPr>
                <w:b/>
              </w:rPr>
              <w:t>4</w:t>
            </w:r>
            <w:r>
              <w:rPr>
                <w:b/>
              </w:rPr>
              <w:t>,</w:t>
            </w:r>
            <w:r w:rsidRPr="00E647E0">
              <w:rPr>
                <w:b/>
              </w:rPr>
              <w:t>021</w:t>
            </w:r>
          </w:p>
        </w:tc>
      </w:tr>
    </w:tbl>
    <w:p w14:paraId="293FF897" w14:textId="77777777" w:rsidR="00931938" w:rsidRDefault="00931938" w:rsidP="00597147">
      <w:pPr>
        <w:rPr>
          <w:rFonts w:cs="Arial"/>
          <w:b/>
          <w:color w:val="1F4E79" w:themeColor="accent1" w:themeShade="80"/>
          <w:szCs w:val="18"/>
        </w:rPr>
      </w:pPr>
    </w:p>
    <w:p w14:paraId="322FB671" w14:textId="3ACA8EF1" w:rsidR="00931938" w:rsidRPr="00AB4D1D" w:rsidRDefault="00931938" w:rsidP="00FC4475">
      <w:pPr>
        <w:pStyle w:val="Ttulo1"/>
      </w:pPr>
      <w:bookmarkStart w:id="55" w:name="_Toc126781111"/>
      <w:bookmarkStart w:id="56" w:name="OLE_LINK15"/>
      <w:r w:rsidRPr="00AB4D1D">
        <w:t>20 – OTHER ASSETS</w:t>
      </w:r>
      <w:bookmarkEnd w:id="55"/>
    </w:p>
    <w:p w14:paraId="6B76DC0F" w14:textId="77777777" w:rsidR="00931938" w:rsidRPr="00FF3D4B" w:rsidRDefault="00931938" w:rsidP="00422E8D">
      <w:pPr>
        <w:spacing w:after="0" w:line="240" w:lineRule="auto"/>
        <w:jc w:val="right"/>
        <w:rPr>
          <w:rFonts w:cs="Arial"/>
          <w:b/>
          <w:sz w:val="14"/>
          <w:lang w:eastAsia="pt-BR"/>
        </w:rPr>
      </w:pPr>
      <w:r w:rsidRPr="00FF3D4B">
        <w:rPr>
          <w:rFonts w:cs="Arial"/>
          <w:b/>
          <w:sz w:val="14"/>
          <w:lang w:eastAsia="pt-BR"/>
        </w:rPr>
        <w:t xml:space="preserve">R$ </w:t>
      </w:r>
      <w:r>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931938" w:rsidRPr="0068592A" w14:paraId="7496C9E0" w14:textId="77777777" w:rsidTr="00AB4D1D">
        <w:trPr>
          <w:trHeight w:val="238"/>
          <w:jc w:val="center"/>
        </w:trPr>
        <w:tc>
          <w:tcPr>
            <w:tcW w:w="3094" w:type="dxa"/>
            <w:tcBorders>
              <w:top w:val="single" w:sz="2" w:space="0" w:color="1F4E79" w:themeColor="accent1" w:themeShade="80"/>
            </w:tcBorders>
            <w:shd w:val="clear" w:color="auto" w:fill="auto"/>
          </w:tcPr>
          <w:p w14:paraId="49E52D30" w14:textId="77777777" w:rsidR="00931938" w:rsidRPr="0068592A" w:rsidRDefault="00931938" w:rsidP="001D6BE8">
            <w:pPr>
              <w:spacing w:after="0"/>
              <w:jc w:val="center"/>
              <w:rPr>
                <w:rFonts w:cs="Arial"/>
                <w:b/>
                <w:szCs w:val="18"/>
              </w:rPr>
            </w:pPr>
          </w:p>
        </w:tc>
        <w:tc>
          <w:tcPr>
            <w:tcW w:w="604" w:type="dxa"/>
            <w:tcBorders>
              <w:top w:val="single" w:sz="2" w:space="0" w:color="1F4E79" w:themeColor="accent1" w:themeShade="80"/>
            </w:tcBorders>
            <w:shd w:val="clear" w:color="auto" w:fill="auto"/>
          </w:tcPr>
          <w:p w14:paraId="780364B9" w14:textId="77777777" w:rsidR="00931938" w:rsidRPr="0068592A" w:rsidRDefault="00931938" w:rsidP="001D6BE8">
            <w:pPr>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353C08B1" w14:textId="77777777" w:rsidR="00931938" w:rsidRPr="0068592A" w:rsidRDefault="00931938" w:rsidP="00980B9B">
            <w:pPr>
              <w:spacing w:after="0"/>
              <w:jc w:val="center"/>
              <w:rPr>
                <w:rFonts w:cs="Arial"/>
                <w:b/>
                <w:sz w:val="14"/>
                <w:szCs w:val="18"/>
              </w:rPr>
            </w:pPr>
            <w:r>
              <w:rPr>
                <w:rFonts w:cs="Arial"/>
                <w:b/>
                <w:sz w:val="14"/>
                <w:szCs w:val="18"/>
              </w:rPr>
              <w:t>Parent</w:t>
            </w:r>
          </w:p>
        </w:tc>
        <w:tc>
          <w:tcPr>
            <w:tcW w:w="283" w:type="dxa"/>
            <w:tcBorders>
              <w:top w:val="single" w:sz="2" w:space="0" w:color="1F4E79" w:themeColor="accent1" w:themeShade="80"/>
            </w:tcBorders>
            <w:shd w:val="clear" w:color="auto" w:fill="auto"/>
            <w:vAlign w:val="center"/>
          </w:tcPr>
          <w:p w14:paraId="5B262EF6" w14:textId="77777777" w:rsidR="00931938" w:rsidRPr="0068592A" w:rsidRDefault="00931938" w:rsidP="0068592A">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62E48A34" w14:textId="77777777" w:rsidR="00931938" w:rsidRPr="0068592A" w:rsidRDefault="00931938" w:rsidP="00980B9B">
            <w:pPr>
              <w:spacing w:after="0"/>
              <w:jc w:val="center"/>
              <w:rPr>
                <w:rFonts w:cs="Arial"/>
                <w:b/>
                <w:szCs w:val="18"/>
              </w:rPr>
            </w:pPr>
            <w:r>
              <w:rPr>
                <w:rFonts w:cs="Arial"/>
                <w:b/>
                <w:sz w:val="14"/>
                <w:szCs w:val="18"/>
              </w:rPr>
              <w:t>Consolidated</w:t>
            </w:r>
          </w:p>
        </w:tc>
      </w:tr>
      <w:tr w:rsidR="00931938" w:rsidRPr="0068592A" w14:paraId="7242F7B6" w14:textId="77777777" w:rsidTr="00AB4D1D">
        <w:trPr>
          <w:trHeight w:val="238"/>
          <w:jc w:val="center"/>
        </w:trPr>
        <w:tc>
          <w:tcPr>
            <w:tcW w:w="3094" w:type="dxa"/>
            <w:tcBorders>
              <w:bottom w:val="single" w:sz="2" w:space="0" w:color="1F4E79" w:themeColor="accent1" w:themeShade="80"/>
            </w:tcBorders>
            <w:shd w:val="clear" w:color="auto" w:fill="auto"/>
          </w:tcPr>
          <w:p w14:paraId="57CB802C" w14:textId="77777777" w:rsidR="00931938" w:rsidRPr="0068592A" w:rsidRDefault="00931938" w:rsidP="00290C4E">
            <w:pPr>
              <w:pStyle w:val="08-Tabelageral"/>
              <w:rPr>
                <w:rFonts w:cs="Arial"/>
                <w:b/>
              </w:rPr>
            </w:pPr>
          </w:p>
        </w:tc>
        <w:tc>
          <w:tcPr>
            <w:tcW w:w="604" w:type="dxa"/>
            <w:tcBorders>
              <w:bottom w:val="single" w:sz="2" w:space="0" w:color="1F4E79" w:themeColor="accent1" w:themeShade="80"/>
            </w:tcBorders>
            <w:shd w:val="clear" w:color="auto" w:fill="auto"/>
          </w:tcPr>
          <w:p w14:paraId="3501041B" w14:textId="77777777" w:rsidR="00931938" w:rsidRPr="0068592A" w:rsidRDefault="00931938" w:rsidP="00290C4E">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03075DC6" w14:textId="77777777" w:rsidR="00931938" w:rsidRPr="0068592A" w:rsidRDefault="00931938" w:rsidP="00040916">
            <w:pPr>
              <w:pStyle w:val="08-Tabelageral"/>
              <w:rPr>
                <w:rFonts w:cs="Arial"/>
                <w:b/>
              </w:rPr>
            </w:pPr>
            <w:r>
              <w:rPr>
                <w:rFonts w:cs="Arial"/>
                <w:b/>
              </w:rPr>
              <w:t>Dec 31, 2022</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4CA51FDD" w14:textId="77777777" w:rsidR="00931938" w:rsidRPr="0068592A" w:rsidRDefault="00931938" w:rsidP="002F5EE0">
            <w:pPr>
              <w:pStyle w:val="08-Tabelageral"/>
              <w:rPr>
                <w:rFonts w:cs="Arial"/>
                <w:b/>
              </w:rPr>
            </w:pPr>
            <w:r>
              <w:rPr>
                <w:rFonts w:cs="Arial"/>
                <w:b/>
              </w:rPr>
              <w:t>Dec 31, 2021</w:t>
            </w:r>
          </w:p>
        </w:tc>
        <w:tc>
          <w:tcPr>
            <w:tcW w:w="283" w:type="dxa"/>
            <w:tcBorders>
              <w:bottom w:val="single" w:sz="2" w:space="0" w:color="1F4E79" w:themeColor="accent1" w:themeShade="80"/>
            </w:tcBorders>
            <w:shd w:val="clear" w:color="auto" w:fill="auto"/>
            <w:vAlign w:val="center"/>
          </w:tcPr>
          <w:p w14:paraId="75C43E32" w14:textId="77777777" w:rsidR="00931938" w:rsidRPr="0068592A" w:rsidRDefault="00931938" w:rsidP="0068592A">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0492FE00" w14:textId="77777777" w:rsidR="00931938" w:rsidRPr="0068592A" w:rsidRDefault="00931938" w:rsidP="00040916">
            <w:pPr>
              <w:pStyle w:val="08-Tabelageral"/>
              <w:rPr>
                <w:rFonts w:cs="Arial"/>
                <w:b/>
              </w:rPr>
            </w:pPr>
            <w:r>
              <w:rPr>
                <w:rFonts w:cs="Arial"/>
                <w:b/>
              </w:rPr>
              <w:t>Dec 31, 2022</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162706F7" w14:textId="77777777" w:rsidR="00931938" w:rsidRPr="0068592A" w:rsidRDefault="00931938" w:rsidP="002F5EE0">
            <w:pPr>
              <w:pStyle w:val="08-Tabelageral"/>
              <w:rPr>
                <w:rFonts w:cs="Arial"/>
                <w:b/>
              </w:rPr>
            </w:pPr>
            <w:r>
              <w:rPr>
                <w:rFonts w:cs="Arial"/>
                <w:b/>
              </w:rPr>
              <w:t>Dec 31, 2021</w:t>
            </w:r>
          </w:p>
        </w:tc>
      </w:tr>
      <w:tr w:rsidR="00931938" w:rsidRPr="0068592A" w14:paraId="52A51AF9" w14:textId="77777777" w:rsidTr="00AB4D1D">
        <w:trPr>
          <w:trHeight w:val="238"/>
          <w:jc w:val="center"/>
        </w:trPr>
        <w:tc>
          <w:tcPr>
            <w:tcW w:w="3094" w:type="dxa"/>
            <w:tcBorders>
              <w:top w:val="single" w:sz="2" w:space="0" w:color="1F4E79" w:themeColor="accent1" w:themeShade="80"/>
            </w:tcBorders>
            <w:shd w:val="clear" w:color="auto" w:fill="auto"/>
          </w:tcPr>
          <w:p w14:paraId="0E25F3FC" w14:textId="77777777" w:rsidR="00931938" w:rsidRPr="0068592A" w:rsidRDefault="00931938" w:rsidP="00707A8C">
            <w:pPr>
              <w:pStyle w:val="08-Tabelageral"/>
              <w:jc w:val="left"/>
              <w:rPr>
                <w:rFonts w:cs="Arial"/>
                <w:b/>
                <w:bCs/>
                <w:szCs w:val="14"/>
              </w:rPr>
            </w:pPr>
            <w:r>
              <w:rPr>
                <w:rFonts w:cs="Arial"/>
                <w:b/>
                <w:szCs w:val="14"/>
              </w:rPr>
              <w:t>Current Assets</w:t>
            </w:r>
          </w:p>
        </w:tc>
        <w:tc>
          <w:tcPr>
            <w:tcW w:w="604" w:type="dxa"/>
            <w:tcBorders>
              <w:top w:val="single" w:sz="2" w:space="0" w:color="1F4E79" w:themeColor="accent1" w:themeShade="80"/>
            </w:tcBorders>
            <w:shd w:val="clear" w:color="auto" w:fill="auto"/>
          </w:tcPr>
          <w:p w14:paraId="610DCF8E" w14:textId="77777777" w:rsidR="00931938" w:rsidRPr="0068592A" w:rsidRDefault="00931938" w:rsidP="00707A8C">
            <w:pPr>
              <w:pStyle w:val="08-Tabelageral"/>
              <w:jc w:val="center"/>
              <w:rPr>
                <w:rFonts w:cs="Arial"/>
                <w:b/>
                <w:szCs w:val="14"/>
              </w:rPr>
            </w:pPr>
          </w:p>
        </w:tc>
        <w:tc>
          <w:tcPr>
            <w:tcW w:w="1411" w:type="dxa"/>
            <w:tcBorders>
              <w:top w:val="single" w:sz="2" w:space="0" w:color="1F4E79" w:themeColor="accent1" w:themeShade="80"/>
            </w:tcBorders>
            <w:shd w:val="clear" w:color="auto" w:fill="auto"/>
            <w:vAlign w:val="center"/>
          </w:tcPr>
          <w:p w14:paraId="69E05F96" w14:textId="77777777" w:rsidR="00931938" w:rsidRPr="0068592A" w:rsidRDefault="00931938" w:rsidP="00707A8C">
            <w:pPr>
              <w:pStyle w:val="08-Tabelageral"/>
              <w:rPr>
                <w:rFonts w:cs="Arial"/>
                <w:b/>
                <w:szCs w:val="14"/>
              </w:rPr>
            </w:pPr>
            <w:r>
              <w:rPr>
                <w:rFonts w:cs="Arial"/>
                <w:b/>
                <w:szCs w:val="14"/>
              </w:rPr>
              <w:t>9,816</w:t>
            </w:r>
          </w:p>
        </w:tc>
        <w:tc>
          <w:tcPr>
            <w:tcW w:w="1412" w:type="dxa"/>
            <w:tcBorders>
              <w:top w:val="single" w:sz="2" w:space="0" w:color="1F4E79" w:themeColor="accent1" w:themeShade="80"/>
            </w:tcBorders>
            <w:shd w:val="clear" w:color="auto" w:fill="auto"/>
            <w:vAlign w:val="center"/>
          </w:tcPr>
          <w:p w14:paraId="5FBFF800" w14:textId="77777777" w:rsidR="00931938" w:rsidRPr="0068592A" w:rsidRDefault="00931938" w:rsidP="00707A8C">
            <w:pPr>
              <w:pStyle w:val="08-Tabelageral"/>
              <w:rPr>
                <w:rFonts w:cs="Arial"/>
                <w:b/>
                <w:szCs w:val="14"/>
              </w:rPr>
            </w:pPr>
            <w:r>
              <w:rPr>
                <w:rFonts w:cs="Arial"/>
                <w:b/>
                <w:szCs w:val="14"/>
              </w:rPr>
              <w:t>12,719</w:t>
            </w:r>
          </w:p>
        </w:tc>
        <w:tc>
          <w:tcPr>
            <w:tcW w:w="283" w:type="dxa"/>
            <w:tcBorders>
              <w:top w:val="single" w:sz="2" w:space="0" w:color="1F4E79" w:themeColor="accent1" w:themeShade="80"/>
            </w:tcBorders>
            <w:shd w:val="clear" w:color="auto" w:fill="auto"/>
            <w:vAlign w:val="center"/>
          </w:tcPr>
          <w:p w14:paraId="6299F12A" w14:textId="77777777" w:rsidR="00931938" w:rsidRPr="0068592A" w:rsidRDefault="00931938" w:rsidP="00707A8C">
            <w:pPr>
              <w:pStyle w:val="08-Tabelageral"/>
              <w:rPr>
                <w:rFonts w:cs="Arial"/>
                <w:b/>
                <w:szCs w:val="14"/>
              </w:rPr>
            </w:pPr>
          </w:p>
        </w:tc>
        <w:tc>
          <w:tcPr>
            <w:tcW w:w="1417" w:type="dxa"/>
            <w:tcBorders>
              <w:top w:val="single" w:sz="2" w:space="0" w:color="1F4E79" w:themeColor="accent1" w:themeShade="80"/>
            </w:tcBorders>
            <w:shd w:val="clear" w:color="auto" w:fill="auto"/>
            <w:vAlign w:val="center"/>
          </w:tcPr>
          <w:p w14:paraId="46C5B7F1" w14:textId="77777777" w:rsidR="00931938" w:rsidRPr="0068592A" w:rsidRDefault="00931938" w:rsidP="00707A8C">
            <w:pPr>
              <w:pStyle w:val="08-Tabelageral"/>
              <w:rPr>
                <w:rFonts w:cs="Arial"/>
                <w:b/>
                <w:szCs w:val="14"/>
              </w:rPr>
            </w:pPr>
            <w:r>
              <w:rPr>
                <w:rFonts w:cs="Arial"/>
                <w:b/>
                <w:szCs w:val="14"/>
              </w:rPr>
              <w:t>574</w:t>
            </w:r>
          </w:p>
        </w:tc>
        <w:tc>
          <w:tcPr>
            <w:tcW w:w="1418" w:type="dxa"/>
            <w:tcBorders>
              <w:top w:val="single" w:sz="2" w:space="0" w:color="1F4E79" w:themeColor="accent1" w:themeShade="80"/>
            </w:tcBorders>
            <w:shd w:val="clear" w:color="auto" w:fill="auto"/>
            <w:vAlign w:val="center"/>
          </w:tcPr>
          <w:p w14:paraId="2A2E70AB" w14:textId="77777777" w:rsidR="00931938" w:rsidRPr="0068592A" w:rsidRDefault="00931938" w:rsidP="00707A8C">
            <w:pPr>
              <w:pStyle w:val="08-Tabelageral"/>
              <w:rPr>
                <w:rFonts w:cs="Arial"/>
                <w:b/>
                <w:szCs w:val="14"/>
              </w:rPr>
            </w:pPr>
            <w:r>
              <w:rPr>
                <w:rFonts w:cs="Arial"/>
                <w:b/>
                <w:szCs w:val="14"/>
              </w:rPr>
              <w:t>5,336</w:t>
            </w:r>
          </w:p>
        </w:tc>
      </w:tr>
      <w:tr w:rsidR="00931938" w:rsidRPr="0068592A" w14:paraId="1B443092" w14:textId="77777777" w:rsidTr="00AB4D1D">
        <w:trPr>
          <w:trHeight w:val="238"/>
          <w:jc w:val="center"/>
        </w:trPr>
        <w:tc>
          <w:tcPr>
            <w:tcW w:w="3094" w:type="dxa"/>
            <w:shd w:val="clear" w:color="auto" w:fill="auto"/>
          </w:tcPr>
          <w:p w14:paraId="2308ADE8" w14:textId="77777777" w:rsidR="00931938" w:rsidRPr="0068592A" w:rsidRDefault="00931938" w:rsidP="00707A8C">
            <w:pPr>
              <w:pStyle w:val="08-Tabelageral"/>
              <w:ind w:left="113"/>
              <w:jc w:val="left"/>
              <w:rPr>
                <w:rFonts w:cs="Arial"/>
                <w:szCs w:val="14"/>
              </w:rPr>
            </w:pPr>
            <w:r>
              <w:rPr>
                <w:rFonts w:cs="Arial"/>
                <w:szCs w:val="14"/>
              </w:rPr>
              <w:t>Receivables from related comparies</w:t>
            </w:r>
          </w:p>
        </w:tc>
        <w:tc>
          <w:tcPr>
            <w:tcW w:w="604" w:type="dxa"/>
            <w:shd w:val="clear" w:color="auto" w:fill="auto"/>
          </w:tcPr>
          <w:p w14:paraId="1F0462E4" w14:textId="77777777" w:rsidR="00931938" w:rsidRPr="0068592A" w:rsidRDefault="00931938" w:rsidP="00707A8C">
            <w:pPr>
              <w:pStyle w:val="08-Tabelageral"/>
              <w:ind w:left="113"/>
              <w:jc w:val="center"/>
              <w:rPr>
                <w:rFonts w:cs="Arial"/>
                <w:szCs w:val="14"/>
              </w:rPr>
            </w:pPr>
          </w:p>
        </w:tc>
        <w:tc>
          <w:tcPr>
            <w:tcW w:w="1411" w:type="dxa"/>
            <w:shd w:val="clear" w:color="auto" w:fill="auto"/>
            <w:vAlign w:val="center"/>
          </w:tcPr>
          <w:p w14:paraId="065294DB" w14:textId="77777777" w:rsidR="00931938" w:rsidRPr="0068592A" w:rsidRDefault="00931938" w:rsidP="00707A8C">
            <w:pPr>
              <w:pStyle w:val="08-Tabelageral"/>
              <w:ind w:left="113"/>
              <w:rPr>
                <w:rFonts w:cs="Arial"/>
                <w:szCs w:val="14"/>
              </w:rPr>
            </w:pPr>
            <w:r>
              <w:rPr>
                <w:rFonts w:cs="Arial"/>
                <w:szCs w:val="14"/>
              </w:rPr>
              <w:t>9,365</w:t>
            </w:r>
          </w:p>
        </w:tc>
        <w:tc>
          <w:tcPr>
            <w:tcW w:w="1412" w:type="dxa"/>
            <w:shd w:val="clear" w:color="auto" w:fill="auto"/>
            <w:vAlign w:val="center"/>
          </w:tcPr>
          <w:p w14:paraId="292548BD" w14:textId="77777777" w:rsidR="00931938" w:rsidRPr="0068592A" w:rsidRDefault="00931938" w:rsidP="00707A8C">
            <w:pPr>
              <w:pStyle w:val="08-Tabelageral"/>
              <w:ind w:left="113"/>
              <w:rPr>
                <w:rFonts w:cs="Arial"/>
                <w:szCs w:val="14"/>
              </w:rPr>
            </w:pPr>
            <w:r>
              <w:rPr>
                <w:rFonts w:cs="Arial"/>
                <w:szCs w:val="14"/>
              </w:rPr>
              <w:t>7,571</w:t>
            </w:r>
          </w:p>
        </w:tc>
        <w:tc>
          <w:tcPr>
            <w:tcW w:w="283" w:type="dxa"/>
            <w:shd w:val="clear" w:color="auto" w:fill="auto"/>
            <w:vAlign w:val="center"/>
          </w:tcPr>
          <w:p w14:paraId="16643076" w14:textId="77777777" w:rsidR="00931938" w:rsidRPr="0068592A" w:rsidRDefault="00931938" w:rsidP="00707A8C">
            <w:pPr>
              <w:pStyle w:val="08-Tabelageral"/>
              <w:ind w:left="113"/>
              <w:rPr>
                <w:rFonts w:cs="Arial"/>
                <w:szCs w:val="14"/>
              </w:rPr>
            </w:pPr>
          </w:p>
        </w:tc>
        <w:tc>
          <w:tcPr>
            <w:tcW w:w="1417" w:type="dxa"/>
            <w:shd w:val="clear" w:color="auto" w:fill="auto"/>
            <w:vAlign w:val="center"/>
          </w:tcPr>
          <w:p w14:paraId="1CA3E261" w14:textId="77777777" w:rsidR="00931938" w:rsidRPr="0068592A" w:rsidRDefault="00931938" w:rsidP="00707A8C">
            <w:pPr>
              <w:pStyle w:val="08-Tabelageral"/>
              <w:ind w:left="113"/>
              <w:rPr>
                <w:rFonts w:cs="Arial"/>
                <w:szCs w:val="14"/>
              </w:rPr>
            </w:pPr>
            <w:r>
              <w:rPr>
                <w:rFonts w:cs="Arial"/>
                <w:szCs w:val="14"/>
              </w:rPr>
              <w:t>--</w:t>
            </w:r>
          </w:p>
        </w:tc>
        <w:tc>
          <w:tcPr>
            <w:tcW w:w="1418" w:type="dxa"/>
            <w:shd w:val="clear" w:color="auto" w:fill="auto"/>
            <w:vAlign w:val="center"/>
          </w:tcPr>
          <w:p w14:paraId="56306FF7" w14:textId="77777777" w:rsidR="00931938" w:rsidRPr="0068592A" w:rsidRDefault="00931938" w:rsidP="00707A8C">
            <w:pPr>
              <w:pStyle w:val="08-Tabelageral"/>
              <w:ind w:left="113"/>
              <w:rPr>
                <w:rFonts w:cs="Arial"/>
                <w:szCs w:val="14"/>
              </w:rPr>
            </w:pPr>
            <w:r>
              <w:rPr>
                <w:rFonts w:cs="Arial"/>
                <w:szCs w:val="14"/>
              </w:rPr>
              <w:t>--</w:t>
            </w:r>
          </w:p>
        </w:tc>
      </w:tr>
      <w:tr w:rsidR="00931938" w:rsidRPr="0068592A" w14:paraId="2DAA803F" w14:textId="77777777" w:rsidTr="00AB4D1D">
        <w:trPr>
          <w:trHeight w:val="238"/>
          <w:jc w:val="center"/>
        </w:trPr>
        <w:tc>
          <w:tcPr>
            <w:tcW w:w="3094" w:type="dxa"/>
            <w:shd w:val="clear" w:color="auto" w:fill="auto"/>
          </w:tcPr>
          <w:p w14:paraId="220822B7" w14:textId="77777777" w:rsidR="00931938" w:rsidRPr="0068592A" w:rsidRDefault="00931938" w:rsidP="00707A8C">
            <w:pPr>
              <w:pStyle w:val="08-Tabelageral"/>
              <w:ind w:left="113"/>
              <w:jc w:val="left"/>
              <w:rPr>
                <w:rFonts w:cs="Arial"/>
                <w:szCs w:val="14"/>
              </w:rPr>
            </w:pPr>
            <w:r>
              <w:rPr>
                <w:rFonts w:cs="Arial"/>
                <w:szCs w:val="14"/>
              </w:rPr>
              <w:t>Receivables from</w:t>
            </w:r>
            <w:r w:rsidRPr="0068592A">
              <w:rPr>
                <w:rFonts w:cs="Arial"/>
                <w:szCs w:val="14"/>
              </w:rPr>
              <w:t xml:space="preserve"> ADR</w:t>
            </w:r>
          </w:p>
        </w:tc>
        <w:tc>
          <w:tcPr>
            <w:tcW w:w="604" w:type="dxa"/>
            <w:shd w:val="clear" w:color="auto" w:fill="auto"/>
          </w:tcPr>
          <w:p w14:paraId="2D287982" w14:textId="77777777" w:rsidR="00931938" w:rsidRPr="0068592A" w:rsidRDefault="00931938" w:rsidP="00707A8C">
            <w:pPr>
              <w:pStyle w:val="08-Tabelageral"/>
              <w:ind w:left="113"/>
              <w:jc w:val="center"/>
              <w:rPr>
                <w:rFonts w:cs="Arial"/>
                <w:szCs w:val="14"/>
              </w:rPr>
            </w:pPr>
          </w:p>
        </w:tc>
        <w:tc>
          <w:tcPr>
            <w:tcW w:w="1411" w:type="dxa"/>
            <w:shd w:val="clear" w:color="auto" w:fill="auto"/>
            <w:vAlign w:val="center"/>
          </w:tcPr>
          <w:p w14:paraId="04CA3E75" w14:textId="77777777" w:rsidR="00931938" w:rsidRPr="0068592A" w:rsidRDefault="00931938" w:rsidP="00707A8C">
            <w:pPr>
              <w:pStyle w:val="08-Tabelageral"/>
              <w:ind w:left="113"/>
              <w:rPr>
                <w:rFonts w:cs="Arial"/>
                <w:szCs w:val="14"/>
              </w:rPr>
            </w:pPr>
            <w:r>
              <w:rPr>
                <w:rFonts w:cs="Arial"/>
                <w:szCs w:val="14"/>
              </w:rPr>
              <w:t>423</w:t>
            </w:r>
          </w:p>
        </w:tc>
        <w:tc>
          <w:tcPr>
            <w:tcW w:w="1412" w:type="dxa"/>
            <w:shd w:val="clear" w:color="auto" w:fill="auto"/>
            <w:vAlign w:val="center"/>
          </w:tcPr>
          <w:p w14:paraId="5DCAB3E4" w14:textId="77777777" w:rsidR="00931938" w:rsidRPr="0068592A" w:rsidRDefault="00931938" w:rsidP="00707A8C">
            <w:pPr>
              <w:pStyle w:val="08-Tabelageral"/>
              <w:ind w:left="113"/>
              <w:rPr>
                <w:rFonts w:cs="Arial"/>
                <w:szCs w:val="14"/>
              </w:rPr>
            </w:pPr>
            <w:r>
              <w:rPr>
                <w:rFonts w:cs="Arial"/>
                <w:szCs w:val="14"/>
              </w:rPr>
              <w:t>5,072</w:t>
            </w:r>
          </w:p>
        </w:tc>
        <w:tc>
          <w:tcPr>
            <w:tcW w:w="283" w:type="dxa"/>
            <w:shd w:val="clear" w:color="auto" w:fill="auto"/>
            <w:vAlign w:val="center"/>
          </w:tcPr>
          <w:p w14:paraId="4464242B" w14:textId="77777777" w:rsidR="00931938" w:rsidRPr="0068592A" w:rsidRDefault="00931938" w:rsidP="00707A8C">
            <w:pPr>
              <w:pStyle w:val="08-Tabelageral"/>
              <w:ind w:left="113"/>
              <w:rPr>
                <w:rFonts w:cs="Arial"/>
                <w:szCs w:val="14"/>
              </w:rPr>
            </w:pPr>
          </w:p>
        </w:tc>
        <w:tc>
          <w:tcPr>
            <w:tcW w:w="1417" w:type="dxa"/>
            <w:shd w:val="clear" w:color="auto" w:fill="auto"/>
            <w:vAlign w:val="center"/>
          </w:tcPr>
          <w:p w14:paraId="50CC6681" w14:textId="77777777" w:rsidR="00931938" w:rsidRPr="0068592A" w:rsidRDefault="00931938" w:rsidP="00707A8C">
            <w:pPr>
              <w:pStyle w:val="08-Tabelageral"/>
              <w:ind w:left="113"/>
              <w:rPr>
                <w:rFonts w:cs="Arial"/>
                <w:szCs w:val="14"/>
              </w:rPr>
            </w:pPr>
            <w:r>
              <w:rPr>
                <w:rFonts w:cs="Arial"/>
                <w:szCs w:val="14"/>
              </w:rPr>
              <w:t>--</w:t>
            </w:r>
          </w:p>
        </w:tc>
        <w:tc>
          <w:tcPr>
            <w:tcW w:w="1418" w:type="dxa"/>
            <w:shd w:val="clear" w:color="auto" w:fill="auto"/>
            <w:vAlign w:val="center"/>
          </w:tcPr>
          <w:p w14:paraId="4C853762" w14:textId="77777777" w:rsidR="00931938" w:rsidRPr="0068592A" w:rsidRDefault="00931938" w:rsidP="00707A8C">
            <w:pPr>
              <w:pStyle w:val="08-Tabelageral"/>
              <w:ind w:left="113"/>
              <w:rPr>
                <w:rFonts w:cs="Arial"/>
                <w:szCs w:val="14"/>
              </w:rPr>
            </w:pPr>
            <w:r>
              <w:rPr>
                <w:rFonts w:cs="Arial"/>
                <w:szCs w:val="14"/>
              </w:rPr>
              <w:t>5,072</w:t>
            </w:r>
          </w:p>
        </w:tc>
      </w:tr>
      <w:tr w:rsidR="00931938" w:rsidRPr="0068592A" w14:paraId="68BFB1C9" w14:textId="77777777" w:rsidTr="00AB4D1D">
        <w:trPr>
          <w:trHeight w:val="238"/>
          <w:jc w:val="center"/>
        </w:trPr>
        <w:tc>
          <w:tcPr>
            <w:tcW w:w="3094" w:type="dxa"/>
            <w:shd w:val="clear" w:color="auto" w:fill="auto"/>
          </w:tcPr>
          <w:p w14:paraId="0106BBF8" w14:textId="77777777" w:rsidR="00931938" w:rsidRPr="0068592A" w:rsidRDefault="00931938" w:rsidP="00707A8C">
            <w:pPr>
              <w:pStyle w:val="08-Tabelageral"/>
              <w:ind w:left="113"/>
              <w:jc w:val="left"/>
              <w:rPr>
                <w:rFonts w:cs="Arial"/>
                <w:szCs w:val="14"/>
              </w:rPr>
            </w:pPr>
            <w:r>
              <w:rPr>
                <w:rFonts w:cs="Arial"/>
                <w:szCs w:val="14"/>
              </w:rPr>
              <w:t xml:space="preserve">Other </w:t>
            </w:r>
          </w:p>
        </w:tc>
        <w:tc>
          <w:tcPr>
            <w:tcW w:w="604" w:type="dxa"/>
            <w:shd w:val="clear" w:color="auto" w:fill="auto"/>
          </w:tcPr>
          <w:p w14:paraId="7A65CCB7" w14:textId="77777777" w:rsidR="00931938" w:rsidRPr="0068592A" w:rsidRDefault="00931938" w:rsidP="00707A8C">
            <w:pPr>
              <w:pStyle w:val="08-Tabelageral"/>
              <w:ind w:left="113"/>
              <w:jc w:val="center"/>
              <w:rPr>
                <w:rFonts w:cs="Arial"/>
                <w:szCs w:val="14"/>
              </w:rPr>
            </w:pPr>
          </w:p>
        </w:tc>
        <w:tc>
          <w:tcPr>
            <w:tcW w:w="1411" w:type="dxa"/>
            <w:shd w:val="clear" w:color="auto" w:fill="auto"/>
            <w:vAlign w:val="center"/>
          </w:tcPr>
          <w:p w14:paraId="2E6B8E74" w14:textId="77777777" w:rsidR="00931938" w:rsidRPr="0068592A" w:rsidRDefault="00931938" w:rsidP="00707A8C">
            <w:pPr>
              <w:pStyle w:val="08-Tabelageral"/>
              <w:ind w:left="113"/>
              <w:rPr>
                <w:rFonts w:cs="Arial"/>
                <w:szCs w:val="14"/>
              </w:rPr>
            </w:pPr>
            <w:r>
              <w:rPr>
                <w:rFonts w:cs="Arial"/>
                <w:szCs w:val="14"/>
              </w:rPr>
              <w:t>28</w:t>
            </w:r>
          </w:p>
        </w:tc>
        <w:tc>
          <w:tcPr>
            <w:tcW w:w="1412" w:type="dxa"/>
            <w:shd w:val="clear" w:color="auto" w:fill="auto"/>
            <w:vAlign w:val="center"/>
          </w:tcPr>
          <w:p w14:paraId="6F44D4D3" w14:textId="77777777" w:rsidR="00931938" w:rsidRPr="0068592A" w:rsidRDefault="00931938" w:rsidP="00707A8C">
            <w:pPr>
              <w:pStyle w:val="08-Tabelageral"/>
              <w:ind w:left="113"/>
              <w:rPr>
                <w:rFonts w:cs="Arial"/>
                <w:szCs w:val="14"/>
              </w:rPr>
            </w:pPr>
            <w:r>
              <w:rPr>
                <w:rFonts w:cs="Arial"/>
                <w:szCs w:val="14"/>
              </w:rPr>
              <w:t>76</w:t>
            </w:r>
          </w:p>
        </w:tc>
        <w:tc>
          <w:tcPr>
            <w:tcW w:w="283" w:type="dxa"/>
            <w:shd w:val="clear" w:color="auto" w:fill="auto"/>
            <w:vAlign w:val="center"/>
          </w:tcPr>
          <w:p w14:paraId="3EA596F1" w14:textId="77777777" w:rsidR="00931938" w:rsidRPr="0068592A" w:rsidRDefault="00931938" w:rsidP="00707A8C">
            <w:pPr>
              <w:pStyle w:val="08-Tabelageral"/>
              <w:ind w:left="113"/>
              <w:rPr>
                <w:rFonts w:cs="Arial"/>
                <w:szCs w:val="14"/>
              </w:rPr>
            </w:pPr>
          </w:p>
        </w:tc>
        <w:tc>
          <w:tcPr>
            <w:tcW w:w="1417" w:type="dxa"/>
            <w:shd w:val="clear" w:color="auto" w:fill="auto"/>
            <w:vAlign w:val="center"/>
          </w:tcPr>
          <w:p w14:paraId="719C71CA" w14:textId="77777777" w:rsidR="00931938" w:rsidRPr="0068592A" w:rsidRDefault="00931938" w:rsidP="00707A8C">
            <w:pPr>
              <w:pStyle w:val="08-Tabelageral"/>
              <w:ind w:left="113"/>
              <w:rPr>
                <w:rFonts w:cs="Arial"/>
                <w:szCs w:val="14"/>
              </w:rPr>
            </w:pPr>
            <w:r>
              <w:rPr>
                <w:rFonts w:cs="Arial"/>
                <w:szCs w:val="14"/>
              </w:rPr>
              <w:t>574</w:t>
            </w:r>
          </w:p>
        </w:tc>
        <w:tc>
          <w:tcPr>
            <w:tcW w:w="1418" w:type="dxa"/>
            <w:shd w:val="clear" w:color="auto" w:fill="auto"/>
            <w:vAlign w:val="center"/>
          </w:tcPr>
          <w:p w14:paraId="19C65536" w14:textId="77777777" w:rsidR="00931938" w:rsidRPr="0068592A" w:rsidRDefault="00931938" w:rsidP="00707A8C">
            <w:pPr>
              <w:pStyle w:val="08-Tabelageral"/>
              <w:ind w:left="113"/>
              <w:rPr>
                <w:rFonts w:cs="Arial"/>
                <w:szCs w:val="14"/>
              </w:rPr>
            </w:pPr>
            <w:r>
              <w:rPr>
                <w:rFonts w:cs="Arial"/>
                <w:szCs w:val="14"/>
              </w:rPr>
              <w:t>264</w:t>
            </w:r>
          </w:p>
        </w:tc>
      </w:tr>
      <w:tr w:rsidR="00931938" w:rsidRPr="0068592A" w14:paraId="7FB67826" w14:textId="77777777" w:rsidTr="00AB4D1D">
        <w:trPr>
          <w:trHeight w:val="238"/>
          <w:jc w:val="center"/>
        </w:trPr>
        <w:tc>
          <w:tcPr>
            <w:tcW w:w="3094" w:type="dxa"/>
            <w:shd w:val="clear" w:color="auto" w:fill="auto"/>
          </w:tcPr>
          <w:p w14:paraId="1D145C90" w14:textId="77777777" w:rsidR="00931938" w:rsidRPr="0068592A" w:rsidRDefault="00931938" w:rsidP="00707A8C">
            <w:pPr>
              <w:pStyle w:val="08-Tabelageral"/>
              <w:jc w:val="left"/>
              <w:rPr>
                <w:rFonts w:cs="Arial"/>
                <w:b/>
                <w:szCs w:val="14"/>
              </w:rPr>
            </w:pPr>
            <w:r>
              <w:rPr>
                <w:rFonts w:cs="Arial"/>
                <w:b/>
                <w:szCs w:val="14"/>
              </w:rPr>
              <w:t>Non-Current Assets</w:t>
            </w:r>
          </w:p>
        </w:tc>
        <w:tc>
          <w:tcPr>
            <w:tcW w:w="604" w:type="dxa"/>
            <w:shd w:val="clear" w:color="auto" w:fill="auto"/>
          </w:tcPr>
          <w:p w14:paraId="312FD369" w14:textId="77777777" w:rsidR="00931938" w:rsidRPr="0068592A" w:rsidRDefault="00931938" w:rsidP="00707A8C">
            <w:pPr>
              <w:pStyle w:val="08-Tabelageral"/>
              <w:jc w:val="center"/>
              <w:rPr>
                <w:rFonts w:cs="Arial"/>
                <w:b/>
                <w:szCs w:val="14"/>
              </w:rPr>
            </w:pPr>
          </w:p>
        </w:tc>
        <w:tc>
          <w:tcPr>
            <w:tcW w:w="1411" w:type="dxa"/>
            <w:shd w:val="clear" w:color="auto" w:fill="auto"/>
            <w:vAlign w:val="center"/>
          </w:tcPr>
          <w:p w14:paraId="12CE277B" w14:textId="77777777" w:rsidR="00931938" w:rsidRPr="0068592A" w:rsidRDefault="00931938" w:rsidP="00707A8C">
            <w:pPr>
              <w:pStyle w:val="08-Tabelageral"/>
              <w:rPr>
                <w:rFonts w:cs="Arial"/>
                <w:b/>
                <w:szCs w:val="14"/>
              </w:rPr>
            </w:pPr>
            <w:r>
              <w:rPr>
                <w:rFonts w:cs="Arial"/>
                <w:b/>
                <w:szCs w:val="14"/>
              </w:rPr>
              <w:t>58</w:t>
            </w:r>
          </w:p>
        </w:tc>
        <w:tc>
          <w:tcPr>
            <w:tcW w:w="1412" w:type="dxa"/>
            <w:shd w:val="clear" w:color="auto" w:fill="auto"/>
            <w:vAlign w:val="center"/>
          </w:tcPr>
          <w:p w14:paraId="09CD6657" w14:textId="77777777" w:rsidR="00931938" w:rsidRPr="0068592A" w:rsidRDefault="00931938" w:rsidP="00707A8C">
            <w:pPr>
              <w:pStyle w:val="08-Tabelageral"/>
              <w:rPr>
                <w:rFonts w:cs="Arial"/>
                <w:b/>
                <w:szCs w:val="14"/>
              </w:rPr>
            </w:pPr>
            <w:r>
              <w:rPr>
                <w:rFonts w:cs="Arial"/>
                <w:b/>
                <w:szCs w:val="14"/>
              </w:rPr>
              <w:t>40</w:t>
            </w:r>
          </w:p>
        </w:tc>
        <w:tc>
          <w:tcPr>
            <w:tcW w:w="283" w:type="dxa"/>
            <w:shd w:val="clear" w:color="auto" w:fill="auto"/>
            <w:vAlign w:val="center"/>
          </w:tcPr>
          <w:p w14:paraId="27DBC41D" w14:textId="77777777" w:rsidR="00931938" w:rsidRPr="0068592A" w:rsidRDefault="00931938" w:rsidP="00707A8C">
            <w:pPr>
              <w:pStyle w:val="08-Tabelageral"/>
              <w:rPr>
                <w:rFonts w:cs="Arial"/>
                <w:b/>
                <w:szCs w:val="14"/>
              </w:rPr>
            </w:pPr>
          </w:p>
        </w:tc>
        <w:tc>
          <w:tcPr>
            <w:tcW w:w="1417" w:type="dxa"/>
            <w:shd w:val="clear" w:color="auto" w:fill="auto"/>
            <w:vAlign w:val="center"/>
          </w:tcPr>
          <w:p w14:paraId="34FF6254" w14:textId="77777777" w:rsidR="00931938" w:rsidRPr="0068592A" w:rsidRDefault="00931938" w:rsidP="00707A8C">
            <w:pPr>
              <w:pStyle w:val="08-Tabelageral"/>
              <w:rPr>
                <w:rFonts w:cs="Arial"/>
                <w:b/>
                <w:szCs w:val="14"/>
              </w:rPr>
            </w:pPr>
            <w:r>
              <w:rPr>
                <w:rFonts w:cs="Arial"/>
                <w:b/>
                <w:szCs w:val="14"/>
              </w:rPr>
              <w:t>221,882</w:t>
            </w:r>
          </w:p>
        </w:tc>
        <w:tc>
          <w:tcPr>
            <w:tcW w:w="1418" w:type="dxa"/>
            <w:shd w:val="clear" w:color="auto" w:fill="auto"/>
            <w:vAlign w:val="center"/>
          </w:tcPr>
          <w:p w14:paraId="446C0988" w14:textId="77777777" w:rsidR="00931938" w:rsidRPr="0068592A" w:rsidRDefault="00931938" w:rsidP="00707A8C">
            <w:pPr>
              <w:pStyle w:val="08-Tabelageral"/>
              <w:rPr>
                <w:rFonts w:cs="Arial"/>
                <w:b/>
                <w:szCs w:val="14"/>
              </w:rPr>
            </w:pPr>
            <w:r>
              <w:rPr>
                <w:rFonts w:cs="Arial"/>
                <w:b/>
                <w:szCs w:val="14"/>
              </w:rPr>
              <w:t>214,187</w:t>
            </w:r>
          </w:p>
        </w:tc>
      </w:tr>
      <w:tr w:rsidR="00931938" w:rsidRPr="0068592A" w14:paraId="21E62231" w14:textId="77777777" w:rsidTr="00AB4D1D">
        <w:trPr>
          <w:trHeight w:val="238"/>
          <w:jc w:val="center"/>
        </w:trPr>
        <w:tc>
          <w:tcPr>
            <w:tcW w:w="3094" w:type="dxa"/>
            <w:shd w:val="clear" w:color="auto" w:fill="auto"/>
          </w:tcPr>
          <w:p w14:paraId="162C5087" w14:textId="77777777" w:rsidR="00931938" w:rsidRPr="0068592A" w:rsidRDefault="00931938" w:rsidP="00707A8C">
            <w:pPr>
              <w:pStyle w:val="08-Tabelageral"/>
              <w:ind w:left="113"/>
              <w:jc w:val="left"/>
              <w:rPr>
                <w:rFonts w:cs="Arial"/>
                <w:szCs w:val="14"/>
              </w:rPr>
            </w:pPr>
            <w:r>
              <w:rPr>
                <w:rFonts w:cs="Arial"/>
                <w:szCs w:val="14"/>
              </w:rPr>
              <w:t xml:space="preserve">Judicial deposits </w:t>
            </w:r>
            <w:r w:rsidRPr="0068592A">
              <w:rPr>
                <w:rFonts w:cs="Arial"/>
                <w:szCs w:val="14"/>
                <w:vertAlign w:val="superscript"/>
              </w:rPr>
              <w:t>(1)</w:t>
            </w:r>
          </w:p>
        </w:tc>
        <w:tc>
          <w:tcPr>
            <w:tcW w:w="604" w:type="dxa"/>
            <w:shd w:val="clear" w:color="auto" w:fill="auto"/>
          </w:tcPr>
          <w:p w14:paraId="3D1A154C" w14:textId="77777777" w:rsidR="00931938" w:rsidRPr="0068592A" w:rsidRDefault="00931938" w:rsidP="00707A8C">
            <w:pPr>
              <w:pStyle w:val="08-Tabelageral"/>
              <w:ind w:left="113"/>
              <w:jc w:val="center"/>
              <w:rPr>
                <w:rFonts w:cs="Arial"/>
                <w:szCs w:val="14"/>
              </w:rPr>
            </w:pPr>
          </w:p>
        </w:tc>
        <w:tc>
          <w:tcPr>
            <w:tcW w:w="1411" w:type="dxa"/>
            <w:shd w:val="clear" w:color="auto" w:fill="auto"/>
            <w:vAlign w:val="center"/>
          </w:tcPr>
          <w:p w14:paraId="2CAFDEAD" w14:textId="77777777" w:rsidR="00931938" w:rsidRPr="0068592A" w:rsidRDefault="00931938" w:rsidP="00707A8C">
            <w:pPr>
              <w:pStyle w:val="08-Tabelageral"/>
              <w:ind w:left="113"/>
              <w:rPr>
                <w:rFonts w:cs="Arial"/>
                <w:szCs w:val="14"/>
              </w:rPr>
            </w:pPr>
            <w:r>
              <w:rPr>
                <w:rFonts w:cs="Arial"/>
                <w:szCs w:val="14"/>
              </w:rPr>
              <w:t>11</w:t>
            </w:r>
          </w:p>
        </w:tc>
        <w:tc>
          <w:tcPr>
            <w:tcW w:w="1412" w:type="dxa"/>
            <w:shd w:val="clear" w:color="auto" w:fill="auto"/>
            <w:vAlign w:val="center"/>
          </w:tcPr>
          <w:p w14:paraId="71FE530F" w14:textId="77777777" w:rsidR="00931938" w:rsidRPr="0068592A" w:rsidRDefault="00931938" w:rsidP="00707A8C">
            <w:pPr>
              <w:pStyle w:val="08-Tabelageral"/>
              <w:ind w:left="113"/>
              <w:rPr>
                <w:rFonts w:cs="Arial"/>
                <w:szCs w:val="14"/>
              </w:rPr>
            </w:pPr>
            <w:r>
              <w:rPr>
                <w:rFonts w:cs="Arial"/>
                <w:szCs w:val="14"/>
              </w:rPr>
              <w:t>--</w:t>
            </w:r>
          </w:p>
        </w:tc>
        <w:tc>
          <w:tcPr>
            <w:tcW w:w="283" w:type="dxa"/>
            <w:shd w:val="clear" w:color="auto" w:fill="auto"/>
            <w:vAlign w:val="center"/>
          </w:tcPr>
          <w:p w14:paraId="44C559D7" w14:textId="77777777" w:rsidR="00931938" w:rsidRPr="0068592A" w:rsidRDefault="00931938" w:rsidP="00707A8C">
            <w:pPr>
              <w:pStyle w:val="08-Tabelageral"/>
              <w:ind w:left="113"/>
              <w:rPr>
                <w:rFonts w:cs="Arial"/>
                <w:szCs w:val="14"/>
              </w:rPr>
            </w:pPr>
          </w:p>
        </w:tc>
        <w:tc>
          <w:tcPr>
            <w:tcW w:w="1417" w:type="dxa"/>
            <w:shd w:val="clear" w:color="auto" w:fill="auto"/>
            <w:vAlign w:val="center"/>
          </w:tcPr>
          <w:p w14:paraId="62145C74" w14:textId="77777777" w:rsidR="00931938" w:rsidRPr="0068592A" w:rsidRDefault="00931938" w:rsidP="00707A8C">
            <w:pPr>
              <w:pStyle w:val="08-Tabelageral"/>
              <w:ind w:left="113"/>
              <w:rPr>
                <w:rFonts w:cs="Arial"/>
                <w:szCs w:val="14"/>
              </w:rPr>
            </w:pPr>
            <w:r>
              <w:rPr>
                <w:rFonts w:cs="Arial"/>
                <w:szCs w:val="14"/>
              </w:rPr>
              <w:t>221,835</w:t>
            </w:r>
          </w:p>
        </w:tc>
        <w:tc>
          <w:tcPr>
            <w:tcW w:w="1418" w:type="dxa"/>
            <w:shd w:val="clear" w:color="auto" w:fill="auto"/>
            <w:vAlign w:val="center"/>
          </w:tcPr>
          <w:p w14:paraId="422BB5B1" w14:textId="77777777" w:rsidR="00931938" w:rsidRPr="0068592A" w:rsidRDefault="00931938" w:rsidP="00707A8C">
            <w:pPr>
              <w:pStyle w:val="08-Tabelageral"/>
              <w:ind w:left="113"/>
              <w:rPr>
                <w:rFonts w:cs="Arial"/>
                <w:szCs w:val="14"/>
              </w:rPr>
            </w:pPr>
            <w:r>
              <w:rPr>
                <w:rFonts w:cs="Arial"/>
                <w:szCs w:val="14"/>
              </w:rPr>
              <w:t>214,147</w:t>
            </w:r>
          </w:p>
        </w:tc>
      </w:tr>
      <w:tr w:rsidR="00931938" w:rsidRPr="0068592A" w14:paraId="25A0DD70" w14:textId="77777777" w:rsidTr="00AB4D1D">
        <w:trPr>
          <w:trHeight w:val="238"/>
          <w:jc w:val="center"/>
        </w:trPr>
        <w:tc>
          <w:tcPr>
            <w:tcW w:w="3094" w:type="dxa"/>
            <w:tcBorders>
              <w:bottom w:val="nil"/>
            </w:tcBorders>
            <w:shd w:val="clear" w:color="auto" w:fill="auto"/>
          </w:tcPr>
          <w:p w14:paraId="14BA71F1" w14:textId="77777777" w:rsidR="00931938" w:rsidRPr="0068592A" w:rsidRDefault="00931938" w:rsidP="00707A8C">
            <w:pPr>
              <w:pStyle w:val="08-Tabelageral"/>
              <w:ind w:left="113"/>
              <w:jc w:val="left"/>
              <w:rPr>
                <w:rFonts w:cs="Arial"/>
                <w:szCs w:val="14"/>
                <w:vertAlign w:val="superscript"/>
              </w:rPr>
            </w:pPr>
            <w:r>
              <w:rPr>
                <w:rFonts w:cs="Arial"/>
                <w:szCs w:val="14"/>
              </w:rPr>
              <w:t>Fixed asset</w:t>
            </w:r>
            <w:r w:rsidRPr="0068592A">
              <w:rPr>
                <w:rFonts w:cs="Arial"/>
                <w:szCs w:val="14"/>
              </w:rPr>
              <w:t xml:space="preserve">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tcBorders>
              <w:bottom w:val="nil"/>
            </w:tcBorders>
            <w:shd w:val="clear" w:color="auto" w:fill="auto"/>
          </w:tcPr>
          <w:p w14:paraId="4FB1F09C" w14:textId="77777777" w:rsidR="00931938" w:rsidRPr="0068592A" w:rsidRDefault="00931938" w:rsidP="00707A8C">
            <w:pPr>
              <w:pStyle w:val="08-Tabelageral"/>
              <w:ind w:left="113"/>
              <w:jc w:val="center"/>
              <w:rPr>
                <w:rFonts w:cs="Arial"/>
                <w:szCs w:val="14"/>
              </w:rPr>
            </w:pPr>
          </w:p>
        </w:tc>
        <w:tc>
          <w:tcPr>
            <w:tcW w:w="1411" w:type="dxa"/>
            <w:tcBorders>
              <w:bottom w:val="nil"/>
            </w:tcBorders>
            <w:shd w:val="clear" w:color="auto" w:fill="auto"/>
            <w:vAlign w:val="center"/>
          </w:tcPr>
          <w:p w14:paraId="78686424" w14:textId="77777777" w:rsidR="00931938" w:rsidRPr="0068592A" w:rsidRDefault="00931938" w:rsidP="00707A8C">
            <w:pPr>
              <w:pStyle w:val="08-Tabelageral"/>
              <w:ind w:left="113"/>
              <w:rPr>
                <w:rFonts w:cs="Arial"/>
                <w:szCs w:val="14"/>
              </w:rPr>
            </w:pPr>
            <w:r>
              <w:rPr>
                <w:rFonts w:cs="Arial"/>
                <w:szCs w:val="14"/>
              </w:rPr>
              <w:t>47</w:t>
            </w:r>
          </w:p>
        </w:tc>
        <w:tc>
          <w:tcPr>
            <w:tcW w:w="1412" w:type="dxa"/>
            <w:tcBorders>
              <w:bottom w:val="nil"/>
            </w:tcBorders>
            <w:shd w:val="clear" w:color="auto" w:fill="auto"/>
            <w:vAlign w:val="center"/>
          </w:tcPr>
          <w:p w14:paraId="57D6A041" w14:textId="77777777" w:rsidR="00931938" w:rsidRPr="0068592A" w:rsidRDefault="00931938" w:rsidP="00707A8C">
            <w:pPr>
              <w:pStyle w:val="08-Tabelageral"/>
              <w:ind w:left="113"/>
              <w:rPr>
                <w:rFonts w:cs="Arial"/>
                <w:szCs w:val="14"/>
              </w:rPr>
            </w:pPr>
            <w:r>
              <w:rPr>
                <w:rFonts w:cs="Arial"/>
                <w:szCs w:val="14"/>
              </w:rPr>
              <w:t>40</w:t>
            </w:r>
          </w:p>
        </w:tc>
        <w:tc>
          <w:tcPr>
            <w:tcW w:w="283" w:type="dxa"/>
            <w:tcBorders>
              <w:bottom w:val="nil"/>
            </w:tcBorders>
            <w:shd w:val="clear" w:color="auto" w:fill="auto"/>
            <w:vAlign w:val="center"/>
          </w:tcPr>
          <w:p w14:paraId="5FCEBC19" w14:textId="77777777" w:rsidR="00931938" w:rsidRPr="0068592A" w:rsidRDefault="00931938" w:rsidP="00707A8C">
            <w:pPr>
              <w:pStyle w:val="08-Tabelageral"/>
              <w:ind w:left="113"/>
              <w:rPr>
                <w:rFonts w:cs="Arial"/>
                <w:szCs w:val="14"/>
              </w:rPr>
            </w:pPr>
          </w:p>
        </w:tc>
        <w:tc>
          <w:tcPr>
            <w:tcW w:w="1417" w:type="dxa"/>
            <w:tcBorders>
              <w:bottom w:val="nil"/>
            </w:tcBorders>
            <w:shd w:val="clear" w:color="auto" w:fill="auto"/>
            <w:vAlign w:val="center"/>
          </w:tcPr>
          <w:p w14:paraId="1912E6CC" w14:textId="77777777" w:rsidR="00931938" w:rsidRPr="0068592A" w:rsidRDefault="00931938" w:rsidP="00707A8C">
            <w:pPr>
              <w:pStyle w:val="08-Tabelageral"/>
              <w:ind w:left="113"/>
              <w:rPr>
                <w:rFonts w:cs="Arial"/>
                <w:szCs w:val="14"/>
              </w:rPr>
            </w:pPr>
            <w:r>
              <w:rPr>
                <w:rFonts w:cs="Arial"/>
                <w:szCs w:val="14"/>
              </w:rPr>
              <w:t>47</w:t>
            </w:r>
          </w:p>
        </w:tc>
        <w:tc>
          <w:tcPr>
            <w:tcW w:w="1418" w:type="dxa"/>
            <w:tcBorders>
              <w:bottom w:val="nil"/>
            </w:tcBorders>
            <w:shd w:val="clear" w:color="auto" w:fill="auto"/>
            <w:vAlign w:val="center"/>
          </w:tcPr>
          <w:p w14:paraId="052CE02D" w14:textId="77777777" w:rsidR="00931938" w:rsidRPr="0068592A" w:rsidRDefault="00931938" w:rsidP="00707A8C">
            <w:pPr>
              <w:pStyle w:val="08-Tabelageral"/>
              <w:ind w:left="113"/>
              <w:rPr>
                <w:rFonts w:cs="Arial"/>
                <w:szCs w:val="14"/>
              </w:rPr>
            </w:pPr>
            <w:r>
              <w:rPr>
                <w:rFonts w:cs="Arial"/>
                <w:szCs w:val="14"/>
              </w:rPr>
              <w:t>40</w:t>
            </w:r>
          </w:p>
        </w:tc>
      </w:tr>
      <w:tr w:rsidR="00931938" w:rsidRPr="0068592A" w14:paraId="77194EAD" w14:textId="77777777" w:rsidTr="00AB4D1D">
        <w:trPr>
          <w:trHeight w:val="238"/>
          <w:jc w:val="center"/>
        </w:trPr>
        <w:tc>
          <w:tcPr>
            <w:tcW w:w="3094" w:type="dxa"/>
            <w:tcBorders>
              <w:top w:val="nil"/>
              <w:bottom w:val="single" w:sz="2" w:space="0" w:color="1F4E79" w:themeColor="accent1" w:themeShade="80"/>
            </w:tcBorders>
            <w:shd w:val="clear" w:color="auto" w:fill="auto"/>
          </w:tcPr>
          <w:p w14:paraId="275BE948" w14:textId="77777777" w:rsidR="00931938" w:rsidRPr="0068592A" w:rsidRDefault="00931938" w:rsidP="00707A8C">
            <w:pPr>
              <w:pStyle w:val="08-Tabelageral"/>
              <w:jc w:val="left"/>
              <w:rPr>
                <w:rFonts w:cs="Arial"/>
                <w:b/>
              </w:rPr>
            </w:pPr>
            <w:r w:rsidRPr="0068592A">
              <w:rPr>
                <w:rFonts w:cs="Arial"/>
                <w:b/>
              </w:rPr>
              <w:t xml:space="preserve">Total </w:t>
            </w:r>
          </w:p>
        </w:tc>
        <w:tc>
          <w:tcPr>
            <w:tcW w:w="604" w:type="dxa"/>
            <w:tcBorders>
              <w:top w:val="nil"/>
              <w:bottom w:val="single" w:sz="2" w:space="0" w:color="1F4E79" w:themeColor="accent1" w:themeShade="80"/>
            </w:tcBorders>
            <w:shd w:val="clear" w:color="auto" w:fill="auto"/>
          </w:tcPr>
          <w:p w14:paraId="0C112F99" w14:textId="77777777" w:rsidR="00931938" w:rsidRPr="0068592A" w:rsidRDefault="00931938" w:rsidP="00707A8C">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0A5BBC27" w14:textId="77777777" w:rsidR="00931938" w:rsidRPr="0068592A" w:rsidRDefault="00931938" w:rsidP="00707A8C">
            <w:pPr>
              <w:pStyle w:val="08-Tabelageral"/>
              <w:rPr>
                <w:rFonts w:cs="Arial"/>
                <w:b/>
                <w:szCs w:val="14"/>
              </w:rPr>
            </w:pPr>
            <w:r>
              <w:rPr>
                <w:rFonts w:cs="Arial"/>
                <w:b/>
                <w:szCs w:val="14"/>
              </w:rPr>
              <w:t>9,875</w:t>
            </w:r>
          </w:p>
        </w:tc>
        <w:tc>
          <w:tcPr>
            <w:tcW w:w="1412" w:type="dxa"/>
            <w:tcBorders>
              <w:top w:val="nil"/>
              <w:bottom w:val="single" w:sz="2" w:space="0" w:color="1F4E79" w:themeColor="accent1" w:themeShade="80"/>
            </w:tcBorders>
            <w:shd w:val="clear" w:color="auto" w:fill="auto"/>
            <w:vAlign w:val="center"/>
          </w:tcPr>
          <w:p w14:paraId="7C4DE727" w14:textId="77777777" w:rsidR="00931938" w:rsidRPr="0068592A" w:rsidRDefault="00931938" w:rsidP="00707A8C">
            <w:pPr>
              <w:pStyle w:val="08-Tabelageral"/>
              <w:rPr>
                <w:rFonts w:cs="Arial"/>
                <w:b/>
                <w:szCs w:val="14"/>
              </w:rPr>
            </w:pPr>
            <w:r>
              <w:rPr>
                <w:rFonts w:cs="Arial"/>
                <w:b/>
                <w:szCs w:val="14"/>
              </w:rPr>
              <w:t>12,759</w:t>
            </w:r>
          </w:p>
        </w:tc>
        <w:tc>
          <w:tcPr>
            <w:tcW w:w="283" w:type="dxa"/>
            <w:tcBorders>
              <w:top w:val="nil"/>
              <w:bottom w:val="single" w:sz="2" w:space="0" w:color="1F4E79" w:themeColor="accent1" w:themeShade="80"/>
            </w:tcBorders>
            <w:shd w:val="clear" w:color="auto" w:fill="auto"/>
            <w:vAlign w:val="center"/>
          </w:tcPr>
          <w:p w14:paraId="53A9ABD8" w14:textId="77777777" w:rsidR="00931938" w:rsidRPr="0068592A" w:rsidRDefault="00931938" w:rsidP="00707A8C">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2F324DDE" w14:textId="77777777" w:rsidR="00931938" w:rsidRPr="0068592A" w:rsidRDefault="00931938" w:rsidP="00707A8C">
            <w:pPr>
              <w:pStyle w:val="08-Tabelageral"/>
              <w:rPr>
                <w:rFonts w:cs="Arial"/>
                <w:b/>
                <w:szCs w:val="14"/>
              </w:rPr>
            </w:pPr>
            <w:r>
              <w:rPr>
                <w:rFonts w:cs="Arial"/>
                <w:b/>
                <w:szCs w:val="14"/>
              </w:rPr>
              <w:t>222,456</w:t>
            </w:r>
          </w:p>
        </w:tc>
        <w:tc>
          <w:tcPr>
            <w:tcW w:w="1418" w:type="dxa"/>
            <w:tcBorders>
              <w:top w:val="nil"/>
              <w:bottom w:val="single" w:sz="2" w:space="0" w:color="1F4E79" w:themeColor="accent1" w:themeShade="80"/>
            </w:tcBorders>
            <w:shd w:val="clear" w:color="auto" w:fill="auto"/>
            <w:vAlign w:val="center"/>
          </w:tcPr>
          <w:p w14:paraId="37E213AB" w14:textId="77777777" w:rsidR="00931938" w:rsidRPr="0068592A" w:rsidRDefault="00931938" w:rsidP="00707A8C">
            <w:pPr>
              <w:pStyle w:val="08-Tabelageral"/>
              <w:rPr>
                <w:rFonts w:cs="Arial"/>
                <w:b/>
                <w:szCs w:val="14"/>
              </w:rPr>
            </w:pPr>
            <w:r>
              <w:rPr>
                <w:rFonts w:cs="Arial"/>
                <w:b/>
                <w:szCs w:val="14"/>
              </w:rPr>
              <w:t>219,523</w:t>
            </w:r>
          </w:p>
        </w:tc>
      </w:tr>
    </w:tbl>
    <w:p w14:paraId="20EC2E99" w14:textId="77777777" w:rsidR="00931938" w:rsidRPr="000C2A9E" w:rsidRDefault="00931938" w:rsidP="00FC4475">
      <w:pPr>
        <w:pStyle w:val="07-Legenda"/>
        <w:numPr>
          <w:ilvl w:val="0"/>
          <w:numId w:val="53"/>
        </w:numPr>
        <w:rPr>
          <w:szCs w:val="14"/>
          <w:lang w:val="en-US"/>
        </w:rPr>
      </w:pPr>
      <w:r w:rsidRPr="000C2A9E">
        <w:rPr>
          <w:szCs w:val="14"/>
          <w:lang w:val="en-US"/>
        </w:rPr>
        <w:t>It refers, mainly, to a lawsuit of a fiscal nature, with the purpose of annulling an administrative decision that did not ratify declarations of compensation of negative balances of IRPJ with several taxes of its own. The updated value of the referred judicial deposit is R$ 1</w:t>
      </w:r>
      <w:r>
        <w:rPr>
          <w:szCs w:val="14"/>
          <w:lang w:val="en-US"/>
        </w:rPr>
        <w:t>65</w:t>
      </w:r>
      <w:r w:rsidRPr="000C2A9E">
        <w:rPr>
          <w:szCs w:val="14"/>
          <w:lang w:val="en-US"/>
        </w:rPr>
        <w:t>,</w:t>
      </w:r>
      <w:r>
        <w:rPr>
          <w:szCs w:val="14"/>
          <w:lang w:val="en-US"/>
        </w:rPr>
        <w:t>385</w:t>
      </w:r>
      <w:r w:rsidRPr="000C2A9E">
        <w:rPr>
          <w:szCs w:val="14"/>
          <w:lang w:val="en-US"/>
        </w:rPr>
        <w:t xml:space="preserve"> thousand (R$ 15</w:t>
      </w:r>
      <w:r>
        <w:rPr>
          <w:szCs w:val="14"/>
          <w:lang w:val="en-US"/>
        </w:rPr>
        <w:t>8</w:t>
      </w:r>
      <w:r w:rsidRPr="000C2A9E">
        <w:rPr>
          <w:szCs w:val="14"/>
          <w:lang w:val="en-US"/>
        </w:rPr>
        <w:t>,</w:t>
      </w:r>
      <w:r>
        <w:rPr>
          <w:szCs w:val="14"/>
          <w:lang w:val="en-US"/>
        </w:rPr>
        <w:t>619</w:t>
      </w:r>
      <w:r w:rsidRPr="000C2A9E">
        <w:rPr>
          <w:szCs w:val="14"/>
          <w:lang w:val="en-US"/>
        </w:rPr>
        <w:t xml:space="preserve"> thousand on December 31, 202</w:t>
      </w:r>
      <w:r>
        <w:rPr>
          <w:szCs w:val="14"/>
          <w:lang w:val="en-US"/>
        </w:rPr>
        <w:t>1</w:t>
      </w:r>
      <w:r w:rsidRPr="000C2A9E">
        <w:rPr>
          <w:szCs w:val="14"/>
          <w:lang w:val="en-US"/>
        </w:rPr>
        <w:t>), being its update by the SELIC rate.</w:t>
      </w:r>
    </w:p>
    <w:bookmarkEnd w:id="56"/>
    <w:p w14:paraId="1FC45EDA" w14:textId="77777777" w:rsidR="00931938" w:rsidRPr="000C2A9E" w:rsidRDefault="00931938" w:rsidP="00FC4475">
      <w:pPr>
        <w:pStyle w:val="07-Legenda"/>
        <w:numPr>
          <w:ilvl w:val="0"/>
          <w:numId w:val="53"/>
        </w:numPr>
        <w:ind w:left="284" w:hanging="284"/>
        <w:rPr>
          <w:szCs w:val="14"/>
          <w:lang w:val="en-US"/>
        </w:rPr>
      </w:pPr>
      <w:r w:rsidRPr="000C2A9E">
        <w:rPr>
          <w:szCs w:val="14"/>
          <w:lang w:val="en-US"/>
        </w:rPr>
        <w:t xml:space="preserve">Acquisition of computers and furniture in the amount of R$ </w:t>
      </w:r>
      <w:r>
        <w:rPr>
          <w:szCs w:val="14"/>
          <w:lang w:val="en-US"/>
        </w:rPr>
        <w:t>100</w:t>
      </w:r>
      <w:r w:rsidRPr="000C2A9E">
        <w:rPr>
          <w:szCs w:val="14"/>
          <w:lang w:val="en-US"/>
        </w:rPr>
        <w:t xml:space="preserve"> thousand (depreciation R$ </w:t>
      </w:r>
      <w:r>
        <w:rPr>
          <w:szCs w:val="14"/>
          <w:lang w:val="en-US"/>
        </w:rPr>
        <w:t>53</w:t>
      </w:r>
      <w:r w:rsidRPr="000C2A9E">
        <w:rPr>
          <w:szCs w:val="14"/>
          <w:lang w:val="en-US"/>
        </w:rPr>
        <w:t xml:space="preserve"> thousand) in Dec 31, 202</w:t>
      </w:r>
      <w:r>
        <w:rPr>
          <w:szCs w:val="14"/>
          <w:lang w:val="en-US"/>
        </w:rPr>
        <w:t>2</w:t>
      </w:r>
      <w:r w:rsidRPr="000C2A9E">
        <w:rPr>
          <w:szCs w:val="14"/>
          <w:lang w:val="en-US"/>
        </w:rPr>
        <w:t>.</w:t>
      </w:r>
    </w:p>
    <w:p w14:paraId="4B779EAC" w14:textId="77777777" w:rsidR="00931938" w:rsidRPr="000C2A9E" w:rsidRDefault="00931938">
      <w:pPr>
        <w:rPr>
          <w:rFonts w:cs="Arial"/>
          <w:b/>
          <w:color w:val="1F4E79" w:themeColor="accent1" w:themeShade="80"/>
          <w:szCs w:val="18"/>
          <w:lang w:val="en-US"/>
        </w:rPr>
      </w:pPr>
    </w:p>
    <w:p w14:paraId="740CBB0A" w14:textId="69AF6ED6" w:rsidR="00931938" w:rsidRPr="00AB4D1D" w:rsidRDefault="00931938" w:rsidP="00FC4475">
      <w:pPr>
        <w:pStyle w:val="Ttulo1"/>
      </w:pPr>
      <w:bookmarkStart w:id="57" w:name="_Toc126781112"/>
      <w:r w:rsidRPr="00AB4D1D">
        <w:t>21 – CORPORATE AND STATUTORY OBLIGATIONS</w:t>
      </w:r>
      <w:bookmarkEnd w:id="57"/>
    </w:p>
    <w:p w14:paraId="2770773B" w14:textId="77777777" w:rsidR="00931938" w:rsidRPr="00FE52CA" w:rsidRDefault="00931938" w:rsidP="0043555A">
      <w:pPr>
        <w:pStyle w:val="01-TtulodeNota"/>
        <w:spacing w:before="0" w:after="0"/>
        <w:jc w:val="right"/>
        <w:rPr>
          <w:rFonts w:cs="Arial"/>
          <w:sz w:val="14"/>
          <w:szCs w:val="14"/>
          <w:lang w:val="en-US"/>
        </w:rPr>
      </w:pPr>
      <w:r w:rsidRPr="00FE52CA">
        <w:rPr>
          <w:rFonts w:cs="Arial"/>
          <w:sz w:val="14"/>
          <w:szCs w:val="14"/>
          <w:lang w:val="en-US"/>
        </w:rPr>
        <w:t>R$ thousand</w:t>
      </w:r>
    </w:p>
    <w:tbl>
      <w:tblPr>
        <w:tblStyle w:val="TabeladeLista6Colorida-nfase510"/>
        <w:tblW w:w="9639" w:type="dxa"/>
        <w:tblInd w:w="108" w:type="dxa"/>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931938" w:rsidRPr="00334399" w14:paraId="0CCA793E" w14:textId="77777777" w:rsidTr="00F827C8">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bottom w:val="nil"/>
            </w:tcBorders>
            <w:shd w:val="clear" w:color="auto" w:fill="auto"/>
            <w:vAlign w:val="center"/>
          </w:tcPr>
          <w:p w14:paraId="209ACB02" w14:textId="77777777" w:rsidR="00931938" w:rsidRPr="00FE52CA" w:rsidRDefault="00931938" w:rsidP="00F827C8">
            <w:pPr>
              <w:keepNext/>
              <w:keepLines/>
              <w:spacing w:before="40" w:after="40"/>
              <w:jc w:val="center"/>
              <w:rPr>
                <w:rFonts w:cs="Arial"/>
                <w:b w:val="0"/>
                <w:bCs w:val="0"/>
                <w:spacing w:val="-2"/>
                <w:sz w:val="14"/>
                <w:szCs w:val="14"/>
                <w:lang w:val="en-US"/>
              </w:rPr>
            </w:pPr>
          </w:p>
        </w:tc>
        <w:tc>
          <w:tcPr>
            <w:tcW w:w="2848" w:type="dxa"/>
            <w:gridSpan w:val="2"/>
            <w:tcBorders>
              <w:bottom w:val="nil"/>
            </w:tcBorders>
            <w:shd w:val="clear" w:color="auto" w:fill="auto"/>
            <w:vAlign w:val="center"/>
          </w:tcPr>
          <w:p w14:paraId="6D6AC485" w14:textId="77777777" w:rsidR="00931938" w:rsidRPr="00FE52CA" w:rsidRDefault="00931938" w:rsidP="00F827C8">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lang w:val="en-US"/>
              </w:rPr>
            </w:pPr>
          </w:p>
        </w:tc>
        <w:tc>
          <w:tcPr>
            <w:tcW w:w="2823" w:type="dxa"/>
            <w:gridSpan w:val="2"/>
            <w:tcBorders>
              <w:bottom w:val="none" w:sz="0" w:space="0" w:color="auto"/>
            </w:tcBorders>
            <w:shd w:val="clear" w:color="auto" w:fill="auto"/>
            <w:vAlign w:val="center"/>
          </w:tcPr>
          <w:p w14:paraId="34021662" w14:textId="77777777" w:rsidR="00931938" w:rsidRPr="00334399" w:rsidRDefault="00931938" w:rsidP="00F827C8">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vertAlign w:val="superscript"/>
              </w:rPr>
            </w:pPr>
            <w:r>
              <w:rPr>
                <w:rFonts w:cs="Arial"/>
                <w:spacing w:val="-2"/>
                <w:sz w:val="14"/>
                <w:szCs w:val="14"/>
              </w:rPr>
              <w:t>Parent</w:t>
            </w:r>
          </w:p>
        </w:tc>
        <w:tc>
          <w:tcPr>
            <w:tcW w:w="283" w:type="dxa"/>
            <w:tcBorders>
              <w:bottom w:val="none" w:sz="0" w:space="0" w:color="auto"/>
            </w:tcBorders>
            <w:shd w:val="clear" w:color="auto" w:fill="auto"/>
            <w:vAlign w:val="center"/>
          </w:tcPr>
          <w:p w14:paraId="4F216F03" w14:textId="77777777" w:rsidR="00931938" w:rsidRPr="00334399" w:rsidRDefault="00931938" w:rsidP="00F827C8">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spacing w:val="-2"/>
                <w:sz w:val="14"/>
                <w:szCs w:val="14"/>
              </w:rPr>
            </w:pPr>
          </w:p>
        </w:tc>
        <w:tc>
          <w:tcPr>
            <w:tcW w:w="2835" w:type="dxa"/>
            <w:gridSpan w:val="2"/>
            <w:tcBorders>
              <w:bottom w:val="none" w:sz="0" w:space="0" w:color="auto"/>
            </w:tcBorders>
            <w:shd w:val="clear" w:color="auto" w:fill="auto"/>
            <w:vAlign w:val="center"/>
          </w:tcPr>
          <w:p w14:paraId="50ACB5E2" w14:textId="77777777" w:rsidR="00931938" w:rsidRPr="00334399" w:rsidRDefault="00931938" w:rsidP="00F827C8">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vertAlign w:val="superscript"/>
              </w:rPr>
            </w:pPr>
            <w:r w:rsidRPr="00334399">
              <w:rPr>
                <w:rFonts w:cs="Arial"/>
                <w:spacing w:val="-2"/>
                <w:sz w:val="14"/>
                <w:szCs w:val="14"/>
              </w:rPr>
              <w:t>Consolida</w:t>
            </w:r>
            <w:r>
              <w:rPr>
                <w:rFonts w:cs="Arial"/>
                <w:spacing w:val="-2"/>
                <w:sz w:val="14"/>
                <w:szCs w:val="14"/>
              </w:rPr>
              <w:t>ted</w:t>
            </w:r>
          </w:p>
        </w:tc>
      </w:tr>
      <w:tr w:rsidR="00931938" w:rsidRPr="00334399" w14:paraId="6BABA30D" w14:textId="77777777" w:rsidTr="00F827C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1F4E79" w:themeColor="accent1" w:themeShade="80"/>
            </w:tcBorders>
            <w:shd w:val="clear" w:color="auto" w:fill="auto"/>
            <w:vAlign w:val="center"/>
          </w:tcPr>
          <w:p w14:paraId="4E9A06B4" w14:textId="77777777" w:rsidR="00931938" w:rsidRPr="00334399" w:rsidRDefault="00931938" w:rsidP="00F827C8">
            <w:pPr>
              <w:keepNext/>
              <w:keepLines/>
              <w:spacing w:before="40" w:after="40"/>
              <w:jc w:val="center"/>
              <w:rPr>
                <w:rFonts w:cs="Arial"/>
                <w:spacing w:val="-2"/>
                <w:sz w:val="14"/>
                <w:szCs w:val="14"/>
              </w:rPr>
            </w:pPr>
          </w:p>
        </w:tc>
        <w:tc>
          <w:tcPr>
            <w:tcW w:w="604" w:type="dxa"/>
            <w:tcBorders>
              <w:top w:val="nil"/>
              <w:bottom w:val="single" w:sz="2" w:space="0" w:color="1F4E79" w:themeColor="accent1" w:themeShade="80"/>
            </w:tcBorders>
            <w:shd w:val="clear" w:color="auto" w:fill="auto"/>
          </w:tcPr>
          <w:p w14:paraId="060016AA" w14:textId="77777777" w:rsidR="00931938" w:rsidRPr="00334399" w:rsidRDefault="00931938" w:rsidP="00406A5B">
            <w:pPr>
              <w:keepNext/>
              <w:keepLines/>
              <w:spacing w:before="40" w:after="40"/>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1" w:type="dxa"/>
            <w:tcBorders>
              <w:bottom w:val="single" w:sz="2" w:space="0" w:color="1F4E79" w:themeColor="accent1" w:themeShade="80"/>
            </w:tcBorders>
            <w:shd w:val="clear" w:color="auto" w:fill="auto"/>
            <w:vAlign w:val="center"/>
          </w:tcPr>
          <w:p w14:paraId="4C72211E" w14:textId="77777777" w:rsidR="00931938" w:rsidRPr="00334399" w:rsidRDefault="00931938" w:rsidP="00F827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Pr>
                <w:rFonts w:cs="Arial"/>
                <w:b/>
                <w:spacing w:val="-2"/>
                <w:sz w:val="14"/>
                <w:szCs w:val="14"/>
              </w:rPr>
              <w:t>Dec 31, 2022</w:t>
            </w:r>
          </w:p>
        </w:tc>
        <w:tc>
          <w:tcPr>
            <w:tcW w:w="1412" w:type="dxa"/>
            <w:tcBorders>
              <w:bottom w:val="single" w:sz="2" w:space="0" w:color="1F4E79" w:themeColor="accent1" w:themeShade="80"/>
            </w:tcBorders>
            <w:shd w:val="clear" w:color="auto" w:fill="auto"/>
            <w:vAlign w:val="center"/>
          </w:tcPr>
          <w:p w14:paraId="516D5FED" w14:textId="77777777" w:rsidR="00931938" w:rsidRPr="00BF0F19" w:rsidRDefault="00931938" w:rsidP="00F827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vertAlign w:val="superscript"/>
              </w:rPr>
            </w:pPr>
            <w:r>
              <w:rPr>
                <w:rFonts w:cs="Arial"/>
                <w:b/>
                <w:spacing w:val="-2"/>
                <w:sz w:val="14"/>
                <w:szCs w:val="14"/>
              </w:rPr>
              <w:t>Dec 31, 2021</w:t>
            </w:r>
          </w:p>
        </w:tc>
        <w:tc>
          <w:tcPr>
            <w:tcW w:w="283" w:type="dxa"/>
            <w:tcBorders>
              <w:bottom w:val="single" w:sz="2" w:space="0" w:color="1F4E79" w:themeColor="accent1" w:themeShade="80"/>
            </w:tcBorders>
            <w:shd w:val="clear" w:color="auto" w:fill="auto"/>
            <w:vAlign w:val="center"/>
          </w:tcPr>
          <w:p w14:paraId="6C05F3BE" w14:textId="77777777" w:rsidR="00931938" w:rsidRPr="00334399" w:rsidRDefault="00931938" w:rsidP="00F827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7" w:type="dxa"/>
            <w:tcBorders>
              <w:bottom w:val="single" w:sz="2" w:space="0" w:color="1F4E79" w:themeColor="accent1" w:themeShade="80"/>
            </w:tcBorders>
            <w:shd w:val="clear" w:color="auto" w:fill="auto"/>
            <w:vAlign w:val="center"/>
          </w:tcPr>
          <w:p w14:paraId="3B64A866" w14:textId="77777777" w:rsidR="00931938" w:rsidRPr="00334399" w:rsidRDefault="00931938" w:rsidP="00F827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Pr>
                <w:rFonts w:cs="Arial"/>
                <w:b/>
                <w:spacing w:val="-2"/>
                <w:sz w:val="14"/>
                <w:szCs w:val="14"/>
              </w:rPr>
              <w:t>Dec 31, 2022</w:t>
            </w:r>
          </w:p>
        </w:tc>
        <w:tc>
          <w:tcPr>
            <w:tcW w:w="1418" w:type="dxa"/>
            <w:tcBorders>
              <w:bottom w:val="single" w:sz="2" w:space="0" w:color="1F4E79" w:themeColor="accent1" w:themeShade="80"/>
            </w:tcBorders>
            <w:shd w:val="clear" w:color="auto" w:fill="auto"/>
            <w:vAlign w:val="center"/>
          </w:tcPr>
          <w:p w14:paraId="1F9D2BF2" w14:textId="77777777" w:rsidR="00931938" w:rsidRPr="00334399" w:rsidRDefault="00931938" w:rsidP="00F827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Pr>
                <w:rFonts w:cs="Arial"/>
                <w:b/>
                <w:spacing w:val="-2"/>
                <w:sz w:val="14"/>
                <w:szCs w:val="14"/>
              </w:rPr>
              <w:t>Dec 31, 2021</w:t>
            </w:r>
          </w:p>
        </w:tc>
      </w:tr>
      <w:tr w:rsidR="00931938" w:rsidRPr="00334399" w14:paraId="558F1B4B" w14:textId="77777777" w:rsidTr="00EA37E4">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bottom w:val="nil"/>
            </w:tcBorders>
            <w:shd w:val="clear" w:color="auto" w:fill="auto"/>
            <w:vAlign w:val="center"/>
          </w:tcPr>
          <w:p w14:paraId="329B1625" w14:textId="77777777" w:rsidR="00931938" w:rsidRPr="00DA6411" w:rsidRDefault="00931938" w:rsidP="00F827C8">
            <w:pPr>
              <w:pStyle w:val="08-Tabelageral"/>
              <w:jc w:val="left"/>
              <w:rPr>
                <w:rFonts w:cs="Arial"/>
                <w:b w:val="0"/>
                <w:szCs w:val="14"/>
                <w:vertAlign w:val="superscript"/>
              </w:rPr>
            </w:pPr>
            <w:r w:rsidRPr="00334399">
              <w:rPr>
                <w:rFonts w:cs="Arial"/>
                <w:b w:val="0"/>
                <w:szCs w:val="14"/>
              </w:rPr>
              <w:t>Dividend</w:t>
            </w:r>
            <w:r>
              <w:rPr>
                <w:rFonts w:cs="Arial"/>
                <w:b w:val="0"/>
                <w:szCs w:val="14"/>
              </w:rPr>
              <w:t>s</w:t>
            </w:r>
            <w:r w:rsidRPr="00334399">
              <w:rPr>
                <w:rFonts w:cs="Arial"/>
                <w:b w:val="0"/>
                <w:szCs w:val="14"/>
              </w:rPr>
              <w:t xml:space="preserve"> p</w:t>
            </w:r>
            <w:r>
              <w:rPr>
                <w:rFonts w:cs="Arial"/>
                <w:b w:val="0"/>
                <w:szCs w:val="14"/>
              </w:rPr>
              <w:t xml:space="preserve">ayable </w:t>
            </w:r>
            <w:r>
              <w:rPr>
                <w:rFonts w:cs="Arial"/>
                <w:b w:val="0"/>
                <w:szCs w:val="14"/>
                <w:vertAlign w:val="superscript"/>
              </w:rPr>
              <w:t>(1)</w:t>
            </w:r>
          </w:p>
        </w:tc>
        <w:tc>
          <w:tcPr>
            <w:tcW w:w="604" w:type="dxa"/>
            <w:tcBorders>
              <w:bottom w:val="nil"/>
            </w:tcBorders>
            <w:shd w:val="clear" w:color="auto" w:fill="auto"/>
            <w:vAlign w:val="center"/>
          </w:tcPr>
          <w:p w14:paraId="02AD5CFE" w14:textId="77777777" w:rsidR="00931938" w:rsidRPr="00334399"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bottom w:val="nil"/>
            </w:tcBorders>
            <w:shd w:val="clear" w:color="auto" w:fill="auto"/>
          </w:tcPr>
          <w:p w14:paraId="4FD51DB1" w14:textId="77777777" w:rsidR="00931938" w:rsidRPr="00334399"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lang w:eastAsia="en-US"/>
              </w:rPr>
              <w:t>3,673,952</w:t>
            </w:r>
          </w:p>
        </w:tc>
        <w:tc>
          <w:tcPr>
            <w:tcW w:w="1412" w:type="dxa"/>
            <w:tcBorders>
              <w:bottom w:val="nil"/>
            </w:tcBorders>
            <w:shd w:val="clear" w:color="auto" w:fill="auto"/>
          </w:tcPr>
          <w:p w14:paraId="3DE0E998" w14:textId="77777777" w:rsidR="00931938" w:rsidRPr="00334399"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lang w:eastAsia="en-US"/>
              </w:rPr>
              <w:t>1,831,596</w:t>
            </w:r>
          </w:p>
        </w:tc>
        <w:tc>
          <w:tcPr>
            <w:tcW w:w="283" w:type="dxa"/>
            <w:tcBorders>
              <w:bottom w:val="nil"/>
            </w:tcBorders>
            <w:shd w:val="clear" w:color="auto" w:fill="auto"/>
            <w:vAlign w:val="center"/>
          </w:tcPr>
          <w:p w14:paraId="786E31F9" w14:textId="77777777" w:rsidR="00931938" w:rsidRPr="00334399"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bottom w:val="nil"/>
            </w:tcBorders>
            <w:shd w:val="clear" w:color="auto" w:fill="auto"/>
          </w:tcPr>
          <w:p w14:paraId="368021C8" w14:textId="77777777" w:rsidR="00931938" w:rsidRPr="00334399"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lang w:eastAsia="en-US"/>
              </w:rPr>
              <w:t>3,673,952</w:t>
            </w:r>
          </w:p>
        </w:tc>
        <w:tc>
          <w:tcPr>
            <w:tcW w:w="1418" w:type="dxa"/>
            <w:tcBorders>
              <w:bottom w:val="nil"/>
            </w:tcBorders>
            <w:shd w:val="clear" w:color="auto" w:fill="auto"/>
          </w:tcPr>
          <w:p w14:paraId="6C9CC71A" w14:textId="77777777" w:rsidR="00931938" w:rsidRPr="00334399"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lang w:eastAsia="en-US"/>
              </w:rPr>
              <w:t>1,831,596</w:t>
            </w:r>
          </w:p>
        </w:tc>
      </w:tr>
      <w:tr w:rsidR="00931938" w:rsidRPr="00DA6411" w14:paraId="23479FC0" w14:textId="77777777" w:rsidTr="00EA37E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auto"/>
            <w:vAlign w:val="center"/>
          </w:tcPr>
          <w:p w14:paraId="6E16E6FB" w14:textId="77777777" w:rsidR="00931938" w:rsidRPr="00DA6411" w:rsidRDefault="00931938" w:rsidP="00F827C8">
            <w:pPr>
              <w:pStyle w:val="08-Tabelageral"/>
              <w:jc w:val="left"/>
              <w:rPr>
                <w:rFonts w:cs="Arial"/>
                <w:b w:val="0"/>
                <w:szCs w:val="14"/>
                <w:vertAlign w:val="superscript"/>
              </w:rPr>
            </w:pPr>
            <w:r>
              <w:rPr>
                <w:rFonts w:cs="Arial"/>
                <w:b w:val="0"/>
                <w:szCs w:val="14"/>
              </w:rPr>
              <w:t>Capital reduction payable</w:t>
            </w:r>
          </w:p>
        </w:tc>
        <w:tc>
          <w:tcPr>
            <w:tcW w:w="604" w:type="dxa"/>
            <w:tcBorders>
              <w:top w:val="nil"/>
              <w:bottom w:val="nil"/>
            </w:tcBorders>
            <w:shd w:val="clear" w:color="auto" w:fill="auto"/>
            <w:vAlign w:val="center"/>
          </w:tcPr>
          <w:p w14:paraId="7FA82A1C" w14:textId="77777777" w:rsidR="00931938" w:rsidRPr="00DA6411" w:rsidRDefault="00931938" w:rsidP="00F827C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shd w:val="clear" w:color="auto" w:fill="auto"/>
          </w:tcPr>
          <w:p w14:paraId="716468FB" w14:textId="77777777" w:rsidR="00931938" w:rsidRPr="00DA6411" w:rsidRDefault="00931938" w:rsidP="00F827C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lang w:eastAsia="en-US"/>
              </w:rPr>
              <w:t>75</w:t>
            </w:r>
          </w:p>
        </w:tc>
        <w:tc>
          <w:tcPr>
            <w:tcW w:w="1412" w:type="dxa"/>
            <w:tcBorders>
              <w:top w:val="nil"/>
              <w:bottom w:val="nil"/>
            </w:tcBorders>
            <w:shd w:val="clear" w:color="auto" w:fill="auto"/>
          </w:tcPr>
          <w:p w14:paraId="341C6C48" w14:textId="77777777" w:rsidR="00931938" w:rsidRPr="00DA6411" w:rsidRDefault="00931938" w:rsidP="00F827C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lang w:eastAsia="en-US"/>
              </w:rPr>
              <w:t>95</w:t>
            </w:r>
          </w:p>
        </w:tc>
        <w:tc>
          <w:tcPr>
            <w:tcW w:w="283" w:type="dxa"/>
            <w:tcBorders>
              <w:top w:val="nil"/>
              <w:bottom w:val="nil"/>
            </w:tcBorders>
            <w:shd w:val="clear" w:color="auto" w:fill="auto"/>
            <w:vAlign w:val="center"/>
          </w:tcPr>
          <w:p w14:paraId="4172CCD0" w14:textId="77777777" w:rsidR="00931938" w:rsidRPr="00DA6411" w:rsidRDefault="00931938" w:rsidP="00F827C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auto"/>
          </w:tcPr>
          <w:p w14:paraId="6C282C6A" w14:textId="77777777" w:rsidR="00931938" w:rsidRPr="00DA6411" w:rsidRDefault="00931938" w:rsidP="00F827C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lang w:eastAsia="en-US"/>
              </w:rPr>
              <w:t>75</w:t>
            </w:r>
          </w:p>
        </w:tc>
        <w:tc>
          <w:tcPr>
            <w:tcW w:w="1418" w:type="dxa"/>
            <w:tcBorders>
              <w:top w:val="nil"/>
              <w:bottom w:val="nil"/>
            </w:tcBorders>
            <w:shd w:val="clear" w:color="auto" w:fill="auto"/>
          </w:tcPr>
          <w:p w14:paraId="5C3CCB14" w14:textId="77777777" w:rsidR="00931938" w:rsidRPr="00DA6411" w:rsidRDefault="00931938" w:rsidP="00F827C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lang w:eastAsia="en-US"/>
              </w:rPr>
              <w:t>95</w:t>
            </w:r>
          </w:p>
        </w:tc>
      </w:tr>
      <w:tr w:rsidR="00931938" w:rsidRPr="00DA6411" w14:paraId="61CEC4C8" w14:textId="77777777" w:rsidTr="00EA37E4">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tcBorders>
            <w:shd w:val="clear" w:color="auto" w:fill="auto"/>
            <w:vAlign w:val="center"/>
          </w:tcPr>
          <w:p w14:paraId="0DC8484B" w14:textId="77777777" w:rsidR="00931938" w:rsidRPr="00DA6411" w:rsidRDefault="00931938" w:rsidP="00F827C8">
            <w:pPr>
              <w:pStyle w:val="08-Tabelageral"/>
              <w:jc w:val="left"/>
              <w:rPr>
                <w:rFonts w:cs="Arial"/>
                <w:szCs w:val="14"/>
              </w:rPr>
            </w:pPr>
            <w:r w:rsidRPr="00DA6411">
              <w:rPr>
                <w:rFonts w:cs="Arial"/>
                <w:szCs w:val="14"/>
              </w:rPr>
              <w:t>Total</w:t>
            </w:r>
          </w:p>
        </w:tc>
        <w:tc>
          <w:tcPr>
            <w:tcW w:w="604" w:type="dxa"/>
            <w:tcBorders>
              <w:top w:val="nil"/>
            </w:tcBorders>
            <w:shd w:val="clear" w:color="auto" w:fill="auto"/>
            <w:vAlign w:val="center"/>
          </w:tcPr>
          <w:p w14:paraId="578A19EB" w14:textId="77777777" w:rsidR="00931938" w:rsidRPr="00DA6411"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tcBorders>
            <w:shd w:val="clear" w:color="auto" w:fill="auto"/>
          </w:tcPr>
          <w:p w14:paraId="681140CF" w14:textId="77777777" w:rsidR="00931938" w:rsidRPr="00DA6411"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lang w:eastAsia="en-US"/>
              </w:rPr>
              <w:t>3,674,027</w:t>
            </w:r>
          </w:p>
        </w:tc>
        <w:tc>
          <w:tcPr>
            <w:tcW w:w="1412" w:type="dxa"/>
            <w:tcBorders>
              <w:top w:val="nil"/>
            </w:tcBorders>
            <w:shd w:val="clear" w:color="auto" w:fill="auto"/>
          </w:tcPr>
          <w:p w14:paraId="78F02960" w14:textId="77777777" w:rsidR="00931938" w:rsidRPr="00DA6411"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lang w:eastAsia="en-US"/>
              </w:rPr>
              <w:t>1,831,691</w:t>
            </w:r>
          </w:p>
        </w:tc>
        <w:tc>
          <w:tcPr>
            <w:tcW w:w="283" w:type="dxa"/>
            <w:tcBorders>
              <w:top w:val="nil"/>
            </w:tcBorders>
            <w:shd w:val="clear" w:color="auto" w:fill="auto"/>
            <w:vAlign w:val="center"/>
          </w:tcPr>
          <w:p w14:paraId="30704275" w14:textId="77777777" w:rsidR="00931938" w:rsidRPr="00DA6411"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tcBorders>
            <w:shd w:val="clear" w:color="auto" w:fill="auto"/>
          </w:tcPr>
          <w:p w14:paraId="5DB262A3" w14:textId="77777777" w:rsidR="00931938" w:rsidRPr="00DA6411"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lang w:eastAsia="en-US"/>
              </w:rPr>
              <w:t>3,674,027</w:t>
            </w:r>
          </w:p>
        </w:tc>
        <w:tc>
          <w:tcPr>
            <w:tcW w:w="1418" w:type="dxa"/>
            <w:tcBorders>
              <w:top w:val="nil"/>
            </w:tcBorders>
            <w:shd w:val="clear" w:color="auto" w:fill="auto"/>
          </w:tcPr>
          <w:p w14:paraId="1F7EE2C8" w14:textId="77777777" w:rsidR="00931938" w:rsidRPr="00DA6411" w:rsidRDefault="00931938" w:rsidP="00F827C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lang w:eastAsia="en-US"/>
              </w:rPr>
              <w:t>1,831,691</w:t>
            </w:r>
          </w:p>
        </w:tc>
      </w:tr>
    </w:tbl>
    <w:p w14:paraId="54601A5A" w14:textId="77777777" w:rsidR="00931938" w:rsidRPr="00E20722" w:rsidRDefault="00931938" w:rsidP="00FC4475">
      <w:pPr>
        <w:pStyle w:val="07-Legenda"/>
        <w:keepNext/>
        <w:numPr>
          <w:ilvl w:val="0"/>
          <w:numId w:val="54"/>
        </w:numPr>
        <w:rPr>
          <w:lang w:val="en-US"/>
        </w:rPr>
      </w:pPr>
      <w:r w:rsidRPr="00F445CE">
        <w:rPr>
          <w:lang w:val="en-US"/>
        </w:rPr>
        <w:t xml:space="preserve">The dividends </w:t>
      </w:r>
      <w:r w:rsidRPr="00242034">
        <w:rPr>
          <w:lang w:val="en-US"/>
        </w:rPr>
        <w:t>payable</w:t>
      </w:r>
      <w:r w:rsidRPr="00F445CE">
        <w:rPr>
          <w:lang w:val="en-US"/>
        </w:rPr>
        <w:t xml:space="preserve"> on </w:t>
      </w:r>
      <w:r>
        <w:rPr>
          <w:lang w:val="en-US"/>
        </w:rPr>
        <w:t xml:space="preserve">Dec 31, </w:t>
      </w:r>
      <w:r w:rsidRPr="00F445CE">
        <w:rPr>
          <w:lang w:val="en-US"/>
        </w:rPr>
        <w:t>202</w:t>
      </w:r>
      <w:r>
        <w:rPr>
          <w:lang w:val="en-US"/>
        </w:rPr>
        <w:t>1</w:t>
      </w:r>
      <w:r w:rsidRPr="00F445CE">
        <w:rPr>
          <w:lang w:val="en-US"/>
        </w:rPr>
        <w:t xml:space="preserve"> were paid to the shareholders on </w:t>
      </w:r>
      <w:r>
        <w:rPr>
          <w:lang w:val="en-US"/>
        </w:rPr>
        <w:t xml:space="preserve">Feb </w:t>
      </w:r>
      <w:r w:rsidRPr="00F445CE">
        <w:rPr>
          <w:lang w:val="en-US"/>
        </w:rPr>
        <w:t>2</w:t>
      </w:r>
      <w:r>
        <w:rPr>
          <w:lang w:val="en-US"/>
        </w:rPr>
        <w:t xml:space="preserve">3, </w:t>
      </w:r>
      <w:r w:rsidRPr="00F445CE">
        <w:rPr>
          <w:lang w:val="en-US"/>
        </w:rPr>
        <w:t>202</w:t>
      </w:r>
      <w:r>
        <w:rPr>
          <w:lang w:val="en-US"/>
        </w:rPr>
        <w:t>2</w:t>
      </w:r>
      <w:r w:rsidRPr="00F445CE">
        <w:rPr>
          <w:lang w:val="en-US"/>
        </w:rPr>
        <w:t>.</w:t>
      </w:r>
    </w:p>
    <w:p w14:paraId="7CEB75EF" w14:textId="4FF6D211" w:rsidR="004959C4" w:rsidRPr="00191079" w:rsidRDefault="004959C4" w:rsidP="00FC4475">
      <w:pPr>
        <w:pStyle w:val="Ttulo1"/>
      </w:pPr>
    </w:p>
    <w:p w14:paraId="38636544" w14:textId="77777777" w:rsidR="00FC4475" w:rsidRPr="00960237" w:rsidRDefault="00FC4475" w:rsidP="00FC4475">
      <w:pPr>
        <w:pStyle w:val="Ttulo1"/>
        <w:rPr>
          <w:rFonts w:eastAsiaTheme="majorEastAsia"/>
        </w:rPr>
      </w:pPr>
    </w:p>
    <w:p w14:paraId="5FD13E17" w14:textId="77777777" w:rsidR="00FC4475" w:rsidRPr="00960237" w:rsidRDefault="00FC4475" w:rsidP="00FC4475">
      <w:pPr>
        <w:pStyle w:val="Ttulo1"/>
        <w:rPr>
          <w:rFonts w:eastAsiaTheme="majorEastAsia"/>
        </w:rPr>
      </w:pPr>
    </w:p>
    <w:p w14:paraId="6BEA93B4" w14:textId="1D9A9FF2" w:rsidR="00A4469D" w:rsidRPr="00134726" w:rsidRDefault="00A4469D" w:rsidP="00FC4475">
      <w:pPr>
        <w:pStyle w:val="Ttulo1"/>
      </w:pPr>
      <w:bookmarkStart w:id="58" w:name="_Toc126781113"/>
      <w:bookmarkStart w:id="59" w:name="OLE_LINK17"/>
      <w:r w:rsidRPr="00AB4D1D">
        <w:lastRenderedPageBreak/>
        <w:t>22 – PROVISIONS AND CONTINGENT LIABILITIES</w:t>
      </w:r>
      <w:bookmarkEnd w:id="58"/>
      <w:r w:rsidRPr="00134726">
        <w:t xml:space="preserve"> </w:t>
      </w:r>
    </w:p>
    <w:p w14:paraId="21314AA4" w14:textId="77777777" w:rsidR="00A4469D" w:rsidRPr="00134726" w:rsidRDefault="00A4469D" w:rsidP="00111C18">
      <w:pPr>
        <w:pStyle w:val="05-Textonormal"/>
        <w:rPr>
          <w:b/>
          <w:color w:val="1F4E79" w:themeColor="accent1" w:themeShade="80"/>
          <w:lang w:val="en-US"/>
        </w:rPr>
      </w:pPr>
      <w:r w:rsidRPr="00134726">
        <w:rPr>
          <w:b/>
          <w:color w:val="1F4E79" w:themeColor="accent1" w:themeShade="80"/>
          <w:lang w:val="en-US"/>
        </w:rPr>
        <w:t>a) Contingent Assets</w:t>
      </w:r>
    </w:p>
    <w:p w14:paraId="7B093EEE" w14:textId="77777777" w:rsidR="00A4469D" w:rsidRPr="00134726" w:rsidRDefault="00A4469D" w:rsidP="00111C18">
      <w:pPr>
        <w:pStyle w:val="05-Textonormal"/>
        <w:rPr>
          <w:b/>
          <w:lang w:val="en-US"/>
        </w:rPr>
      </w:pPr>
      <w:r w:rsidRPr="00134726">
        <w:rPr>
          <w:lang w:val="en-US"/>
        </w:rPr>
        <w:t>In accordance with CPC 25 (IAS 37) - Provisions, Contingent Liabilities and Contingent Assets, no contingent assets were recognized in the individual and consolidated financial statements.</w:t>
      </w:r>
    </w:p>
    <w:p w14:paraId="531F2E10" w14:textId="77777777" w:rsidR="00A4469D" w:rsidRDefault="00A4469D" w:rsidP="00111C18">
      <w:pPr>
        <w:pStyle w:val="05-Textonormal"/>
        <w:rPr>
          <w:b/>
          <w:color w:val="1F4E79" w:themeColor="accent1" w:themeShade="80"/>
          <w:lang w:val="en-US"/>
        </w:rPr>
      </w:pPr>
    </w:p>
    <w:p w14:paraId="2CC029FF" w14:textId="2338BFB4" w:rsidR="00A4469D" w:rsidRPr="00134726" w:rsidRDefault="00A4469D" w:rsidP="00111C18">
      <w:pPr>
        <w:pStyle w:val="05-Textonormal"/>
        <w:rPr>
          <w:b/>
          <w:color w:val="1F4E79" w:themeColor="accent1" w:themeShade="80"/>
          <w:lang w:val="en-US"/>
        </w:rPr>
      </w:pPr>
      <w:r w:rsidRPr="00134726">
        <w:rPr>
          <w:b/>
          <w:color w:val="1F4E79" w:themeColor="accent1" w:themeShade="80"/>
          <w:lang w:val="en-US"/>
        </w:rPr>
        <w:t>b) Contingent Liabilities - Probable</w:t>
      </w:r>
    </w:p>
    <w:p w14:paraId="6317E716" w14:textId="77777777" w:rsidR="00A4469D" w:rsidRPr="00134726" w:rsidRDefault="00A4469D" w:rsidP="00111C18">
      <w:pPr>
        <w:pStyle w:val="05-Textonormal"/>
        <w:rPr>
          <w:b/>
          <w:color w:val="1F4E79" w:themeColor="accent1" w:themeShade="80"/>
          <w:lang w:val="en-US"/>
        </w:rPr>
      </w:pPr>
      <w:r w:rsidRPr="00134726">
        <w:rPr>
          <w:b/>
          <w:color w:val="1F4E79" w:themeColor="accent1" w:themeShade="80"/>
          <w:lang w:val="en-US"/>
        </w:rPr>
        <w:t>b.1) Tax Lawsuits</w:t>
      </w:r>
    </w:p>
    <w:p w14:paraId="270933D3" w14:textId="77777777" w:rsidR="00A4469D" w:rsidRPr="00134726" w:rsidRDefault="00A4469D" w:rsidP="00111C18">
      <w:pPr>
        <w:pStyle w:val="05-Textonormal"/>
        <w:rPr>
          <w:b/>
          <w:lang w:val="en-US"/>
        </w:rPr>
      </w:pPr>
      <w:r w:rsidRPr="00134726">
        <w:rPr>
          <w:lang w:val="en-US"/>
        </w:rPr>
        <w:t xml:space="preserve">Tax lawsuits related to BB Corretora, which arise, mainly, from municipal/district tax assessments (discussing the collection of the Tax on Services of Any Nature - ISSQN); and lawsuits of the Federal Government filed in the administrative or judicial spheres discussing federal taxes (notably non-validation of offsetting of own taxes against other taxes). </w:t>
      </w:r>
    </w:p>
    <w:p w14:paraId="2715F0A8" w14:textId="77777777" w:rsidR="00A4469D" w:rsidRPr="00134726" w:rsidRDefault="00A4469D" w:rsidP="00111C18">
      <w:pPr>
        <w:pStyle w:val="05-Textonormal"/>
        <w:rPr>
          <w:b/>
          <w:lang w:val="en-US"/>
        </w:rPr>
      </w:pPr>
      <w:r w:rsidRPr="00134726">
        <w:rPr>
          <w:lang w:val="en-US"/>
        </w:rPr>
        <w:t>On December 31, 2022, BB Corretora had a total of 37 (thirty seven) active tax lawsuits discussing tax matters, classified as remote, possible or probable, depending on the phase of the lawsuit and specific situation related to each case. These lawsuits are distributed as follows: (i) 25 (twenty five) of them in the administrative sphere, exclusively, with the Federal Revenue of Brazil (RFB); and (ii) 12 (twelve) of them filed in the Brazilian courts, 8 (eight) of them in the State courts and 04 (four) in the Federal courts.</w:t>
      </w:r>
    </w:p>
    <w:p w14:paraId="0FBE300E" w14:textId="77777777" w:rsidR="00A4469D" w:rsidRPr="00134726" w:rsidRDefault="00A4469D" w:rsidP="00111C18">
      <w:pPr>
        <w:pStyle w:val="05-Textonormal"/>
        <w:rPr>
          <w:b/>
          <w:lang w:val="en-US"/>
        </w:rPr>
      </w:pPr>
      <w:r w:rsidRPr="00134726">
        <w:rPr>
          <w:lang w:val="en-US"/>
        </w:rPr>
        <w:t>Below is a brief summary of the main lawsuit classified as probable:</w:t>
      </w:r>
    </w:p>
    <w:p w14:paraId="0E464675" w14:textId="77777777" w:rsidR="00A4469D" w:rsidRPr="00134726" w:rsidRDefault="00A4469D" w:rsidP="00A4469D">
      <w:pPr>
        <w:pStyle w:val="01-Textonormal"/>
        <w:numPr>
          <w:ilvl w:val="0"/>
          <w:numId w:val="37"/>
        </w:numPr>
        <w:rPr>
          <w:lang w:val="en-US"/>
        </w:rPr>
      </w:pPr>
      <w:r w:rsidRPr="00134726">
        <w:rPr>
          <w:lang w:val="en-US"/>
        </w:rPr>
        <w:t>BB Corretora is a party in a lawsuit whose cause of action is related to the collection of ISSQN, in progress with the TJ/MG, to which the initial cause value of R$ 8.3 million was attributed and, filed on 06/29/1998. This action was judged by the competent court, which recognized the right of the Municipality to receive the ISSQN required. During the course of the lawsuit, in the context of discussion of stays of execution, a judicial deposit was made to guarantee the court with Banco do Brasil, whose residual value restated on 12/31/2022 is approximately R$ 83.3 thousand (one since there was a decision favorable to the plaintiff in settlement of the sentence, in which the court determined the withdrawal of R$ 527,842.98, on 08/16/2021 - related to the undisputed case). Furthermore, in said decision, the court determined that after the procedural reorganization measures; a permit is issued in favor of BB Corretora to raise any residual balance available to the court, which on 12/31/2022 is still pending analysis and measures by the court.</w:t>
      </w:r>
    </w:p>
    <w:p w14:paraId="3909A0EA" w14:textId="77777777" w:rsidR="00A4469D" w:rsidRPr="00134726" w:rsidRDefault="00A4469D" w:rsidP="00997048">
      <w:pPr>
        <w:pStyle w:val="05-Textonormal"/>
        <w:rPr>
          <w:b/>
          <w:lang w:val="en-US"/>
        </w:rPr>
      </w:pPr>
      <w:r w:rsidRPr="00134726">
        <w:rPr>
          <w:lang w:val="en-US"/>
        </w:rPr>
        <w:t>As for BB Seguridade and BB Seguros, they do not have tax lawsuits with significant amounts.</w:t>
      </w:r>
    </w:p>
    <w:p w14:paraId="416F0381" w14:textId="77777777" w:rsidR="00A4469D" w:rsidRPr="00134726" w:rsidRDefault="00A4469D" w:rsidP="00997048">
      <w:pPr>
        <w:pStyle w:val="05-Textonormal"/>
        <w:rPr>
          <w:b/>
          <w:color w:val="1F4E79" w:themeColor="accent1" w:themeShade="80"/>
          <w:lang w:val="en-US"/>
        </w:rPr>
      </w:pPr>
      <w:r w:rsidRPr="00134726">
        <w:rPr>
          <w:b/>
          <w:color w:val="1F4E79" w:themeColor="accent1" w:themeShade="80"/>
          <w:lang w:val="en-US"/>
        </w:rPr>
        <w:t>b.2) Civil Lawsuits</w:t>
      </w:r>
    </w:p>
    <w:p w14:paraId="5AE6452D" w14:textId="77777777" w:rsidR="00A4469D" w:rsidRPr="00134726" w:rsidRDefault="00A4469D" w:rsidP="00997048">
      <w:pPr>
        <w:pStyle w:val="05-Textonormal"/>
        <w:rPr>
          <w:b/>
          <w:lang w:val="en-US"/>
        </w:rPr>
      </w:pPr>
      <w:r w:rsidRPr="00134726">
        <w:rPr>
          <w:lang w:val="en-US"/>
        </w:rPr>
        <w:t>In civil lawsuits involving BB Seguridade, BB Seguros and BB Corretora, we highlignt the claims for various indemnities (material damages, moral damages, etc., for example), notably resulting from consumer relations involving security products and the like (personal insurance and equity, open private pension, capitalization and dental plans).</w:t>
      </w:r>
    </w:p>
    <w:p w14:paraId="4EF8BCF8" w14:textId="77777777" w:rsidR="00A4469D" w:rsidRPr="00134726" w:rsidRDefault="00A4469D" w:rsidP="00997048">
      <w:pPr>
        <w:pStyle w:val="05-Textonormal"/>
        <w:rPr>
          <w:b/>
          <w:color w:val="1F4E79" w:themeColor="accent1" w:themeShade="80"/>
          <w:lang w:val="en-US"/>
        </w:rPr>
      </w:pPr>
      <w:r w:rsidRPr="00134726">
        <w:rPr>
          <w:b/>
          <w:color w:val="1F4E79" w:themeColor="accent1" w:themeShade="80"/>
          <w:lang w:val="en-US"/>
        </w:rPr>
        <w:t>b.3) Labor Lawsuits</w:t>
      </w:r>
    </w:p>
    <w:p w14:paraId="501AC96D" w14:textId="77777777" w:rsidR="00AB4D1D" w:rsidRDefault="00A4469D" w:rsidP="00AB4D1D">
      <w:pPr>
        <w:pStyle w:val="05-Textonormal"/>
        <w:rPr>
          <w:rStyle w:val="tlid-translation"/>
          <w:lang w:val="en-US"/>
        </w:rPr>
      </w:pPr>
      <w:r w:rsidRPr="00134726">
        <w:rPr>
          <w:rStyle w:val="tlid-translation"/>
          <w:lang w:val="en-US"/>
        </w:rPr>
        <w:t>The labor claims involving BB Seguros and BB Corretora arise mainly from labor claims of a civil nature, arising mainly from business group life insurance, whose original employers (private companies customers of the conglomerate) contract for their employees and, the beneficiaries of these in the process of inventory and sharing, demand the payment of insurance indemnity; and third-party claims to the detriment of BB Seguros and its investees and BB Corretora, as a member of the BB Seguridade Group, especially, requiring any subordinate of the Companies. On the other hand, labor lawsuits involving BB Seguridade are filed by former employees (assigned by Banco do Brasil), discussing rights arising from the 7th and 8th bank overtime and the respective effects on other salary amounts.</w:t>
      </w:r>
    </w:p>
    <w:p w14:paraId="4F6706B2" w14:textId="02E96D82" w:rsidR="00A4469D" w:rsidRPr="00134726" w:rsidRDefault="00A4469D" w:rsidP="00AB4D1D">
      <w:pPr>
        <w:pStyle w:val="05-Textonormal"/>
        <w:keepNext/>
        <w:keepLines/>
        <w:pageBreakBefore/>
        <w:jc w:val="left"/>
        <w:rPr>
          <w:b/>
          <w:color w:val="1F4E79" w:themeColor="accent1" w:themeShade="80"/>
          <w:lang w:val="en-US"/>
        </w:rPr>
      </w:pPr>
      <w:r w:rsidRPr="00134726">
        <w:rPr>
          <w:b/>
          <w:color w:val="1F4E79" w:themeColor="accent1" w:themeShade="80"/>
          <w:lang w:val="en-US"/>
        </w:rPr>
        <w:lastRenderedPageBreak/>
        <w:t>b.4) Provisions for civil, tax and labor lawsuits classified as probable</w:t>
      </w:r>
    </w:p>
    <w:p w14:paraId="3E78BF12" w14:textId="77777777" w:rsidR="00A4469D" w:rsidRPr="00134726" w:rsidRDefault="00A4469D" w:rsidP="008E5277">
      <w:pPr>
        <w:pStyle w:val="05-Textonormal"/>
        <w:rPr>
          <w:rFonts w:cs="Arial"/>
          <w:lang w:val="en-US"/>
        </w:rPr>
      </w:pPr>
      <w:bookmarkStart w:id="60" w:name="_Hlk54605124"/>
      <w:r>
        <w:rPr>
          <w:rStyle w:val="tlid-translation"/>
          <w:lang w:val="en"/>
        </w:rPr>
        <w:t>In accordance with CPC 25 (IAS 37), BB Seguridade constitutes a provision for tax, civil and labor claims with a probable risk of loss</w:t>
      </w:r>
      <w:bookmarkEnd w:id="60"/>
      <w:r w:rsidRPr="00134726">
        <w:rPr>
          <w:rFonts w:cs="Arial"/>
          <w:lang w:val="en-US"/>
        </w:rPr>
        <w:t>.</w:t>
      </w:r>
    </w:p>
    <w:p w14:paraId="3946D84D" w14:textId="77777777" w:rsidR="00A4469D" w:rsidRPr="00134726" w:rsidRDefault="00A4469D" w:rsidP="008E5277">
      <w:pPr>
        <w:pStyle w:val="05-Textonormal"/>
        <w:rPr>
          <w:rFonts w:cs="Arial"/>
          <w:lang w:val="en-US"/>
        </w:rPr>
      </w:pPr>
      <w:r w:rsidRPr="00134726">
        <w:rPr>
          <w:rFonts w:cs="Arial"/>
          <w:lang w:val="en-US"/>
        </w:rPr>
        <w:t>These provisions refer, mainly, to the contingencies recorded in BB Corretora.</w:t>
      </w:r>
    </w:p>
    <w:p w14:paraId="6DE4D5BD" w14:textId="77777777" w:rsidR="00A4469D" w:rsidRPr="004C6ED9" w:rsidRDefault="00A4469D" w:rsidP="00744FE7">
      <w:pPr>
        <w:pStyle w:val="01-TtulodeNota"/>
        <w:spacing w:before="0" w:after="0"/>
        <w:jc w:val="right"/>
        <w:rPr>
          <w:sz w:val="14"/>
          <w:szCs w:val="14"/>
        </w:rPr>
      </w:pPr>
      <w:r>
        <w:rPr>
          <w:sz w:val="14"/>
          <w:szCs w:val="14"/>
        </w:rPr>
        <w:t>R$ thousand</w:t>
      </w:r>
    </w:p>
    <w:tbl>
      <w:tblPr>
        <w:tblW w:w="9639"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2892"/>
        <w:gridCol w:w="616"/>
        <w:gridCol w:w="1723"/>
        <w:gridCol w:w="1304"/>
        <w:gridCol w:w="289"/>
        <w:gridCol w:w="1596"/>
        <w:gridCol w:w="1219"/>
      </w:tblGrid>
      <w:tr w:rsidR="00A4469D" w14:paraId="24019863" w14:textId="77777777" w:rsidTr="009E6532">
        <w:trPr>
          <w:trHeight w:val="238"/>
          <w:jc w:val="center"/>
        </w:trPr>
        <w:tc>
          <w:tcPr>
            <w:tcW w:w="2892" w:type="dxa"/>
            <w:tcBorders>
              <w:top w:val="single" w:sz="2" w:space="0" w:color="1F4E79" w:themeColor="accent1" w:themeShade="80"/>
              <w:left w:val="nil"/>
              <w:bottom w:val="nil"/>
              <w:right w:val="nil"/>
            </w:tcBorders>
            <w:vAlign w:val="center"/>
          </w:tcPr>
          <w:p w14:paraId="7EE8B6B5" w14:textId="77777777" w:rsidR="00A4469D" w:rsidRDefault="00A4469D" w:rsidP="009E6532">
            <w:pPr>
              <w:spacing w:after="0"/>
              <w:rPr>
                <w:rFonts w:cs="Arial"/>
                <w:b/>
                <w:sz w:val="14"/>
                <w:szCs w:val="14"/>
              </w:rPr>
            </w:pPr>
          </w:p>
        </w:tc>
        <w:tc>
          <w:tcPr>
            <w:tcW w:w="616" w:type="dxa"/>
            <w:tcBorders>
              <w:top w:val="single" w:sz="2" w:space="0" w:color="1F4E79" w:themeColor="accent1" w:themeShade="80"/>
              <w:left w:val="nil"/>
              <w:bottom w:val="nil"/>
              <w:right w:val="nil"/>
            </w:tcBorders>
            <w:vAlign w:val="center"/>
          </w:tcPr>
          <w:p w14:paraId="40B6321E" w14:textId="77777777" w:rsidR="00A4469D" w:rsidRDefault="00A4469D" w:rsidP="009E6532">
            <w:pPr>
              <w:spacing w:after="0"/>
              <w:rPr>
                <w:rFonts w:cs="Arial"/>
                <w:b/>
                <w:sz w:val="14"/>
                <w:szCs w:val="14"/>
              </w:rPr>
            </w:pPr>
          </w:p>
        </w:tc>
        <w:tc>
          <w:tcPr>
            <w:tcW w:w="6131" w:type="dxa"/>
            <w:gridSpan w:val="5"/>
            <w:tcBorders>
              <w:top w:val="single" w:sz="2" w:space="0" w:color="1F4E79" w:themeColor="accent1" w:themeShade="80"/>
              <w:left w:val="nil"/>
              <w:bottom w:val="single" w:sz="2" w:space="0" w:color="1F4E79" w:themeColor="accent1" w:themeShade="80"/>
              <w:right w:val="nil"/>
            </w:tcBorders>
            <w:vAlign w:val="center"/>
            <w:hideMark/>
          </w:tcPr>
          <w:p w14:paraId="28AD8630" w14:textId="77777777" w:rsidR="00A4469D" w:rsidRDefault="00A4469D" w:rsidP="009E6532">
            <w:pPr>
              <w:spacing w:after="0"/>
              <w:jc w:val="center"/>
              <w:rPr>
                <w:rFonts w:cs="Arial"/>
                <w:b/>
                <w:sz w:val="14"/>
                <w:szCs w:val="14"/>
                <w:vertAlign w:val="superscript"/>
              </w:rPr>
            </w:pPr>
            <w:r>
              <w:rPr>
                <w:rFonts w:cs="Arial"/>
                <w:b/>
                <w:sz w:val="14"/>
                <w:szCs w:val="14"/>
              </w:rPr>
              <w:t>Consolidated</w:t>
            </w:r>
          </w:p>
        </w:tc>
      </w:tr>
      <w:tr w:rsidR="00A4469D" w14:paraId="53A1A6A4" w14:textId="77777777" w:rsidTr="009E6532">
        <w:trPr>
          <w:trHeight w:val="238"/>
          <w:jc w:val="center"/>
        </w:trPr>
        <w:tc>
          <w:tcPr>
            <w:tcW w:w="2892" w:type="dxa"/>
            <w:tcBorders>
              <w:top w:val="nil"/>
              <w:left w:val="nil"/>
              <w:bottom w:val="single" w:sz="2" w:space="0" w:color="1F4E79" w:themeColor="accent1" w:themeShade="80"/>
              <w:right w:val="nil"/>
            </w:tcBorders>
            <w:vAlign w:val="center"/>
          </w:tcPr>
          <w:p w14:paraId="6C3FC33D" w14:textId="77777777" w:rsidR="00A4469D" w:rsidRDefault="00A4469D" w:rsidP="009E6532">
            <w:pPr>
              <w:pStyle w:val="08-Tabelageral"/>
              <w:spacing w:line="256" w:lineRule="auto"/>
              <w:jc w:val="left"/>
              <w:rPr>
                <w:rFonts w:cs="Arial"/>
                <w:b/>
                <w:szCs w:val="14"/>
                <w:lang w:eastAsia="en-US"/>
              </w:rPr>
            </w:pPr>
          </w:p>
        </w:tc>
        <w:tc>
          <w:tcPr>
            <w:tcW w:w="616" w:type="dxa"/>
            <w:tcBorders>
              <w:top w:val="nil"/>
              <w:left w:val="nil"/>
              <w:bottom w:val="single" w:sz="2" w:space="0" w:color="1F4E79" w:themeColor="accent1" w:themeShade="80"/>
              <w:right w:val="nil"/>
            </w:tcBorders>
            <w:vAlign w:val="center"/>
          </w:tcPr>
          <w:p w14:paraId="6531DA9E" w14:textId="77777777" w:rsidR="00A4469D" w:rsidRDefault="00A4469D" w:rsidP="009E6532">
            <w:pPr>
              <w:pStyle w:val="08-Tabelageral"/>
              <w:spacing w:line="256" w:lineRule="auto"/>
              <w:jc w:val="left"/>
              <w:rPr>
                <w:rFonts w:cs="Arial"/>
                <w:b/>
                <w:szCs w:val="14"/>
                <w:lang w:eastAsia="en-US"/>
              </w:rPr>
            </w:pPr>
          </w:p>
        </w:tc>
        <w:tc>
          <w:tcPr>
            <w:tcW w:w="1723" w:type="dxa"/>
            <w:tcBorders>
              <w:top w:val="single" w:sz="2" w:space="0" w:color="1F4E79" w:themeColor="accent1" w:themeShade="80"/>
              <w:left w:val="nil"/>
              <w:bottom w:val="single" w:sz="2" w:space="0" w:color="1F4E79" w:themeColor="accent1" w:themeShade="80"/>
              <w:right w:val="nil"/>
            </w:tcBorders>
            <w:vAlign w:val="center"/>
          </w:tcPr>
          <w:p w14:paraId="449CC91F" w14:textId="77777777" w:rsidR="00A4469D" w:rsidRDefault="00A4469D" w:rsidP="009E6532">
            <w:pPr>
              <w:pStyle w:val="08-Tabelageral"/>
              <w:spacing w:line="256" w:lineRule="auto"/>
              <w:ind w:left="308"/>
              <w:rPr>
                <w:rFonts w:cs="Arial"/>
                <w:b/>
                <w:szCs w:val="14"/>
                <w:lang w:eastAsia="en-US"/>
              </w:rPr>
            </w:pPr>
          </w:p>
        </w:tc>
        <w:tc>
          <w:tcPr>
            <w:tcW w:w="1304" w:type="dxa"/>
            <w:tcBorders>
              <w:top w:val="single" w:sz="2" w:space="0" w:color="1F4E79" w:themeColor="accent1" w:themeShade="80"/>
              <w:left w:val="nil"/>
              <w:bottom w:val="single" w:sz="2" w:space="0" w:color="1F4E79" w:themeColor="accent1" w:themeShade="80"/>
              <w:right w:val="nil"/>
            </w:tcBorders>
            <w:vAlign w:val="center"/>
            <w:hideMark/>
          </w:tcPr>
          <w:p w14:paraId="4DDC8F6A" w14:textId="77777777" w:rsidR="00A4469D" w:rsidRDefault="00A4469D" w:rsidP="009E6532">
            <w:pPr>
              <w:pStyle w:val="08-Tabelageral"/>
              <w:spacing w:line="256" w:lineRule="auto"/>
              <w:rPr>
                <w:rFonts w:cs="Arial"/>
                <w:b/>
                <w:szCs w:val="14"/>
                <w:lang w:eastAsia="en-US"/>
              </w:rPr>
            </w:pPr>
            <w:r>
              <w:rPr>
                <w:rFonts w:cs="Arial"/>
                <w:b/>
                <w:szCs w:val="14"/>
                <w:lang w:eastAsia="en-US"/>
              </w:rPr>
              <w:t>2022</w:t>
            </w:r>
          </w:p>
        </w:tc>
        <w:tc>
          <w:tcPr>
            <w:tcW w:w="289" w:type="dxa"/>
            <w:tcBorders>
              <w:top w:val="single" w:sz="2" w:space="0" w:color="1F4E79" w:themeColor="accent1" w:themeShade="80"/>
              <w:left w:val="nil"/>
              <w:bottom w:val="single" w:sz="2" w:space="0" w:color="1F4E79" w:themeColor="accent1" w:themeShade="80"/>
              <w:right w:val="nil"/>
            </w:tcBorders>
            <w:vAlign w:val="center"/>
          </w:tcPr>
          <w:p w14:paraId="2176B797" w14:textId="77777777" w:rsidR="00A4469D" w:rsidRDefault="00A4469D" w:rsidP="009E6532">
            <w:pPr>
              <w:pStyle w:val="08-Tabelageral"/>
              <w:spacing w:line="256" w:lineRule="auto"/>
              <w:rPr>
                <w:rFonts w:cs="Arial"/>
                <w:b/>
                <w:szCs w:val="14"/>
                <w:lang w:eastAsia="en-US"/>
              </w:rPr>
            </w:pPr>
          </w:p>
        </w:tc>
        <w:tc>
          <w:tcPr>
            <w:tcW w:w="1596" w:type="dxa"/>
            <w:tcBorders>
              <w:top w:val="single" w:sz="2" w:space="0" w:color="1F4E79" w:themeColor="accent1" w:themeShade="80"/>
              <w:left w:val="nil"/>
              <w:bottom w:val="single" w:sz="2" w:space="0" w:color="1F4E79" w:themeColor="accent1" w:themeShade="80"/>
              <w:right w:val="nil"/>
            </w:tcBorders>
            <w:vAlign w:val="center"/>
          </w:tcPr>
          <w:p w14:paraId="626DECC7" w14:textId="77777777" w:rsidR="00A4469D" w:rsidRDefault="00A4469D" w:rsidP="009E6532">
            <w:pPr>
              <w:pStyle w:val="08-Tabelageral"/>
              <w:spacing w:line="256" w:lineRule="auto"/>
              <w:ind w:left="314"/>
              <w:rPr>
                <w:rFonts w:cs="Arial"/>
                <w:b/>
                <w:szCs w:val="14"/>
                <w:lang w:eastAsia="en-US"/>
              </w:rPr>
            </w:pPr>
          </w:p>
        </w:tc>
        <w:tc>
          <w:tcPr>
            <w:tcW w:w="1219" w:type="dxa"/>
            <w:tcBorders>
              <w:top w:val="single" w:sz="2" w:space="0" w:color="1F4E79" w:themeColor="accent1" w:themeShade="80"/>
              <w:left w:val="nil"/>
              <w:bottom w:val="single" w:sz="2" w:space="0" w:color="1F4E79" w:themeColor="accent1" w:themeShade="80"/>
              <w:right w:val="nil"/>
            </w:tcBorders>
            <w:vAlign w:val="center"/>
            <w:hideMark/>
          </w:tcPr>
          <w:p w14:paraId="2E216EBA" w14:textId="77777777" w:rsidR="00A4469D" w:rsidRDefault="00A4469D" w:rsidP="009E6532">
            <w:pPr>
              <w:pStyle w:val="08-Tabelageral"/>
              <w:spacing w:line="256" w:lineRule="auto"/>
              <w:rPr>
                <w:rFonts w:cs="Arial"/>
                <w:b/>
                <w:szCs w:val="14"/>
                <w:lang w:eastAsia="en-US"/>
              </w:rPr>
            </w:pPr>
            <w:r>
              <w:rPr>
                <w:rFonts w:cs="Arial"/>
                <w:b/>
                <w:szCs w:val="14"/>
                <w:lang w:eastAsia="en-US"/>
              </w:rPr>
              <w:t>2021</w:t>
            </w:r>
          </w:p>
        </w:tc>
      </w:tr>
      <w:tr w:rsidR="00A4469D" w14:paraId="02C6A71E" w14:textId="77777777" w:rsidTr="0041270E">
        <w:trPr>
          <w:trHeight w:val="238"/>
          <w:jc w:val="center"/>
        </w:trPr>
        <w:tc>
          <w:tcPr>
            <w:tcW w:w="2892" w:type="dxa"/>
            <w:tcBorders>
              <w:top w:val="single" w:sz="2" w:space="0" w:color="1F4E79" w:themeColor="accent1" w:themeShade="80"/>
              <w:left w:val="nil"/>
              <w:bottom w:val="nil"/>
              <w:right w:val="nil"/>
            </w:tcBorders>
            <w:vAlign w:val="center"/>
            <w:hideMark/>
          </w:tcPr>
          <w:p w14:paraId="7B82CFF2" w14:textId="77777777" w:rsidR="00A4469D" w:rsidRDefault="00A4469D" w:rsidP="0041270E">
            <w:pPr>
              <w:pStyle w:val="08-Tabelageral"/>
              <w:spacing w:before="0" w:after="0"/>
              <w:jc w:val="left"/>
              <w:rPr>
                <w:rFonts w:cs="Arial"/>
                <w:b/>
                <w:bCs/>
                <w:szCs w:val="14"/>
                <w:lang w:eastAsia="en-US"/>
              </w:rPr>
            </w:pPr>
            <w:r>
              <w:rPr>
                <w:rFonts w:cs="Arial"/>
                <w:b/>
                <w:bCs/>
                <w:szCs w:val="14"/>
              </w:rPr>
              <w:t>Tax Lawsuits</w:t>
            </w:r>
          </w:p>
        </w:tc>
        <w:tc>
          <w:tcPr>
            <w:tcW w:w="616" w:type="dxa"/>
            <w:tcBorders>
              <w:top w:val="single" w:sz="2" w:space="0" w:color="1F4E79" w:themeColor="accent1" w:themeShade="80"/>
              <w:left w:val="nil"/>
              <w:bottom w:val="nil"/>
              <w:right w:val="nil"/>
            </w:tcBorders>
            <w:vAlign w:val="center"/>
          </w:tcPr>
          <w:p w14:paraId="6470661B" w14:textId="77777777" w:rsidR="00A4469D" w:rsidRDefault="00A4469D" w:rsidP="00D102D0">
            <w:pPr>
              <w:pStyle w:val="08-Tabelageral"/>
              <w:spacing w:before="0" w:after="0"/>
              <w:rPr>
                <w:rFonts w:cs="Arial"/>
                <w:b/>
                <w:bCs/>
                <w:szCs w:val="14"/>
                <w:lang w:eastAsia="en-US"/>
              </w:rPr>
            </w:pPr>
          </w:p>
        </w:tc>
        <w:tc>
          <w:tcPr>
            <w:tcW w:w="1723" w:type="dxa"/>
            <w:tcBorders>
              <w:top w:val="single" w:sz="2" w:space="0" w:color="1F4E79" w:themeColor="accent1" w:themeShade="80"/>
              <w:left w:val="nil"/>
              <w:bottom w:val="nil"/>
              <w:right w:val="nil"/>
            </w:tcBorders>
            <w:vAlign w:val="center"/>
          </w:tcPr>
          <w:p w14:paraId="470A08ED" w14:textId="77777777" w:rsidR="00A4469D" w:rsidRDefault="00A4469D" w:rsidP="0041270E">
            <w:pPr>
              <w:pStyle w:val="08-Tabelageral"/>
              <w:spacing w:before="0" w:after="0"/>
              <w:rPr>
                <w:rFonts w:cs="Arial"/>
                <w:b/>
                <w:bCs/>
                <w:szCs w:val="14"/>
                <w:lang w:eastAsia="en-US"/>
              </w:rPr>
            </w:pPr>
          </w:p>
        </w:tc>
        <w:tc>
          <w:tcPr>
            <w:tcW w:w="1304" w:type="dxa"/>
            <w:tcBorders>
              <w:top w:val="single" w:sz="2" w:space="0" w:color="1F4E79" w:themeColor="accent1" w:themeShade="80"/>
              <w:left w:val="nil"/>
              <w:bottom w:val="nil"/>
              <w:right w:val="nil"/>
            </w:tcBorders>
            <w:vAlign w:val="center"/>
          </w:tcPr>
          <w:p w14:paraId="6705543F" w14:textId="77777777" w:rsidR="00A4469D" w:rsidRDefault="00A4469D" w:rsidP="0041270E">
            <w:pPr>
              <w:pStyle w:val="08-Tabelageral"/>
              <w:spacing w:before="0" w:after="0"/>
              <w:rPr>
                <w:rFonts w:cs="Arial"/>
                <w:b/>
                <w:bCs/>
                <w:szCs w:val="14"/>
                <w:lang w:eastAsia="en-US"/>
              </w:rPr>
            </w:pPr>
          </w:p>
        </w:tc>
        <w:tc>
          <w:tcPr>
            <w:tcW w:w="289" w:type="dxa"/>
            <w:tcBorders>
              <w:top w:val="single" w:sz="2" w:space="0" w:color="1F4E79" w:themeColor="accent1" w:themeShade="80"/>
              <w:left w:val="nil"/>
              <w:bottom w:val="nil"/>
              <w:right w:val="nil"/>
            </w:tcBorders>
            <w:vAlign w:val="center"/>
          </w:tcPr>
          <w:p w14:paraId="527DE128" w14:textId="77777777" w:rsidR="00A4469D" w:rsidRDefault="00A4469D" w:rsidP="0041270E">
            <w:pPr>
              <w:pStyle w:val="08-Tabelageral"/>
              <w:spacing w:before="0" w:after="0"/>
              <w:rPr>
                <w:rFonts w:cs="Arial"/>
                <w:b/>
                <w:bCs/>
                <w:szCs w:val="14"/>
                <w:lang w:eastAsia="en-US"/>
              </w:rPr>
            </w:pPr>
          </w:p>
        </w:tc>
        <w:tc>
          <w:tcPr>
            <w:tcW w:w="1596" w:type="dxa"/>
            <w:tcBorders>
              <w:top w:val="single" w:sz="2" w:space="0" w:color="1F4E79" w:themeColor="accent1" w:themeShade="80"/>
              <w:left w:val="nil"/>
              <w:bottom w:val="nil"/>
              <w:right w:val="nil"/>
            </w:tcBorders>
            <w:vAlign w:val="center"/>
          </w:tcPr>
          <w:p w14:paraId="4233A76E" w14:textId="77777777" w:rsidR="00A4469D" w:rsidRDefault="00A4469D" w:rsidP="0041270E">
            <w:pPr>
              <w:pStyle w:val="08-Tabelageral"/>
              <w:spacing w:before="0" w:after="0"/>
              <w:rPr>
                <w:rFonts w:cs="Arial"/>
                <w:b/>
                <w:bCs/>
                <w:szCs w:val="14"/>
                <w:lang w:eastAsia="en-US"/>
              </w:rPr>
            </w:pPr>
          </w:p>
        </w:tc>
        <w:tc>
          <w:tcPr>
            <w:tcW w:w="1219" w:type="dxa"/>
            <w:tcBorders>
              <w:top w:val="single" w:sz="2" w:space="0" w:color="1F4E79" w:themeColor="accent1" w:themeShade="80"/>
              <w:left w:val="nil"/>
              <w:bottom w:val="nil"/>
              <w:right w:val="nil"/>
            </w:tcBorders>
            <w:vAlign w:val="center"/>
          </w:tcPr>
          <w:p w14:paraId="52AAF004" w14:textId="77777777" w:rsidR="00A4469D" w:rsidRDefault="00A4469D" w:rsidP="0041270E">
            <w:pPr>
              <w:pStyle w:val="08-Tabelageral"/>
              <w:spacing w:before="0" w:after="0"/>
              <w:rPr>
                <w:rFonts w:cs="Arial"/>
                <w:b/>
                <w:bCs/>
                <w:szCs w:val="14"/>
                <w:lang w:eastAsia="en-US"/>
              </w:rPr>
            </w:pPr>
          </w:p>
        </w:tc>
      </w:tr>
      <w:tr w:rsidR="00A4469D" w14:paraId="5B37884C" w14:textId="77777777" w:rsidTr="0041270E">
        <w:trPr>
          <w:trHeight w:val="238"/>
          <w:jc w:val="center"/>
        </w:trPr>
        <w:tc>
          <w:tcPr>
            <w:tcW w:w="2892" w:type="dxa"/>
            <w:tcBorders>
              <w:top w:val="nil"/>
              <w:left w:val="nil"/>
              <w:bottom w:val="nil"/>
              <w:right w:val="nil"/>
            </w:tcBorders>
            <w:vAlign w:val="center"/>
            <w:hideMark/>
          </w:tcPr>
          <w:p w14:paraId="1A05DF53" w14:textId="77777777" w:rsidR="00A4469D" w:rsidRDefault="00A4469D" w:rsidP="009E6532">
            <w:pPr>
              <w:pStyle w:val="08-Tabelageral"/>
              <w:spacing w:before="0" w:after="0"/>
              <w:jc w:val="left"/>
              <w:rPr>
                <w:rFonts w:cs="Arial"/>
                <w:b/>
                <w:szCs w:val="14"/>
                <w:lang w:eastAsia="en-US"/>
              </w:rPr>
            </w:pPr>
            <w:r>
              <w:rPr>
                <w:rFonts w:cs="Arial"/>
                <w:b/>
                <w:szCs w:val="14"/>
              </w:rPr>
              <w:t>Initial balance</w:t>
            </w:r>
          </w:p>
        </w:tc>
        <w:tc>
          <w:tcPr>
            <w:tcW w:w="616" w:type="dxa"/>
            <w:tcBorders>
              <w:top w:val="nil"/>
              <w:left w:val="nil"/>
              <w:bottom w:val="nil"/>
              <w:right w:val="nil"/>
            </w:tcBorders>
            <w:vAlign w:val="center"/>
          </w:tcPr>
          <w:p w14:paraId="6E553A2F" w14:textId="77777777" w:rsidR="00A4469D" w:rsidRDefault="00A4469D" w:rsidP="009E6532">
            <w:pPr>
              <w:pStyle w:val="08-Tabelageral"/>
              <w:spacing w:before="0" w:after="0"/>
              <w:rPr>
                <w:rFonts w:cs="Arial"/>
                <w:b/>
                <w:bCs/>
                <w:szCs w:val="14"/>
                <w:lang w:eastAsia="en-US"/>
              </w:rPr>
            </w:pPr>
          </w:p>
        </w:tc>
        <w:tc>
          <w:tcPr>
            <w:tcW w:w="1723" w:type="dxa"/>
            <w:tcBorders>
              <w:top w:val="nil"/>
              <w:left w:val="nil"/>
              <w:bottom w:val="nil"/>
              <w:right w:val="nil"/>
            </w:tcBorders>
            <w:vAlign w:val="center"/>
          </w:tcPr>
          <w:p w14:paraId="56A61568" w14:textId="77777777" w:rsidR="00A4469D" w:rsidRDefault="00A4469D" w:rsidP="009E6532">
            <w:pPr>
              <w:pStyle w:val="08-Tabelageral"/>
              <w:spacing w:before="0" w:after="0"/>
              <w:rPr>
                <w:rFonts w:cs="Arial"/>
                <w:b/>
                <w:bCs/>
                <w:szCs w:val="14"/>
                <w:lang w:eastAsia="en-US"/>
              </w:rPr>
            </w:pPr>
          </w:p>
        </w:tc>
        <w:tc>
          <w:tcPr>
            <w:tcW w:w="1304" w:type="dxa"/>
            <w:tcBorders>
              <w:top w:val="nil"/>
              <w:left w:val="nil"/>
              <w:bottom w:val="nil"/>
              <w:right w:val="nil"/>
            </w:tcBorders>
            <w:vAlign w:val="center"/>
            <w:hideMark/>
          </w:tcPr>
          <w:p w14:paraId="3C902C32" w14:textId="77777777" w:rsidR="00A4469D" w:rsidRDefault="00A4469D" w:rsidP="009E6532">
            <w:pPr>
              <w:pStyle w:val="08-Tabelageral"/>
              <w:spacing w:before="0" w:after="0"/>
              <w:rPr>
                <w:rFonts w:cs="Arial"/>
                <w:b/>
                <w:bCs/>
                <w:szCs w:val="14"/>
                <w:lang w:eastAsia="en-US"/>
              </w:rPr>
            </w:pPr>
            <w:r w:rsidRPr="00646621">
              <w:rPr>
                <w:rFonts w:cs="Arial"/>
                <w:b/>
                <w:bCs/>
                <w:szCs w:val="14"/>
              </w:rPr>
              <w:t>1</w:t>
            </w:r>
            <w:r>
              <w:rPr>
                <w:rFonts w:cs="Arial"/>
                <w:b/>
                <w:bCs/>
                <w:szCs w:val="14"/>
              </w:rPr>
              <w:t>,</w:t>
            </w:r>
            <w:r w:rsidRPr="00646621">
              <w:rPr>
                <w:rFonts w:cs="Arial"/>
                <w:b/>
                <w:bCs/>
                <w:szCs w:val="14"/>
              </w:rPr>
              <w:t>130</w:t>
            </w:r>
          </w:p>
        </w:tc>
        <w:tc>
          <w:tcPr>
            <w:tcW w:w="289" w:type="dxa"/>
            <w:tcBorders>
              <w:top w:val="nil"/>
              <w:left w:val="nil"/>
              <w:bottom w:val="nil"/>
              <w:right w:val="nil"/>
            </w:tcBorders>
            <w:vAlign w:val="center"/>
          </w:tcPr>
          <w:p w14:paraId="01FC45D9" w14:textId="77777777" w:rsidR="00A4469D" w:rsidRDefault="00A4469D" w:rsidP="009E6532">
            <w:pPr>
              <w:pStyle w:val="08-Tabelageral"/>
              <w:spacing w:before="0" w:after="0"/>
              <w:rPr>
                <w:rFonts w:cs="Arial"/>
                <w:b/>
                <w:bCs/>
                <w:szCs w:val="14"/>
                <w:lang w:eastAsia="en-US"/>
              </w:rPr>
            </w:pPr>
          </w:p>
        </w:tc>
        <w:tc>
          <w:tcPr>
            <w:tcW w:w="1596" w:type="dxa"/>
            <w:tcBorders>
              <w:top w:val="nil"/>
              <w:left w:val="nil"/>
              <w:bottom w:val="nil"/>
              <w:right w:val="nil"/>
            </w:tcBorders>
            <w:vAlign w:val="center"/>
          </w:tcPr>
          <w:p w14:paraId="4610347A" w14:textId="77777777" w:rsidR="00A4469D" w:rsidRDefault="00A4469D" w:rsidP="009E6532">
            <w:pPr>
              <w:pStyle w:val="08-Tabelageral"/>
              <w:spacing w:before="0" w:after="0"/>
              <w:rPr>
                <w:rFonts w:cs="Arial"/>
                <w:b/>
                <w:bCs/>
                <w:szCs w:val="14"/>
                <w:lang w:eastAsia="en-US"/>
              </w:rPr>
            </w:pPr>
          </w:p>
        </w:tc>
        <w:tc>
          <w:tcPr>
            <w:tcW w:w="1219" w:type="dxa"/>
            <w:tcBorders>
              <w:top w:val="nil"/>
              <w:left w:val="nil"/>
              <w:bottom w:val="nil"/>
              <w:right w:val="nil"/>
            </w:tcBorders>
            <w:vAlign w:val="center"/>
            <w:hideMark/>
          </w:tcPr>
          <w:p w14:paraId="76BA1153" w14:textId="77777777" w:rsidR="00A4469D" w:rsidRDefault="00A4469D" w:rsidP="009E6532">
            <w:pPr>
              <w:pStyle w:val="08-Tabelageral"/>
              <w:spacing w:before="0" w:after="0"/>
              <w:rPr>
                <w:rFonts w:cs="Arial"/>
                <w:b/>
                <w:bCs/>
                <w:szCs w:val="14"/>
                <w:lang w:eastAsia="en-US"/>
              </w:rPr>
            </w:pPr>
            <w:r>
              <w:rPr>
                <w:rFonts w:cs="Arial"/>
                <w:b/>
                <w:bCs/>
                <w:color w:val="000000"/>
                <w:szCs w:val="14"/>
              </w:rPr>
              <w:t>1,440</w:t>
            </w:r>
          </w:p>
        </w:tc>
      </w:tr>
      <w:tr w:rsidR="00A4469D" w14:paraId="5B60251F" w14:textId="77777777" w:rsidTr="0041270E">
        <w:trPr>
          <w:trHeight w:val="238"/>
          <w:jc w:val="center"/>
        </w:trPr>
        <w:tc>
          <w:tcPr>
            <w:tcW w:w="2892" w:type="dxa"/>
            <w:tcBorders>
              <w:top w:val="nil"/>
              <w:left w:val="nil"/>
              <w:bottom w:val="nil"/>
              <w:right w:val="nil"/>
            </w:tcBorders>
            <w:vAlign w:val="center"/>
            <w:hideMark/>
          </w:tcPr>
          <w:p w14:paraId="7C74C238" w14:textId="77777777" w:rsidR="00A4469D" w:rsidRDefault="00A4469D" w:rsidP="009E6532">
            <w:pPr>
              <w:pStyle w:val="08-Tabelageral"/>
              <w:spacing w:before="0" w:after="0"/>
              <w:jc w:val="left"/>
              <w:rPr>
                <w:rFonts w:cs="Arial"/>
                <w:szCs w:val="14"/>
                <w:lang w:eastAsia="en-US"/>
              </w:rPr>
            </w:pPr>
            <w:r>
              <w:rPr>
                <w:rFonts w:cs="Arial"/>
                <w:szCs w:val="14"/>
              </w:rPr>
              <w:t>Addition</w:t>
            </w:r>
            <w:r w:rsidRPr="00A33E7B">
              <w:rPr>
                <w:rFonts w:cs="Arial"/>
                <w:szCs w:val="14"/>
              </w:rPr>
              <w:t>/</w:t>
            </w:r>
            <w:r>
              <w:rPr>
                <w:rFonts w:cs="Arial"/>
                <w:szCs w:val="14"/>
              </w:rPr>
              <w:t xml:space="preserve">Update </w:t>
            </w:r>
            <w:r w:rsidRPr="00A33E7B">
              <w:rPr>
                <w:rFonts w:cs="Arial"/>
                <w:szCs w:val="14"/>
                <w:vertAlign w:val="superscript"/>
              </w:rPr>
              <w:t>(1)</w:t>
            </w:r>
          </w:p>
        </w:tc>
        <w:tc>
          <w:tcPr>
            <w:tcW w:w="616" w:type="dxa"/>
            <w:tcBorders>
              <w:top w:val="nil"/>
              <w:left w:val="nil"/>
              <w:bottom w:val="nil"/>
              <w:right w:val="nil"/>
            </w:tcBorders>
            <w:vAlign w:val="center"/>
          </w:tcPr>
          <w:p w14:paraId="264BCCCA" w14:textId="77777777" w:rsidR="00A4469D" w:rsidRDefault="00A4469D" w:rsidP="009E6532">
            <w:pPr>
              <w:pStyle w:val="08-Tabelageral"/>
              <w:spacing w:before="0" w:after="0"/>
              <w:rPr>
                <w:rFonts w:cs="Arial"/>
                <w:bCs/>
                <w:szCs w:val="14"/>
                <w:lang w:eastAsia="en-US"/>
              </w:rPr>
            </w:pPr>
          </w:p>
        </w:tc>
        <w:tc>
          <w:tcPr>
            <w:tcW w:w="1723" w:type="dxa"/>
            <w:tcBorders>
              <w:top w:val="nil"/>
              <w:left w:val="nil"/>
              <w:bottom w:val="nil"/>
              <w:right w:val="nil"/>
            </w:tcBorders>
            <w:vAlign w:val="center"/>
          </w:tcPr>
          <w:p w14:paraId="44FC3155" w14:textId="77777777" w:rsidR="00A4469D" w:rsidRDefault="00A4469D" w:rsidP="009E6532">
            <w:pPr>
              <w:pStyle w:val="08-Tabelageral"/>
              <w:spacing w:before="0" w:after="0"/>
              <w:rPr>
                <w:rFonts w:cs="Arial"/>
                <w:bCs/>
                <w:szCs w:val="14"/>
                <w:lang w:eastAsia="en-US"/>
              </w:rPr>
            </w:pPr>
          </w:p>
        </w:tc>
        <w:tc>
          <w:tcPr>
            <w:tcW w:w="1304" w:type="dxa"/>
            <w:tcBorders>
              <w:top w:val="nil"/>
              <w:left w:val="nil"/>
              <w:bottom w:val="nil"/>
              <w:right w:val="nil"/>
            </w:tcBorders>
            <w:vAlign w:val="center"/>
            <w:hideMark/>
          </w:tcPr>
          <w:p w14:paraId="19FD5C74" w14:textId="77777777" w:rsidR="00A4469D" w:rsidRDefault="00A4469D" w:rsidP="009E6532">
            <w:pPr>
              <w:pStyle w:val="08-Tabelageral"/>
              <w:spacing w:before="0" w:after="0"/>
              <w:rPr>
                <w:rFonts w:cs="Arial"/>
                <w:bCs/>
                <w:szCs w:val="14"/>
                <w:lang w:eastAsia="en-US"/>
              </w:rPr>
            </w:pPr>
            <w:r>
              <w:rPr>
                <w:rFonts w:cs="Arial"/>
                <w:bCs/>
                <w:szCs w:val="14"/>
              </w:rPr>
              <w:t>155</w:t>
            </w:r>
          </w:p>
        </w:tc>
        <w:tc>
          <w:tcPr>
            <w:tcW w:w="289" w:type="dxa"/>
            <w:tcBorders>
              <w:top w:val="nil"/>
              <w:left w:val="nil"/>
              <w:bottom w:val="nil"/>
              <w:right w:val="nil"/>
            </w:tcBorders>
            <w:vAlign w:val="center"/>
          </w:tcPr>
          <w:p w14:paraId="27D08810" w14:textId="77777777" w:rsidR="00A4469D" w:rsidRDefault="00A4469D" w:rsidP="009E6532">
            <w:pPr>
              <w:pStyle w:val="08-Tabelageral"/>
              <w:spacing w:before="0" w:after="0"/>
              <w:rPr>
                <w:rFonts w:cs="Arial"/>
                <w:bCs/>
                <w:szCs w:val="14"/>
                <w:lang w:eastAsia="en-US"/>
              </w:rPr>
            </w:pPr>
          </w:p>
        </w:tc>
        <w:tc>
          <w:tcPr>
            <w:tcW w:w="1596" w:type="dxa"/>
            <w:tcBorders>
              <w:top w:val="nil"/>
              <w:left w:val="nil"/>
              <w:bottom w:val="nil"/>
              <w:right w:val="nil"/>
            </w:tcBorders>
            <w:vAlign w:val="center"/>
          </w:tcPr>
          <w:p w14:paraId="060090F4" w14:textId="77777777" w:rsidR="00A4469D" w:rsidRDefault="00A4469D" w:rsidP="009E6532">
            <w:pPr>
              <w:pStyle w:val="08-Tabelageral"/>
              <w:spacing w:before="0" w:after="0"/>
              <w:rPr>
                <w:rFonts w:cs="Arial"/>
                <w:bCs/>
                <w:szCs w:val="14"/>
                <w:lang w:eastAsia="en-US"/>
              </w:rPr>
            </w:pPr>
          </w:p>
        </w:tc>
        <w:tc>
          <w:tcPr>
            <w:tcW w:w="1219" w:type="dxa"/>
            <w:tcBorders>
              <w:top w:val="nil"/>
              <w:left w:val="nil"/>
              <w:bottom w:val="nil"/>
              <w:right w:val="nil"/>
            </w:tcBorders>
            <w:vAlign w:val="center"/>
            <w:hideMark/>
          </w:tcPr>
          <w:p w14:paraId="5EC58A86" w14:textId="77777777" w:rsidR="00A4469D" w:rsidRDefault="00A4469D" w:rsidP="009E6532">
            <w:pPr>
              <w:pStyle w:val="08-Tabelageral"/>
              <w:spacing w:before="0" w:after="0"/>
              <w:rPr>
                <w:rFonts w:cs="Arial"/>
                <w:bCs/>
                <w:szCs w:val="14"/>
                <w:lang w:eastAsia="en-US"/>
              </w:rPr>
            </w:pPr>
            <w:r>
              <w:rPr>
                <w:rFonts w:cs="Arial"/>
                <w:color w:val="000000"/>
                <w:szCs w:val="14"/>
              </w:rPr>
              <w:t>48</w:t>
            </w:r>
          </w:p>
        </w:tc>
      </w:tr>
      <w:tr w:rsidR="00A4469D" w14:paraId="786D3A8B" w14:textId="77777777" w:rsidTr="0041270E">
        <w:trPr>
          <w:trHeight w:val="238"/>
          <w:jc w:val="center"/>
        </w:trPr>
        <w:tc>
          <w:tcPr>
            <w:tcW w:w="2892" w:type="dxa"/>
            <w:tcBorders>
              <w:top w:val="nil"/>
              <w:left w:val="nil"/>
              <w:bottom w:val="nil"/>
              <w:right w:val="nil"/>
            </w:tcBorders>
            <w:vAlign w:val="center"/>
            <w:hideMark/>
          </w:tcPr>
          <w:p w14:paraId="127D0C6D" w14:textId="77777777" w:rsidR="00A4469D" w:rsidRDefault="00A4469D" w:rsidP="009E6532">
            <w:pPr>
              <w:pStyle w:val="08-Tabelageral"/>
              <w:spacing w:before="0" w:after="0"/>
              <w:jc w:val="left"/>
              <w:rPr>
                <w:rFonts w:cs="Arial"/>
                <w:szCs w:val="14"/>
                <w:lang w:eastAsia="en-US"/>
              </w:rPr>
            </w:pPr>
            <w:r w:rsidRPr="00A33E7B">
              <w:rPr>
                <w:rFonts w:cs="Arial"/>
                <w:szCs w:val="14"/>
              </w:rPr>
              <w:t>Rever</w:t>
            </w:r>
            <w:r>
              <w:rPr>
                <w:rFonts w:cs="Arial"/>
                <w:szCs w:val="14"/>
              </w:rPr>
              <w:t>sal of the provision</w:t>
            </w:r>
          </w:p>
        </w:tc>
        <w:tc>
          <w:tcPr>
            <w:tcW w:w="616" w:type="dxa"/>
            <w:tcBorders>
              <w:top w:val="nil"/>
              <w:left w:val="nil"/>
              <w:bottom w:val="nil"/>
              <w:right w:val="nil"/>
            </w:tcBorders>
            <w:vAlign w:val="center"/>
          </w:tcPr>
          <w:p w14:paraId="6252763B" w14:textId="77777777" w:rsidR="00A4469D" w:rsidRDefault="00A4469D" w:rsidP="009E6532">
            <w:pPr>
              <w:pStyle w:val="08-Tabelageral"/>
              <w:spacing w:before="0" w:after="0"/>
              <w:rPr>
                <w:rFonts w:cs="Arial"/>
                <w:bCs/>
                <w:szCs w:val="14"/>
                <w:lang w:eastAsia="en-US"/>
              </w:rPr>
            </w:pPr>
          </w:p>
        </w:tc>
        <w:tc>
          <w:tcPr>
            <w:tcW w:w="1723" w:type="dxa"/>
            <w:tcBorders>
              <w:top w:val="nil"/>
              <w:left w:val="nil"/>
              <w:bottom w:val="nil"/>
              <w:right w:val="nil"/>
            </w:tcBorders>
            <w:vAlign w:val="center"/>
          </w:tcPr>
          <w:p w14:paraId="108E9DF6" w14:textId="77777777" w:rsidR="00A4469D" w:rsidRDefault="00A4469D" w:rsidP="009E6532">
            <w:pPr>
              <w:pStyle w:val="08-Tabelageral"/>
              <w:spacing w:before="0" w:after="0"/>
              <w:rPr>
                <w:rFonts w:cs="Arial"/>
                <w:bCs/>
                <w:szCs w:val="14"/>
                <w:lang w:eastAsia="en-US"/>
              </w:rPr>
            </w:pPr>
          </w:p>
        </w:tc>
        <w:tc>
          <w:tcPr>
            <w:tcW w:w="1304" w:type="dxa"/>
            <w:tcBorders>
              <w:top w:val="nil"/>
              <w:left w:val="nil"/>
              <w:bottom w:val="nil"/>
              <w:right w:val="nil"/>
            </w:tcBorders>
            <w:vAlign w:val="center"/>
            <w:hideMark/>
          </w:tcPr>
          <w:p w14:paraId="4A4EA8C1" w14:textId="77777777" w:rsidR="00A4469D" w:rsidRDefault="00A4469D" w:rsidP="009E6532">
            <w:pPr>
              <w:pStyle w:val="08-Tabelageral"/>
              <w:spacing w:before="0" w:after="0"/>
              <w:rPr>
                <w:rFonts w:cs="Arial"/>
                <w:bCs/>
                <w:szCs w:val="14"/>
                <w:lang w:eastAsia="en-US"/>
              </w:rPr>
            </w:pPr>
            <w:r>
              <w:rPr>
                <w:rFonts w:cs="Arial"/>
                <w:bCs/>
                <w:szCs w:val="14"/>
              </w:rPr>
              <w:t>(1,278)</w:t>
            </w:r>
          </w:p>
        </w:tc>
        <w:tc>
          <w:tcPr>
            <w:tcW w:w="289" w:type="dxa"/>
            <w:tcBorders>
              <w:top w:val="nil"/>
              <w:left w:val="nil"/>
              <w:bottom w:val="nil"/>
              <w:right w:val="nil"/>
            </w:tcBorders>
            <w:vAlign w:val="center"/>
          </w:tcPr>
          <w:p w14:paraId="46ACCB68" w14:textId="77777777" w:rsidR="00A4469D" w:rsidRDefault="00A4469D" w:rsidP="009E6532">
            <w:pPr>
              <w:pStyle w:val="08-Tabelageral"/>
              <w:spacing w:before="0" w:after="0"/>
              <w:rPr>
                <w:rFonts w:cs="Arial"/>
                <w:bCs/>
                <w:szCs w:val="14"/>
                <w:lang w:eastAsia="en-US"/>
              </w:rPr>
            </w:pPr>
          </w:p>
        </w:tc>
        <w:tc>
          <w:tcPr>
            <w:tcW w:w="1596" w:type="dxa"/>
            <w:tcBorders>
              <w:top w:val="nil"/>
              <w:left w:val="nil"/>
              <w:bottom w:val="nil"/>
              <w:right w:val="nil"/>
            </w:tcBorders>
            <w:vAlign w:val="center"/>
          </w:tcPr>
          <w:p w14:paraId="6E041FB5" w14:textId="77777777" w:rsidR="00A4469D" w:rsidRDefault="00A4469D" w:rsidP="009E6532">
            <w:pPr>
              <w:pStyle w:val="08-Tabelageral"/>
              <w:spacing w:before="0" w:after="0"/>
              <w:rPr>
                <w:rFonts w:cs="Arial"/>
                <w:bCs/>
                <w:szCs w:val="14"/>
                <w:lang w:eastAsia="en-US"/>
              </w:rPr>
            </w:pPr>
          </w:p>
        </w:tc>
        <w:tc>
          <w:tcPr>
            <w:tcW w:w="1219" w:type="dxa"/>
            <w:tcBorders>
              <w:top w:val="nil"/>
              <w:left w:val="nil"/>
              <w:bottom w:val="nil"/>
              <w:right w:val="nil"/>
            </w:tcBorders>
            <w:vAlign w:val="center"/>
            <w:hideMark/>
          </w:tcPr>
          <w:p w14:paraId="2F41552C" w14:textId="77777777" w:rsidR="00A4469D" w:rsidRDefault="00A4469D" w:rsidP="009E6532">
            <w:pPr>
              <w:pStyle w:val="08-Tabelageral"/>
              <w:spacing w:before="0" w:after="0"/>
              <w:rPr>
                <w:rFonts w:cs="Arial"/>
                <w:bCs/>
                <w:szCs w:val="14"/>
                <w:lang w:eastAsia="en-US"/>
              </w:rPr>
            </w:pPr>
            <w:r>
              <w:rPr>
                <w:rFonts w:cs="Arial"/>
                <w:color w:val="000000"/>
                <w:szCs w:val="14"/>
              </w:rPr>
              <w:t>(358)</w:t>
            </w:r>
          </w:p>
        </w:tc>
      </w:tr>
      <w:tr w:rsidR="00A4469D" w14:paraId="4B6E0F74" w14:textId="77777777" w:rsidTr="0041270E">
        <w:trPr>
          <w:trHeight w:val="238"/>
          <w:jc w:val="center"/>
        </w:trPr>
        <w:tc>
          <w:tcPr>
            <w:tcW w:w="2892" w:type="dxa"/>
            <w:tcBorders>
              <w:top w:val="nil"/>
              <w:left w:val="nil"/>
              <w:bottom w:val="nil"/>
              <w:right w:val="nil"/>
            </w:tcBorders>
            <w:vAlign w:val="center"/>
            <w:hideMark/>
          </w:tcPr>
          <w:p w14:paraId="116BE43B" w14:textId="77777777" w:rsidR="00A4469D" w:rsidRDefault="00A4469D" w:rsidP="009E6532">
            <w:pPr>
              <w:pStyle w:val="08-Tabelageral"/>
              <w:spacing w:before="0" w:after="0"/>
              <w:jc w:val="left"/>
              <w:rPr>
                <w:rFonts w:cs="Arial"/>
                <w:szCs w:val="14"/>
                <w:lang w:eastAsia="en-US"/>
              </w:rPr>
            </w:pPr>
            <w:r>
              <w:rPr>
                <w:rFonts w:cs="Arial"/>
                <w:szCs w:val="14"/>
              </w:rPr>
              <w:t>W</w:t>
            </w:r>
            <w:r w:rsidRPr="00A23DAE">
              <w:rPr>
                <w:rFonts w:cs="Arial"/>
                <w:szCs w:val="14"/>
              </w:rPr>
              <w:t>rite-off by payment</w:t>
            </w:r>
          </w:p>
        </w:tc>
        <w:tc>
          <w:tcPr>
            <w:tcW w:w="616" w:type="dxa"/>
            <w:tcBorders>
              <w:top w:val="nil"/>
              <w:left w:val="nil"/>
              <w:bottom w:val="nil"/>
              <w:right w:val="nil"/>
            </w:tcBorders>
            <w:vAlign w:val="center"/>
          </w:tcPr>
          <w:p w14:paraId="731F571D" w14:textId="77777777" w:rsidR="00A4469D" w:rsidRDefault="00A4469D" w:rsidP="009E6532">
            <w:pPr>
              <w:pStyle w:val="08-Tabelageral"/>
              <w:spacing w:before="0" w:after="0"/>
              <w:rPr>
                <w:rFonts w:cs="Arial"/>
                <w:bCs/>
                <w:szCs w:val="14"/>
                <w:lang w:eastAsia="en-US"/>
              </w:rPr>
            </w:pPr>
          </w:p>
        </w:tc>
        <w:tc>
          <w:tcPr>
            <w:tcW w:w="1723" w:type="dxa"/>
            <w:tcBorders>
              <w:top w:val="nil"/>
              <w:left w:val="nil"/>
              <w:bottom w:val="nil"/>
              <w:right w:val="nil"/>
            </w:tcBorders>
            <w:vAlign w:val="center"/>
          </w:tcPr>
          <w:p w14:paraId="145DEFC5" w14:textId="77777777" w:rsidR="00A4469D" w:rsidRDefault="00A4469D" w:rsidP="009E6532">
            <w:pPr>
              <w:pStyle w:val="08-Tabelageral"/>
              <w:spacing w:before="0" w:after="0"/>
              <w:rPr>
                <w:rFonts w:cs="Arial"/>
                <w:bCs/>
                <w:szCs w:val="14"/>
                <w:lang w:eastAsia="en-US"/>
              </w:rPr>
            </w:pPr>
          </w:p>
        </w:tc>
        <w:tc>
          <w:tcPr>
            <w:tcW w:w="1304" w:type="dxa"/>
            <w:tcBorders>
              <w:top w:val="nil"/>
              <w:left w:val="nil"/>
              <w:bottom w:val="nil"/>
              <w:right w:val="nil"/>
            </w:tcBorders>
            <w:vAlign w:val="center"/>
            <w:hideMark/>
          </w:tcPr>
          <w:p w14:paraId="72C41255" w14:textId="77777777" w:rsidR="00A4469D" w:rsidRDefault="00A4469D" w:rsidP="009E6532">
            <w:pPr>
              <w:pStyle w:val="08-Tabelageral"/>
              <w:spacing w:before="0" w:after="0"/>
              <w:rPr>
                <w:rFonts w:cs="Arial"/>
                <w:bCs/>
                <w:szCs w:val="14"/>
                <w:lang w:eastAsia="en-US"/>
              </w:rPr>
            </w:pPr>
            <w:r>
              <w:rPr>
                <w:rFonts w:cs="Arial"/>
                <w:bCs/>
                <w:szCs w:val="14"/>
              </w:rPr>
              <w:t>--</w:t>
            </w:r>
          </w:p>
        </w:tc>
        <w:tc>
          <w:tcPr>
            <w:tcW w:w="289" w:type="dxa"/>
            <w:tcBorders>
              <w:top w:val="nil"/>
              <w:left w:val="nil"/>
              <w:bottom w:val="nil"/>
              <w:right w:val="nil"/>
            </w:tcBorders>
            <w:vAlign w:val="center"/>
          </w:tcPr>
          <w:p w14:paraId="670048CD" w14:textId="77777777" w:rsidR="00A4469D" w:rsidRDefault="00A4469D" w:rsidP="009E6532">
            <w:pPr>
              <w:pStyle w:val="08-Tabelageral"/>
              <w:spacing w:before="0" w:after="0"/>
              <w:rPr>
                <w:rFonts w:cs="Arial"/>
                <w:bCs/>
                <w:szCs w:val="14"/>
                <w:lang w:eastAsia="en-US"/>
              </w:rPr>
            </w:pPr>
          </w:p>
        </w:tc>
        <w:tc>
          <w:tcPr>
            <w:tcW w:w="1596" w:type="dxa"/>
            <w:tcBorders>
              <w:top w:val="nil"/>
              <w:left w:val="nil"/>
              <w:bottom w:val="nil"/>
              <w:right w:val="nil"/>
            </w:tcBorders>
            <w:vAlign w:val="center"/>
          </w:tcPr>
          <w:p w14:paraId="10F5DF7B" w14:textId="77777777" w:rsidR="00A4469D" w:rsidRDefault="00A4469D" w:rsidP="009E6532">
            <w:pPr>
              <w:pStyle w:val="08-Tabelageral"/>
              <w:spacing w:before="0" w:after="0"/>
              <w:rPr>
                <w:rFonts w:cs="Arial"/>
                <w:bCs/>
                <w:szCs w:val="14"/>
                <w:lang w:eastAsia="en-US"/>
              </w:rPr>
            </w:pPr>
          </w:p>
        </w:tc>
        <w:tc>
          <w:tcPr>
            <w:tcW w:w="1219" w:type="dxa"/>
            <w:tcBorders>
              <w:top w:val="nil"/>
              <w:left w:val="nil"/>
              <w:bottom w:val="nil"/>
              <w:right w:val="nil"/>
            </w:tcBorders>
            <w:vAlign w:val="center"/>
            <w:hideMark/>
          </w:tcPr>
          <w:p w14:paraId="438B2097" w14:textId="77777777" w:rsidR="00A4469D" w:rsidRDefault="00A4469D" w:rsidP="009E6532">
            <w:pPr>
              <w:pStyle w:val="08-Tabelageral"/>
              <w:spacing w:before="0" w:after="0"/>
              <w:rPr>
                <w:rFonts w:cs="Arial"/>
                <w:bCs/>
                <w:szCs w:val="14"/>
                <w:lang w:eastAsia="en-US"/>
              </w:rPr>
            </w:pPr>
            <w:r>
              <w:rPr>
                <w:rFonts w:cs="Arial"/>
                <w:color w:val="000000"/>
                <w:szCs w:val="14"/>
              </w:rPr>
              <w:t>--</w:t>
            </w:r>
          </w:p>
        </w:tc>
      </w:tr>
      <w:tr w:rsidR="00A4469D" w14:paraId="5445F891" w14:textId="77777777" w:rsidTr="0041270E">
        <w:trPr>
          <w:trHeight w:val="238"/>
          <w:jc w:val="center"/>
        </w:trPr>
        <w:tc>
          <w:tcPr>
            <w:tcW w:w="2892" w:type="dxa"/>
            <w:tcBorders>
              <w:top w:val="nil"/>
              <w:left w:val="nil"/>
              <w:bottom w:val="nil"/>
              <w:right w:val="nil"/>
            </w:tcBorders>
            <w:vAlign w:val="center"/>
            <w:hideMark/>
          </w:tcPr>
          <w:p w14:paraId="5853C3BC" w14:textId="77777777" w:rsidR="00A4469D" w:rsidRDefault="00A4469D" w:rsidP="009E6532">
            <w:pPr>
              <w:pStyle w:val="08-Tabelageral"/>
              <w:spacing w:before="0" w:after="0"/>
              <w:jc w:val="left"/>
              <w:rPr>
                <w:rFonts w:cs="Arial"/>
                <w:b/>
                <w:szCs w:val="14"/>
                <w:lang w:eastAsia="en-US"/>
              </w:rPr>
            </w:pPr>
            <w:r>
              <w:rPr>
                <w:rFonts w:cs="Arial"/>
                <w:b/>
                <w:szCs w:val="14"/>
              </w:rPr>
              <w:t>Closing balance</w:t>
            </w:r>
          </w:p>
        </w:tc>
        <w:tc>
          <w:tcPr>
            <w:tcW w:w="616" w:type="dxa"/>
            <w:tcBorders>
              <w:top w:val="nil"/>
              <w:left w:val="nil"/>
              <w:bottom w:val="nil"/>
              <w:right w:val="nil"/>
            </w:tcBorders>
            <w:vAlign w:val="center"/>
          </w:tcPr>
          <w:p w14:paraId="2088E109" w14:textId="77777777" w:rsidR="00A4469D" w:rsidRDefault="00A4469D" w:rsidP="009E6532">
            <w:pPr>
              <w:pStyle w:val="08-Tabelageral"/>
              <w:spacing w:before="0" w:after="0"/>
              <w:rPr>
                <w:rFonts w:cs="Arial"/>
                <w:b/>
                <w:bCs/>
                <w:szCs w:val="14"/>
                <w:lang w:eastAsia="en-US"/>
              </w:rPr>
            </w:pPr>
          </w:p>
        </w:tc>
        <w:tc>
          <w:tcPr>
            <w:tcW w:w="1723" w:type="dxa"/>
            <w:tcBorders>
              <w:top w:val="nil"/>
              <w:left w:val="nil"/>
              <w:bottom w:val="nil"/>
              <w:right w:val="nil"/>
            </w:tcBorders>
            <w:vAlign w:val="center"/>
          </w:tcPr>
          <w:p w14:paraId="3E2DD2AA" w14:textId="77777777" w:rsidR="00A4469D" w:rsidRDefault="00A4469D" w:rsidP="009E6532">
            <w:pPr>
              <w:pStyle w:val="08-Tabelageral"/>
              <w:spacing w:before="0" w:after="0"/>
              <w:rPr>
                <w:rFonts w:cs="Arial"/>
                <w:b/>
                <w:bCs/>
                <w:szCs w:val="14"/>
                <w:lang w:eastAsia="en-US"/>
              </w:rPr>
            </w:pPr>
          </w:p>
        </w:tc>
        <w:tc>
          <w:tcPr>
            <w:tcW w:w="1304" w:type="dxa"/>
            <w:tcBorders>
              <w:top w:val="nil"/>
              <w:left w:val="nil"/>
              <w:bottom w:val="nil"/>
              <w:right w:val="nil"/>
            </w:tcBorders>
            <w:vAlign w:val="center"/>
            <w:hideMark/>
          </w:tcPr>
          <w:p w14:paraId="7EF786AA" w14:textId="77777777" w:rsidR="00A4469D" w:rsidRDefault="00A4469D" w:rsidP="009E6532">
            <w:pPr>
              <w:pStyle w:val="08-Tabelageral"/>
              <w:spacing w:before="0" w:after="0"/>
              <w:rPr>
                <w:rFonts w:cs="Arial"/>
                <w:b/>
                <w:bCs/>
                <w:szCs w:val="14"/>
                <w:lang w:eastAsia="en-US"/>
              </w:rPr>
            </w:pPr>
            <w:r>
              <w:rPr>
                <w:rFonts w:cs="Arial"/>
                <w:b/>
                <w:bCs/>
                <w:szCs w:val="14"/>
              </w:rPr>
              <w:t>7</w:t>
            </w:r>
          </w:p>
        </w:tc>
        <w:tc>
          <w:tcPr>
            <w:tcW w:w="289" w:type="dxa"/>
            <w:tcBorders>
              <w:top w:val="nil"/>
              <w:left w:val="nil"/>
              <w:bottom w:val="nil"/>
              <w:right w:val="nil"/>
            </w:tcBorders>
            <w:vAlign w:val="center"/>
          </w:tcPr>
          <w:p w14:paraId="78F62FD3" w14:textId="77777777" w:rsidR="00A4469D" w:rsidRDefault="00A4469D" w:rsidP="009E6532">
            <w:pPr>
              <w:pStyle w:val="08-Tabelageral"/>
              <w:spacing w:before="0" w:after="0"/>
              <w:rPr>
                <w:rFonts w:cs="Arial"/>
                <w:b/>
                <w:bCs/>
                <w:szCs w:val="14"/>
                <w:lang w:eastAsia="en-US"/>
              </w:rPr>
            </w:pPr>
          </w:p>
        </w:tc>
        <w:tc>
          <w:tcPr>
            <w:tcW w:w="1596" w:type="dxa"/>
            <w:tcBorders>
              <w:top w:val="nil"/>
              <w:left w:val="nil"/>
              <w:bottom w:val="nil"/>
              <w:right w:val="nil"/>
            </w:tcBorders>
            <w:vAlign w:val="center"/>
          </w:tcPr>
          <w:p w14:paraId="1795AC76" w14:textId="77777777" w:rsidR="00A4469D" w:rsidRDefault="00A4469D" w:rsidP="009E6532">
            <w:pPr>
              <w:pStyle w:val="08-Tabelageral"/>
              <w:spacing w:before="0" w:after="0"/>
              <w:rPr>
                <w:rFonts w:cs="Arial"/>
                <w:b/>
                <w:bCs/>
                <w:szCs w:val="14"/>
                <w:lang w:eastAsia="en-US"/>
              </w:rPr>
            </w:pPr>
          </w:p>
        </w:tc>
        <w:tc>
          <w:tcPr>
            <w:tcW w:w="1219" w:type="dxa"/>
            <w:tcBorders>
              <w:top w:val="nil"/>
              <w:left w:val="nil"/>
              <w:bottom w:val="nil"/>
              <w:right w:val="nil"/>
            </w:tcBorders>
            <w:vAlign w:val="center"/>
            <w:hideMark/>
          </w:tcPr>
          <w:p w14:paraId="6405F99D" w14:textId="77777777" w:rsidR="00A4469D" w:rsidRDefault="00A4469D" w:rsidP="009E6532">
            <w:pPr>
              <w:pStyle w:val="08-Tabelageral"/>
              <w:spacing w:before="0" w:after="0"/>
              <w:rPr>
                <w:rFonts w:cs="Arial"/>
                <w:b/>
                <w:bCs/>
                <w:szCs w:val="14"/>
                <w:lang w:eastAsia="en-US"/>
              </w:rPr>
            </w:pPr>
            <w:r>
              <w:rPr>
                <w:rFonts w:cs="Arial"/>
                <w:b/>
                <w:bCs/>
                <w:color w:val="000000"/>
                <w:szCs w:val="14"/>
              </w:rPr>
              <w:t>1,130</w:t>
            </w:r>
          </w:p>
        </w:tc>
      </w:tr>
      <w:tr w:rsidR="00A4469D" w14:paraId="6BEFBA10" w14:textId="77777777" w:rsidTr="0041270E">
        <w:trPr>
          <w:trHeight w:val="238"/>
          <w:jc w:val="center"/>
        </w:trPr>
        <w:tc>
          <w:tcPr>
            <w:tcW w:w="2892" w:type="dxa"/>
            <w:tcBorders>
              <w:top w:val="nil"/>
              <w:left w:val="nil"/>
              <w:bottom w:val="nil"/>
              <w:right w:val="nil"/>
            </w:tcBorders>
            <w:vAlign w:val="center"/>
            <w:hideMark/>
          </w:tcPr>
          <w:p w14:paraId="1B5DA82C" w14:textId="77777777" w:rsidR="00A4469D" w:rsidRDefault="00A4469D" w:rsidP="009E6532">
            <w:pPr>
              <w:pStyle w:val="08-Tabelageral"/>
              <w:spacing w:before="0" w:after="0"/>
              <w:jc w:val="left"/>
              <w:rPr>
                <w:rFonts w:cs="Arial"/>
                <w:b/>
                <w:szCs w:val="14"/>
                <w:lang w:eastAsia="en-US"/>
              </w:rPr>
            </w:pPr>
            <w:r>
              <w:rPr>
                <w:rFonts w:cs="Arial"/>
                <w:b/>
                <w:szCs w:val="14"/>
              </w:rPr>
              <w:t>Civil Lawsuits</w:t>
            </w:r>
          </w:p>
        </w:tc>
        <w:tc>
          <w:tcPr>
            <w:tcW w:w="616" w:type="dxa"/>
            <w:tcBorders>
              <w:top w:val="nil"/>
              <w:left w:val="nil"/>
              <w:bottom w:val="nil"/>
              <w:right w:val="nil"/>
            </w:tcBorders>
            <w:vAlign w:val="center"/>
          </w:tcPr>
          <w:p w14:paraId="73095D20" w14:textId="77777777" w:rsidR="00A4469D" w:rsidRDefault="00A4469D" w:rsidP="009E6532">
            <w:pPr>
              <w:pStyle w:val="08-Tabelageral"/>
              <w:spacing w:before="0" w:after="0"/>
              <w:rPr>
                <w:rFonts w:cs="Arial"/>
                <w:b/>
                <w:bCs/>
                <w:szCs w:val="14"/>
                <w:lang w:eastAsia="en-US"/>
              </w:rPr>
            </w:pPr>
          </w:p>
        </w:tc>
        <w:tc>
          <w:tcPr>
            <w:tcW w:w="1723" w:type="dxa"/>
            <w:tcBorders>
              <w:top w:val="nil"/>
              <w:left w:val="nil"/>
              <w:bottom w:val="nil"/>
              <w:right w:val="nil"/>
            </w:tcBorders>
            <w:vAlign w:val="center"/>
          </w:tcPr>
          <w:p w14:paraId="494676DB" w14:textId="77777777" w:rsidR="00A4469D" w:rsidRDefault="00A4469D" w:rsidP="009E6532">
            <w:pPr>
              <w:pStyle w:val="08-Tabelageral"/>
              <w:spacing w:before="0" w:after="0"/>
              <w:rPr>
                <w:rFonts w:cs="Arial"/>
                <w:b/>
                <w:bCs/>
                <w:szCs w:val="14"/>
                <w:lang w:eastAsia="en-US"/>
              </w:rPr>
            </w:pPr>
          </w:p>
        </w:tc>
        <w:tc>
          <w:tcPr>
            <w:tcW w:w="1304" w:type="dxa"/>
            <w:tcBorders>
              <w:top w:val="nil"/>
              <w:left w:val="nil"/>
              <w:bottom w:val="nil"/>
              <w:right w:val="nil"/>
            </w:tcBorders>
            <w:vAlign w:val="center"/>
          </w:tcPr>
          <w:p w14:paraId="2F4A8E7E" w14:textId="77777777" w:rsidR="00A4469D" w:rsidRDefault="00A4469D" w:rsidP="009E6532">
            <w:pPr>
              <w:pStyle w:val="08-Tabelageral"/>
              <w:spacing w:before="0" w:after="0"/>
              <w:rPr>
                <w:rFonts w:cs="Arial"/>
                <w:b/>
                <w:bCs/>
                <w:szCs w:val="14"/>
                <w:lang w:eastAsia="en-US"/>
              </w:rPr>
            </w:pPr>
          </w:p>
        </w:tc>
        <w:tc>
          <w:tcPr>
            <w:tcW w:w="289" w:type="dxa"/>
            <w:tcBorders>
              <w:top w:val="nil"/>
              <w:left w:val="nil"/>
              <w:bottom w:val="nil"/>
              <w:right w:val="nil"/>
            </w:tcBorders>
            <w:vAlign w:val="center"/>
          </w:tcPr>
          <w:p w14:paraId="5A4956EE" w14:textId="77777777" w:rsidR="00A4469D" w:rsidRDefault="00A4469D" w:rsidP="009E6532">
            <w:pPr>
              <w:pStyle w:val="08-Tabelageral"/>
              <w:spacing w:before="0" w:after="0"/>
              <w:rPr>
                <w:rFonts w:cs="Arial"/>
                <w:b/>
                <w:bCs/>
                <w:szCs w:val="14"/>
                <w:lang w:eastAsia="en-US"/>
              </w:rPr>
            </w:pPr>
          </w:p>
        </w:tc>
        <w:tc>
          <w:tcPr>
            <w:tcW w:w="1596" w:type="dxa"/>
            <w:tcBorders>
              <w:top w:val="nil"/>
              <w:left w:val="nil"/>
              <w:bottom w:val="nil"/>
              <w:right w:val="nil"/>
            </w:tcBorders>
            <w:vAlign w:val="center"/>
          </w:tcPr>
          <w:p w14:paraId="4A98DC86" w14:textId="77777777" w:rsidR="00A4469D" w:rsidRDefault="00A4469D" w:rsidP="009E6532">
            <w:pPr>
              <w:pStyle w:val="08-Tabelageral"/>
              <w:spacing w:before="0" w:after="0"/>
              <w:rPr>
                <w:rFonts w:cs="Arial"/>
                <w:b/>
                <w:bCs/>
                <w:szCs w:val="14"/>
                <w:lang w:eastAsia="en-US"/>
              </w:rPr>
            </w:pPr>
          </w:p>
        </w:tc>
        <w:tc>
          <w:tcPr>
            <w:tcW w:w="1219" w:type="dxa"/>
            <w:tcBorders>
              <w:top w:val="nil"/>
              <w:left w:val="nil"/>
              <w:bottom w:val="nil"/>
              <w:right w:val="nil"/>
            </w:tcBorders>
            <w:vAlign w:val="center"/>
          </w:tcPr>
          <w:p w14:paraId="6550E861" w14:textId="77777777" w:rsidR="00A4469D" w:rsidRDefault="00A4469D" w:rsidP="009E6532">
            <w:pPr>
              <w:pStyle w:val="08-Tabelageral"/>
              <w:spacing w:before="0" w:after="0"/>
              <w:rPr>
                <w:rFonts w:cs="Arial"/>
                <w:b/>
                <w:bCs/>
                <w:szCs w:val="14"/>
                <w:lang w:eastAsia="en-US"/>
              </w:rPr>
            </w:pPr>
          </w:p>
        </w:tc>
      </w:tr>
      <w:tr w:rsidR="00A4469D" w14:paraId="6CCF4406" w14:textId="77777777" w:rsidTr="0041270E">
        <w:trPr>
          <w:trHeight w:val="238"/>
          <w:jc w:val="center"/>
        </w:trPr>
        <w:tc>
          <w:tcPr>
            <w:tcW w:w="2892" w:type="dxa"/>
            <w:tcBorders>
              <w:top w:val="nil"/>
              <w:left w:val="nil"/>
              <w:bottom w:val="nil"/>
              <w:right w:val="nil"/>
            </w:tcBorders>
            <w:vAlign w:val="center"/>
            <w:hideMark/>
          </w:tcPr>
          <w:p w14:paraId="66C1D612" w14:textId="77777777" w:rsidR="00A4469D" w:rsidRDefault="00A4469D" w:rsidP="009E6532">
            <w:pPr>
              <w:pStyle w:val="08-Tabelageral"/>
              <w:spacing w:before="0" w:after="0"/>
              <w:jc w:val="left"/>
              <w:rPr>
                <w:rFonts w:cs="Arial"/>
                <w:b/>
                <w:szCs w:val="14"/>
                <w:lang w:eastAsia="en-US"/>
              </w:rPr>
            </w:pPr>
            <w:r>
              <w:rPr>
                <w:rFonts w:cs="Arial"/>
                <w:b/>
                <w:szCs w:val="14"/>
              </w:rPr>
              <w:t>Initial balance</w:t>
            </w:r>
          </w:p>
        </w:tc>
        <w:tc>
          <w:tcPr>
            <w:tcW w:w="616" w:type="dxa"/>
            <w:tcBorders>
              <w:top w:val="nil"/>
              <w:left w:val="nil"/>
              <w:bottom w:val="nil"/>
              <w:right w:val="nil"/>
            </w:tcBorders>
            <w:vAlign w:val="center"/>
          </w:tcPr>
          <w:p w14:paraId="353E5DDC" w14:textId="77777777" w:rsidR="00A4469D" w:rsidRDefault="00A4469D" w:rsidP="009E6532">
            <w:pPr>
              <w:pStyle w:val="08-Tabelageral"/>
              <w:spacing w:before="0" w:after="0"/>
              <w:rPr>
                <w:rFonts w:cs="Arial"/>
                <w:b/>
                <w:bCs/>
                <w:szCs w:val="14"/>
                <w:lang w:eastAsia="en-US"/>
              </w:rPr>
            </w:pPr>
          </w:p>
        </w:tc>
        <w:tc>
          <w:tcPr>
            <w:tcW w:w="1723" w:type="dxa"/>
            <w:tcBorders>
              <w:top w:val="nil"/>
              <w:left w:val="nil"/>
              <w:bottom w:val="nil"/>
              <w:right w:val="nil"/>
            </w:tcBorders>
            <w:vAlign w:val="center"/>
          </w:tcPr>
          <w:p w14:paraId="34A39B49" w14:textId="77777777" w:rsidR="00A4469D" w:rsidRDefault="00A4469D" w:rsidP="009E6532">
            <w:pPr>
              <w:pStyle w:val="08-Tabelageral"/>
              <w:spacing w:before="0" w:after="0"/>
              <w:rPr>
                <w:rFonts w:cs="Arial"/>
                <w:b/>
                <w:bCs/>
                <w:szCs w:val="14"/>
                <w:lang w:eastAsia="en-US"/>
              </w:rPr>
            </w:pPr>
          </w:p>
        </w:tc>
        <w:tc>
          <w:tcPr>
            <w:tcW w:w="1304" w:type="dxa"/>
            <w:tcBorders>
              <w:top w:val="nil"/>
              <w:left w:val="nil"/>
              <w:bottom w:val="nil"/>
              <w:right w:val="nil"/>
            </w:tcBorders>
            <w:vAlign w:val="center"/>
            <w:hideMark/>
          </w:tcPr>
          <w:p w14:paraId="03891B9C" w14:textId="77777777" w:rsidR="00A4469D" w:rsidRDefault="00A4469D" w:rsidP="009E6532">
            <w:pPr>
              <w:pStyle w:val="08-Tabelageral"/>
              <w:spacing w:before="0" w:after="0"/>
              <w:rPr>
                <w:rFonts w:cs="Arial"/>
                <w:b/>
                <w:bCs/>
                <w:szCs w:val="14"/>
                <w:lang w:eastAsia="en-US"/>
              </w:rPr>
            </w:pPr>
            <w:r w:rsidRPr="00646621">
              <w:rPr>
                <w:rFonts w:cs="Arial"/>
                <w:b/>
                <w:bCs/>
                <w:szCs w:val="14"/>
              </w:rPr>
              <w:t>14</w:t>
            </w:r>
            <w:r>
              <w:rPr>
                <w:rFonts w:cs="Arial"/>
                <w:b/>
                <w:bCs/>
                <w:szCs w:val="14"/>
              </w:rPr>
              <w:t>,</w:t>
            </w:r>
            <w:r w:rsidRPr="00646621">
              <w:rPr>
                <w:rFonts w:cs="Arial"/>
                <w:b/>
                <w:bCs/>
                <w:szCs w:val="14"/>
              </w:rPr>
              <w:t>257</w:t>
            </w:r>
          </w:p>
        </w:tc>
        <w:tc>
          <w:tcPr>
            <w:tcW w:w="289" w:type="dxa"/>
            <w:tcBorders>
              <w:top w:val="nil"/>
              <w:left w:val="nil"/>
              <w:bottom w:val="nil"/>
              <w:right w:val="nil"/>
            </w:tcBorders>
            <w:vAlign w:val="center"/>
          </w:tcPr>
          <w:p w14:paraId="3DF4EC37" w14:textId="77777777" w:rsidR="00A4469D" w:rsidRDefault="00A4469D" w:rsidP="009E6532">
            <w:pPr>
              <w:pStyle w:val="08-Tabelageral"/>
              <w:spacing w:before="0" w:after="0"/>
              <w:rPr>
                <w:rFonts w:cs="Arial"/>
                <w:b/>
                <w:bCs/>
                <w:szCs w:val="14"/>
                <w:lang w:eastAsia="en-US"/>
              </w:rPr>
            </w:pPr>
          </w:p>
        </w:tc>
        <w:tc>
          <w:tcPr>
            <w:tcW w:w="1596" w:type="dxa"/>
            <w:tcBorders>
              <w:top w:val="nil"/>
              <w:left w:val="nil"/>
              <w:bottom w:val="nil"/>
              <w:right w:val="nil"/>
            </w:tcBorders>
            <w:vAlign w:val="center"/>
          </w:tcPr>
          <w:p w14:paraId="7816CAD3" w14:textId="77777777" w:rsidR="00A4469D" w:rsidRDefault="00A4469D" w:rsidP="009E6532">
            <w:pPr>
              <w:pStyle w:val="08-Tabelageral"/>
              <w:spacing w:before="0" w:after="0"/>
              <w:rPr>
                <w:rFonts w:cs="Arial"/>
                <w:b/>
                <w:bCs/>
                <w:szCs w:val="14"/>
                <w:lang w:eastAsia="en-US"/>
              </w:rPr>
            </w:pPr>
          </w:p>
        </w:tc>
        <w:tc>
          <w:tcPr>
            <w:tcW w:w="1219" w:type="dxa"/>
            <w:tcBorders>
              <w:top w:val="nil"/>
              <w:left w:val="nil"/>
              <w:bottom w:val="nil"/>
              <w:right w:val="nil"/>
            </w:tcBorders>
            <w:vAlign w:val="center"/>
            <w:hideMark/>
          </w:tcPr>
          <w:p w14:paraId="1D70007C" w14:textId="77777777" w:rsidR="00A4469D" w:rsidRDefault="00A4469D" w:rsidP="009E6532">
            <w:pPr>
              <w:pStyle w:val="08-Tabelageral"/>
              <w:spacing w:before="0" w:after="0"/>
              <w:rPr>
                <w:rFonts w:cs="Arial"/>
                <w:b/>
                <w:bCs/>
                <w:szCs w:val="14"/>
                <w:lang w:eastAsia="en-US"/>
              </w:rPr>
            </w:pPr>
            <w:r>
              <w:rPr>
                <w:rFonts w:cs="Arial"/>
                <w:b/>
                <w:bCs/>
                <w:color w:val="000000"/>
                <w:szCs w:val="14"/>
              </w:rPr>
              <w:t>16,314</w:t>
            </w:r>
          </w:p>
        </w:tc>
      </w:tr>
      <w:tr w:rsidR="00A4469D" w14:paraId="72921522" w14:textId="77777777" w:rsidTr="0041270E">
        <w:trPr>
          <w:trHeight w:val="238"/>
          <w:jc w:val="center"/>
        </w:trPr>
        <w:tc>
          <w:tcPr>
            <w:tcW w:w="2892" w:type="dxa"/>
            <w:tcBorders>
              <w:top w:val="nil"/>
              <w:left w:val="nil"/>
              <w:bottom w:val="nil"/>
              <w:right w:val="nil"/>
            </w:tcBorders>
            <w:vAlign w:val="center"/>
            <w:hideMark/>
          </w:tcPr>
          <w:p w14:paraId="6671961C" w14:textId="77777777" w:rsidR="00A4469D" w:rsidRDefault="00A4469D" w:rsidP="009E6532">
            <w:pPr>
              <w:pStyle w:val="08-Tabelageral"/>
              <w:spacing w:before="0" w:after="0"/>
              <w:jc w:val="left"/>
              <w:rPr>
                <w:rFonts w:cs="Arial"/>
                <w:bCs/>
                <w:szCs w:val="14"/>
                <w:lang w:eastAsia="en-US"/>
              </w:rPr>
            </w:pPr>
            <w:r>
              <w:rPr>
                <w:rFonts w:cs="Arial"/>
                <w:szCs w:val="14"/>
              </w:rPr>
              <w:t>Addition</w:t>
            </w:r>
            <w:r w:rsidRPr="00A33E7B">
              <w:rPr>
                <w:rFonts w:cs="Arial"/>
                <w:szCs w:val="14"/>
              </w:rPr>
              <w:t>/</w:t>
            </w:r>
            <w:r>
              <w:rPr>
                <w:rFonts w:cs="Arial"/>
                <w:szCs w:val="14"/>
              </w:rPr>
              <w:t>Update</w:t>
            </w:r>
            <w:r w:rsidRPr="00A33E7B">
              <w:rPr>
                <w:rFonts w:cs="Arial"/>
                <w:szCs w:val="14"/>
              </w:rPr>
              <w:t xml:space="preserve"> </w:t>
            </w:r>
            <w:r w:rsidRPr="00A33E7B">
              <w:rPr>
                <w:rFonts w:cs="Arial"/>
                <w:szCs w:val="14"/>
                <w:vertAlign w:val="superscript"/>
              </w:rPr>
              <w:t>(2)</w:t>
            </w:r>
          </w:p>
        </w:tc>
        <w:tc>
          <w:tcPr>
            <w:tcW w:w="616" w:type="dxa"/>
            <w:tcBorders>
              <w:top w:val="nil"/>
              <w:left w:val="nil"/>
              <w:bottom w:val="nil"/>
              <w:right w:val="nil"/>
            </w:tcBorders>
            <w:vAlign w:val="center"/>
          </w:tcPr>
          <w:p w14:paraId="2E989ACC" w14:textId="77777777" w:rsidR="00A4469D" w:rsidRDefault="00A4469D" w:rsidP="009E6532">
            <w:pPr>
              <w:pStyle w:val="08-Tabelageral"/>
              <w:spacing w:before="0" w:after="0"/>
              <w:rPr>
                <w:rFonts w:cs="Arial"/>
                <w:szCs w:val="14"/>
                <w:lang w:eastAsia="en-US"/>
              </w:rPr>
            </w:pPr>
          </w:p>
        </w:tc>
        <w:tc>
          <w:tcPr>
            <w:tcW w:w="1723" w:type="dxa"/>
            <w:tcBorders>
              <w:top w:val="nil"/>
              <w:left w:val="nil"/>
              <w:bottom w:val="nil"/>
              <w:right w:val="nil"/>
            </w:tcBorders>
            <w:vAlign w:val="center"/>
          </w:tcPr>
          <w:p w14:paraId="2F7749CB" w14:textId="77777777" w:rsidR="00A4469D" w:rsidRDefault="00A4469D" w:rsidP="009E6532">
            <w:pPr>
              <w:pStyle w:val="08-Tabelageral"/>
              <w:spacing w:before="0" w:after="0"/>
              <w:rPr>
                <w:rFonts w:cs="Arial"/>
                <w:szCs w:val="14"/>
                <w:lang w:eastAsia="en-US"/>
              </w:rPr>
            </w:pPr>
          </w:p>
        </w:tc>
        <w:tc>
          <w:tcPr>
            <w:tcW w:w="1304" w:type="dxa"/>
            <w:tcBorders>
              <w:top w:val="nil"/>
              <w:left w:val="nil"/>
              <w:bottom w:val="nil"/>
              <w:right w:val="nil"/>
            </w:tcBorders>
            <w:vAlign w:val="center"/>
            <w:hideMark/>
          </w:tcPr>
          <w:p w14:paraId="0E56C7BE" w14:textId="77777777" w:rsidR="00A4469D" w:rsidRDefault="00A4469D" w:rsidP="009E6532">
            <w:pPr>
              <w:pStyle w:val="08-Tabelageral"/>
              <w:spacing w:before="0" w:after="0"/>
              <w:rPr>
                <w:rFonts w:cs="Arial"/>
                <w:szCs w:val="14"/>
                <w:lang w:eastAsia="en-US"/>
              </w:rPr>
            </w:pPr>
            <w:r>
              <w:rPr>
                <w:rFonts w:cs="Arial"/>
                <w:szCs w:val="14"/>
              </w:rPr>
              <w:t>6,014</w:t>
            </w:r>
          </w:p>
        </w:tc>
        <w:tc>
          <w:tcPr>
            <w:tcW w:w="289" w:type="dxa"/>
            <w:tcBorders>
              <w:top w:val="nil"/>
              <w:left w:val="nil"/>
              <w:bottom w:val="nil"/>
              <w:right w:val="nil"/>
            </w:tcBorders>
            <w:vAlign w:val="center"/>
          </w:tcPr>
          <w:p w14:paraId="32397314" w14:textId="77777777" w:rsidR="00A4469D" w:rsidRDefault="00A4469D" w:rsidP="009E6532">
            <w:pPr>
              <w:pStyle w:val="08-Tabelageral"/>
              <w:spacing w:before="0" w:after="0"/>
              <w:rPr>
                <w:rFonts w:cs="Arial"/>
                <w:szCs w:val="14"/>
                <w:lang w:eastAsia="en-US"/>
              </w:rPr>
            </w:pPr>
          </w:p>
        </w:tc>
        <w:tc>
          <w:tcPr>
            <w:tcW w:w="1596" w:type="dxa"/>
            <w:tcBorders>
              <w:top w:val="nil"/>
              <w:left w:val="nil"/>
              <w:bottom w:val="nil"/>
              <w:right w:val="nil"/>
            </w:tcBorders>
            <w:vAlign w:val="center"/>
          </w:tcPr>
          <w:p w14:paraId="6100A2CD" w14:textId="77777777" w:rsidR="00A4469D" w:rsidRDefault="00A4469D" w:rsidP="009E6532">
            <w:pPr>
              <w:pStyle w:val="08-Tabelageral"/>
              <w:spacing w:before="0" w:after="0"/>
              <w:rPr>
                <w:rFonts w:cs="Arial"/>
                <w:szCs w:val="14"/>
                <w:lang w:eastAsia="en-US"/>
              </w:rPr>
            </w:pPr>
          </w:p>
        </w:tc>
        <w:tc>
          <w:tcPr>
            <w:tcW w:w="1219" w:type="dxa"/>
            <w:tcBorders>
              <w:top w:val="nil"/>
              <w:left w:val="nil"/>
              <w:bottom w:val="nil"/>
              <w:right w:val="nil"/>
            </w:tcBorders>
            <w:vAlign w:val="center"/>
            <w:hideMark/>
          </w:tcPr>
          <w:p w14:paraId="707278D2" w14:textId="77777777" w:rsidR="00A4469D" w:rsidRDefault="00A4469D" w:rsidP="009E6532">
            <w:pPr>
              <w:pStyle w:val="08-Tabelageral"/>
              <w:spacing w:before="0" w:after="0"/>
              <w:rPr>
                <w:rFonts w:cs="Arial"/>
                <w:szCs w:val="14"/>
                <w:lang w:eastAsia="en-US"/>
              </w:rPr>
            </w:pPr>
            <w:r>
              <w:rPr>
                <w:rFonts w:cs="Arial"/>
                <w:color w:val="000000"/>
                <w:szCs w:val="14"/>
              </w:rPr>
              <w:t>5,580</w:t>
            </w:r>
          </w:p>
        </w:tc>
      </w:tr>
      <w:tr w:rsidR="00A4469D" w14:paraId="64466814" w14:textId="77777777" w:rsidTr="0041270E">
        <w:trPr>
          <w:trHeight w:val="238"/>
          <w:jc w:val="center"/>
        </w:trPr>
        <w:tc>
          <w:tcPr>
            <w:tcW w:w="2892" w:type="dxa"/>
            <w:tcBorders>
              <w:top w:val="nil"/>
              <w:left w:val="nil"/>
              <w:bottom w:val="nil"/>
              <w:right w:val="nil"/>
            </w:tcBorders>
            <w:vAlign w:val="center"/>
            <w:hideMark/>
          </w:tcPr>
          <w:p w14:paraId="6941BB80" w14:textId="77777777" w:rsidR="00A4469D" w:rsidRDefault="00A4469D" w:rsidP="009E6532">
            <w:pPr>
              <w:pStyle w:val="08-Tabelageral"/>
              <w:spacing w:before="0" w:after="0"/>
              <w:jc w:val="left"/>
              <w:rPr>
                <w:rFonts w:cs="Arial"/>
                <w:bCs/>
                <w:szCs w:val="14"/>
                <w:lang w:eastAsia="en-US"/>
              </w:rPr>
            </w:pPr>
            <w:r w:rsidRPr="00A33E7B">
              <w:rPr>
                <w:rFonts w:cs="Arial"/>
                <w:szCs w:val="14"/>
              </w:rPr>
              <w:t>Rever</w:t>
            </w:r>
            <w:r>
              <w:rPr>
                <w:rFonts w:cs="Arial"/>
                <w:szCs w:val="14"/>
              </w:rPr>
              <w:t>sal of the provision</w:t>
            </w:r>
          </w:p>
        </w:tc>
        <w:tc>
          <w:tcPr>
            <w:tcW w:w="616" w:type="dxa"/>
            <w:tcBorders>
              <w:top w:val="nil"/>
              <w:left w:val="nil"/>
              <w:bottom w:val="nil"/>
              <w:right w:val="nil"/>
            </w:tcBorders>
            <w:vAlign w:val="center"/>
          </w:tcPr>
          <w:p w14:paraId="19C30AF9" w14:textId="77777777" w:rsidR="00A4469D" w:rsidRDefault="00A4469D" w:rsidP="009E6532">
            <w:pPr>
              <w:pStyle w:val="08-Tabelageral"/>
              <w:spacing w:before="0" w:after="0"/>
              <w:rPr>
                <w:rFonts w:cs="Arial"/>
                <w:szCs w:val="14"/>
                <w:lang w:eastAsia="en-US"/>
              </w:rPr>
            </w:pPr>
          </w:p>
        </w:tc>
        <w:tc>
          <w:tcPr>
            <w:tcW w:w="1723" w:type="dxa"/>
            <w:tcBorders>
              <w:top w:val="nil"/>
              <w:left w:val="nil"/>
              <w:bottom w:val="nil"/>
              <w:right w:val="nil"/>
            </w:tcBorders>
            <w:vAlign w:val="center"/>
          </w:tcPr>
          <w:p w14:paraId="6A88B464" w14:textId="77777777" w:rsidR="00A4469D" w:rsidRDefault="00A4469D" w:rsidP="009E6532">
            <w:pPr>
              <w:pStyle w:val="08-Tabelageral"/>
              <w:spacing w:before="0" w:after="0"/>
              <w:rPr>
                <w:rFonts w:cs="Arial"/>
                <w:szCs w:val="14"/>
                <w:lang w:eastAsia="en-US"/>
              </w:rPr>
            </w:pPr>
          </w:p>
        </w:tc>
        <w:tc>
          <w:tcPr>
            <w:tcW w:w="1304" w:type="dxa"/>
            <w:tcBorders>
              <w:top w:val="nil"/>
              <w:left w:val="nil"/>
              <w:bottom w:val="nil"/>
              <w:right w:val="nil"/>
            </w:tcBorders>
            <w:vAlign w:val="center"/>
            <w:hideMark/>
          </w:tcPr>
          <w:p w14:paraId="197D5A8A" w14:textId="77777777" w:rsidR="00A4469D" w:rsidRDefault="00A4469D" w:rsidP="009E6532">
            <w:pPr>
              <w:pStyle w:val="08-Tabelageral"/>
              <w:spacing w:before="0" w:after="0"/>
              <w:rPr>
                <w:rFonts w:cs="Arial"/>
                <w:szCs w:val="14"/>
                <w:lang w:eastAsia="en-US"/>
              </w:rPr>
            </w:pPr>
            <w:r>
              <w:rPr>
                <w:rFonts w:cs="Arial"/>
                <w:szCs w:val="14"/>
              </w:rPr>
              <w:t>(6,424)</w:t>
            </w:r>
          </w:p>
        </w:tc>
        <w:tc>
          <w:tcPr>
            <w:tcW w:w="289" w:type="dxa"/>
            <w:tcBorders>
              <w:top w:val="nil"/>
              <w:left w:val="nil"/>
              <w:bottom w:val="nil"/>
              <w:right w:val="nil"/>
            </w:tcBorders>
            <w:vAlign w:val="center"/>
          </w:tcPr>
          <w:p w14:paraId="79071D6C" w14:textId="77777777" w:rsidR="00A4469D" w:rsidRDefault="00A4469D" w:rsidP="009E6532">
            <w:pPr>
              <w:pStyle w:val="08-Tabelageral"/>
              <w:spacing w:before="0" w:after="0"/>
              <w:rPr>
                <w:rFonts w:cs="Arial"/>
                <w:szCs w:val="14"/>
                <w:lang w:eastAsia="en-US"/>
              </w:rPr>
            </w:pPr>
          </w:p>
        </w:tc>
        <w:tc>
          <w:tcPr>
            <w:tcW w:w="1596" w:type="dxa"/>
            <w:tcBorders>
              <w:top w:val="nil"/>
              <w:left w:val="nil"/>
              <w:bottom w:val="nil"/>
              <w:right w:val="nil"/>
            </w:tcBorders>
            <w:vAlign w:val="center"/>
          </w:tcPr>
          <w:p w14:paraId="2100A867" w14:textId="77777777" w:rsidR="00A4469D" w:rsidRDefault="00A4469D" w:rsidP="009E6532">
            <w:pPr>
              <w:pStyle w:val="08-Tabelageral"/>
              <w:spacing w:before="0" w:after="0"/>
              <w:rPr>
                <w:rFonts w:cs="Arial"/>
                <w:szCs w:val="14"/>
                <w:lang w:eastAsia="en-US"/>
              </w:rPr>
            </w:pPr>
          </w:p>
        </w:tc>
        <w:tc>
          <w:tcPr>
            <w:tcW w:w="1219" w:type="dxa"/>
            <w:tcBorders>
              <w:top w:val="nil"/>
              <w:left w:val="nil"/>
              <w:bottom w:val="nil"/>
              <w:right w:val="nil"/>
            </w:tcBorders>
            <w:vAlign w:val="center"/>
            <w:hideMark/>
          </w:tcPr>
          <w:p w14:paraId="31494E1C" w14:textId="77777777" w:rsidR="00A4469D" w:rsidRDefault="00A4469D" w:rsidP="009E6532">
            <w:pPr>
              <w:pStyle w:val="08-Tabelageral"/>
              <w:spacing w:before="0" w:after="0"/>
              <w:rPr>
                <w:rFonts w:cs="Arial"/>
                <w:szCs w:val="14"/>
                <w:lang w:eastAsia="en-US"/>
              </w:rPr>
            </w:pPr>
            <w:r>
              <w:rPr>
                <w:rFonts w:cs="Arial"/>
                <w:color w:val="000000"/>
                <w:szCs w:val="14"/>
              </w:rPr>
              <w:t>(7,384)</w:t>
            </w:r>
          </w:p>
        </w:tc>
      </w:tr>
      <w:tr w:rsidR="00A4469D" w14:paraId="058395A4" w14:textId="77777777" w:rsidTr="0041270E">
        <w:trPr>
          <w:trHeight w:val="238"/>
          <w:jc w:val="center"/>
        </w:trPr>
        <w:tc>
          <w:tcPr>
            <w:tcW w:w="2892" w:type="dxa"/>
            <w:tcBorders>
              <w:top w:val="nil"/>
              <w:left w:val="nil"/>
              <w:bottom w:val="nil"/>
              <w:right w:val="nil"/>
            </w:tcBorders>
            <w:vAlign w:val="center"/>
            <w:hideMark/>
          </w:tcPr>
          <w:p w14:paraId="7C13B448" w14:textId="77777777" w:rsidR="00A4469D" w:rsidRDefault="00A4469D" w:rsidP="009E6532">
            <w:pPr>
              <w:pStyle w:val="08-Tabelageral"/>
              <w:spacing w:before="0" w:after="0"/>
              <w:jc w:val="left"/>
              <w:rPr>
                <w:rFonts w:cs="Arial"/>
                <w:bCs/>
                <w:szCs w:val="14"/>
                <w:lang w:eastAsia="en-US"/>
              </w:rPr>
            </w:pPr>
            <w:r>
              <w:rPr>
                <w:rFonts w:cs="Arial"/>
                <w:szCs w:val="14"/>
              </w:rPr>
              <w:t>W</w:t>
            </w:r>
            <w:r w:rsidRPr="007A6A25">
              <w:rPr>
                <w:rFonts w:cs="Arial"/>
                <w:szCs w:val="14"/>
              </w:rPr>
              <w:t>rite-off by payment</w:t>
            </w:r>
          </w:p>
        </w:tc>
        <w:tc>
          <w:tcPr>
            <w:tcW w:w="616" w:type="dxa"/>
            <w:tcBorders>
              <w:top w:val="nil"/>
              <w:left w:val="nil"/>
              <w:bottom w:val="nil"/>
              <w:right w:val="nil"/>
            </w:tcBorders>
            <w:vAlign w:val="center"/>
          </w:tcPr>
          <w:p w14:paraId="1AF83960" w14:textId="77777777" w:rsidR="00A4469D" w:rsidRDefault="00A4469D" w:rsidP="009E6532">
            <w:pPr>
              <w:pStyle w:val="08-Tabelageral"/>
              <w:spacing w:before="0" w:after="0"/>
              <w:rPr>
                <w:rFonts w:cs="Arial"/>
                <w:szCs w:val="14"/>
                <w:lang w:eastAsia="en-US"/>
              </w:rPr>
            </w:pPr>
          </w:p>
        </w:tc>
        <w:tc>
          <w:tcPr>
            <w:tcW w:w="1723" w:type="dxa"/>
            <w:tcBorders>
              <w:top w:val="nil"/>
              <w:left w:val="nil"/>
              <w:bottom w:val="nil"/>
              <w:right w:val="nil"/>
            </w:tcBorders>
            <w:vAlign w:val="center"/>
          </w:tcPr>
          <w:p w14:paraId="3FBDDE3C" w14:textId="77777777" w:rsidR="00A4469D" w:rsidRDefault="00A4469D" w:rsidP="009E6532">
            <w:pPr>
              <w:pStyle w:val="08-Tabelageral"/>
              <w:spacing w:before="0" w:after="0"/>
              <w:rPr>
                <w:rFonts w:cs="Arial"/>
                <w:szCs w:val="14"/>
                <w:lang w:eastAsia="en-US"/>
              </w:rPr>
            </w:pPr>
          </w:p>
        </w:tc>
        <w:tc>
          <w:tcPr>
            <w:tcW w:w="1304" w:type="dxa"/>
            <w:tcBorders>
              <w:top w:val="nil"/>
              <w:left w:val="nil"/>
              <w:bottom w:val="nil"/>
              <w:right w:val="nil"/>
            </w:tcBorders>
            <w:vAlign w:val="center"/>
            <w:hideMark/>
          </w:tcPr>
          <w:p w14:paraId="72036CC6" w14:textId="77777777" w:rsidR="00A4469D" w:rsidRDefault="00A4469D" w:rsidP="009E6532">
            <w:pPr>
              <w:pStyle w:val="08-Tabelageral"/>
              <w:spacing w:before="0" w:after="0"/>
              <w:rPr>
                <w:rFonts w:cs="Arial"/>
                <w:szCs w:val="14"/>
                <w:lang w:eastAsia="en-US"/>
              </w:rPr>
            </w:pPr>
            <w:r>
              <w:rPr>
                <w:rFonts w:cs="Arial"/>
                <w:szCs w:val="14"/>
              </w:rPr>
              <w:t>--</w:t>
            </w:r>
          </w:p>
        </w:tc>
        <w:tc>
          <w:tcPr>
            <w:tcW w:w="289" w:type="dxa"/>
            <w:tcBorders>
              <w:top w:val="nil"/>
              <w:left w:val="nil"/>
              <w:bottom w:val="nil"/>
              <w:right w:val="nil"/>
            </w:tcBorders>
            <w:vAlign w:val="center"/>
          </w:tcPr>
          <w:p w14:paraId="0870E4FD" w14:textId="77777777" w:rsidR="00A4469D" w:rsidRDefault="00A4469D" w:rsidP="009E6532">
            <w:pPr>
              <w:pStyle w:val="08-Tabelageral"/>
              <w:spacing w:before="0" w:after="0"/>
              <w:rPr>
                <w:rFonts w:cs="Arial"/>
                <w:szCs w:val="14"/>
                <w:lang w:eastAsia="en-US"/>
              </w:rPr>
            </w:pPr>
          </w:p>
        </w:tc>
        <w:tc>
          <w:tcPr>
            <w:tcW w:w="1596" w:type="dxa"/>
            <w:tcBorders>
              <w:top w:val="nil"/>
              <w:left w:val="nil"/>
              <w:bottom w:val="nil"/>
              <w:right w:val="nil"/>
            </w:tcBorders>
            <w:vAlign w:val="center"/>
          </w:tcPr>
          <w:p w14:paraId="6E0D7787" w14:textId="77777777" w:rsidR="00A4469D" w:rsidRDefault="00A4469D" w:rsidP="009E6532">
            <w:pPr>
              <w:pStyle w:val="08-Tabelageral"/>
              <w:spacing w:before="0" w:after="0"/>
              <w:rPr>
                <w:rFonts w:cs="Arial"/>
                <w:szCs w:val="14"/>
                <w:lang w:eastAsia="en-US"/>
              </w:rPr>
            </w:pPr>
          </w:p>
        </w:tc>
        <w:tc>
          <w:tcPr>
            <w:tcW w:w="1219" w:type="dxa"/>
            <w:tcBorders>
              <w:top w:val="nil"/>
              <w:left w:val="nil"/>
              <w:bottom w:val="nil"/>
              <w:right w:val="nil"/>
            </w:tcBorders>
            <w:vAlign w:val="center"/>
            <w:hideMark/>
          </w:tcPr>
          <w:p w14:paraId="15AF6A09" w14:textId="77777777" w:rsidR="00A4469D" w:rsidRDefault="00A4469D" w:rsidP="009E6532">
            <w:pPr>
              <w:pStyle w:val="08-Tabelageral"/>
              <w:spacing w:before="0" w:after="0"/>
              <w:rPr>
                <w:rFonts w:cs="Arial"/>
                <w:szCs w:val="14"/>
                <w:lang w:eastAsia="en-US"/>
              </w:rPr>
            </w:pPr>
            <w:r>
              <w:rPr>
                <w:rFonts w:cs="Arial"/>
                <w:color w:val="000000"/>
                <w:szCs w:val="14"/>
              </w:rPr>
              <w:t>(253)</w:t>
            </w:r>
          </w:p>
        </w:tc>
      </w:tr>
      <w:tr w:rsidR="00A4469D" w14:paraId="690247F2" w14:textId="77777777" w:rsidTr="0041270E">
        <w:trPr>
          <w:trHeight w:val="238"/>
          <w:jc w:val="center"/>
        </w:trPr>
        <w:tc>
          <w:tcPr>
            <w:tcW w:w="2892" w:type="dxa"/>
            <w:tcBorders>
              <w:top w:val="nil"/>
              <w:left w:val="nil"/>
              <w:bottom w:val="nil"/>
              <w:right w:val="nil"/>
            </w:tcBorders>
            <w:vAlign w:val="center"/>
            <w:hideMark/>
          </w:tcPr>
          <w:p w14:paraId="24107B2A" w14:textId="77777777" w:rsidR="00A4469D" w:rsidRDefault="00A4469D" w:rsidP="009E6532">
            <w:pPr>
              <w:pStyle w:val="08-Tabelageral"/>
              <w:spacing w:before="0" w:after="0"/>
              <w:jc w:val="left"/>
              <w:rPr>
                <w:rFonts w:cs="Arial"/>
                <w:b/>
                <w:szCs w:val="14"/>
                <w:lang w:eastAsia="en-US"/>
              </w:rPr>
            </w:pPr>
            <w:r>
              <w:rPr>
                <w:rFonts w:cs="Arial"/>
                <w:b/>
                <w:szCs w:val="14"/>
              </w:rPr>
              <w:t>Closing balance</w:t>
            </w:r>
          </w:p>
        </w:tc>
        <w:tc>
          <w:tcPr>
            <w:tcW w:w="616" w:type="dxa"/>
            <w:tcBorders>
              <w:top w:val="nil"/>
              <w:left w:val="nil"/>
              <w:bottom w:val="nil"/>
              <w:right w:val="nil"/>
            </w:tcBorders>
            <w:vAlign w:val="center"/>
          </w:tcPr>
          <w:p w14:paraId="2751B1C8" w14:textId="77777777" w:rsidR="00A4469D" w:rsidRDefault="00A4469D" w:rsidP="009E6532">
            <w:pPr>
              <w:pStyle w:val="08-Tabelageral"/>
              <w:spacing w:before="0" w:after="0"/>
              <w:rPr>
                <w:rFonts w:cs="Arial"/>
                <w:b/>
                <w:bCs/>
                <w:szCs w:val="14"/>
                <w:lang w:eastAsia="en-US"/>
              </w:rPr>
            </w:pPr>
          </w:p>
        </w:tc>
        <w:tc>
          <w:tcPr>
            <w:tcW w:w="1723" w:type="dxa"/>
            <w:tcBorders>
              <w:top w:val="nil"/>
              <w:left w:val="nil"/>
              <w:bottom w:val="nil"/>
              <w:right w:val="nil"/>
            </w:tcBorders>
            <w:vAlign w:val="center"/>
          </w:tcPr>
          <w:p w14:paraId="041E0FFD" w14:textId="77777777" w:rsidR="00A4469D" w:rsidRDefault="00A4469D" w:rsidP="009E6532">
            <w:pPr>
              <w:pStyle w:val="08-Tabelageral"/>
              <w:spacing w:before="0" w:after="0"/>
              <w:rPr>
                <w:rFonts w:cs="Arial"/>
                <w:b/>
                <w:bCs/>
                <w:szCs w:val="14"/>
                <w:lang w:eastAsia="en-US"/>
              </w:rPr>
            </w:pPr>
          </w:p>
        </w:tc>
        <w:tc>
          <w:tcPr>
            <w:tcW w:w="1304" w:type="dxa"/>
            <w:tcBorders>
              <w:top w:val="nil"/>
              <w:left w:val="nil"/>
              <w:bottom w:val="nil"/>
              <w:right w:val="nil"/>
            </w:tcBorders>
            <w:vAlign w:val="center"/>
            <w:hideMark/>
          </w:tcPr>
          <w:p w14:paraId="10581795" w14:textId="77777777" w:rsidR="00A4469D" w:rsidRDefault="00A4469D" w:rsidP="009E6532">
            <w:pPr>
              <w:pStyle w:val="08-Tabelageral"/>
              <w:spacing w:before="0" w:after="0"/>
              <w:rPr>
                <w:rFonts w:cs="Arial"/>
                <w:b/>
                <w:bCs/>
                <w:szCs w:val="14"/>
                <w:lang w:eastAsia="en-US"/>
              </w:rPr>
            </w:pPr>
            <w:r w:rsidRPr="004D681C">
              <w:rPr>
                <w:rFonts w:cs="Arial"/>
                <w:b/>
                <w:bCs/>
                <w:szCs w:val="14"/>
              </w:rPr>
              <w:t>13</w:t>
            </w:r>
            <w:r>
              <w:rPr>
                <w:rFonts w:cs="Arial"/>
                <w:b/>
                <w:bCs/>
                <w:szCs w:val="14"/>
              </w:rPr>
              <w:t>,</w:t>
            </w:r>
            <w:r w:rsidRPr="004D681C">
              <w:rPr>
                <w:rFonts w:cs="Arial"/>
                <w:b/>
                <w:bCs/>
                <w:szCs w:val="14"/>
              </w:rPr>
              <w:t>847</w:t>
            </w:r>
          </w:p>
        </w:tc>
        <w:tc>
          <w:tcPr>
            <w:tcW w:w="289" w:type="dxa"/>
            <w:tcBorders>
              <w:top w:val="nil"/>
              <w:left w:val="nil"/>
              <w:bottom w:val="nil"/>
              <w:right w:val="nil"/>
            </w:tcBorders>
            <w:vAlign w:val="center"/>
          </w:tcPr>
          <w:p w14:paraId="1E8D6B39" w14:textId="77777777" w:rsidR="00A4469D" w:rsidRDefault="00A4469D" w:rsidP="009E6532">
            <w:pPr>
              <w:pStyle w:val="08-Tabelageral"/>
              <w:spacing w:before="0" w:after="0"/>
              <w:rPr>
                <w:rFonts w:cs="Arial"/>
                <w:b/>
                <w:bCs/>
                <w:szCs w:val="14"/>
                <w:lang w:eastAsia="en-US"/>
              </w:rPr>
            </w:pPr>
          </w:p>
        </w:tc>
        <w:tc>
          <w:tcPr>
            <w:tcW w:w="1596" w:type="dxa"/>
            <w:tcBorders>
              <w:top w:val="nil"/>
              <w:left w:val="nil"/>
              <w:bottom w:val="nil"/>
              <w:right w:val="nil"/>
            </w:tcBorders>
            <w:vAlign w:val="center"/>
          </w:tcPr>
          <w:p w14:paraId="3257371C" w14:textId="77777777" w:rsidR="00A4469D" w:rsidRDefault="00A4469D" w:rsidP="009E6532">
            <w:pPr>
              <w:pStyle w:val="08-Tabelageral"/>
              <w:spacing w:before="0" w:after="0"/>
              <w:rPr>
                <w:rFonts w:cs="Arial"/>
                <w:b/>
                <w:bCs/>
                <w:szCs w:val="14"/>
                <w:lang w:eastAsia="en-US"/>
              </w:rPr>
            </w:pPr>
          </w:p>
        </w:tc>
        <w:tc>
          <w:tcPr>
            <w:tcW w:w="1219" w:type="dxa"/>
            <w:tcBorders>
              <w:top w:val="nil"/>
              <w:left w:val="nil"/>
              <w:bottom w:val="nil"/>
              <w:right w:val="nil"/>
            </w:tcBorders>
            <w:vAlign w:val="center"/>
            <w:hideMark/>
          </w:tcPr>
          <w:p w14:paraId="56E9F900" w14:textId="77777777" w:rsidR="00A4469D" w:rsidRDefault="00A4469D" w:rsidP="009E6532">
            <w:pPr>
              <w:pStyle w:val="08-Tabelageral"/>
              <w:spacing w:before="0" w:after="0"/>
              <w:rPr>
                <w:rFonts w:cs="Arial"/>
                <w:b/>
                <w:bCs/>
                <w:szCs w:val="14"/>
                <w:lang w:eastAsia="en-US"/>
              </w:rPr>
            </w:pPr>
            <w:r>
              <w:rPr>
                <w:rFonts w:cs="Arial"/>
                <w:b/>
                <w:bCs/>
                <w:color w:val="000000"/>
                <w:szCs w:val="14"/>
              </w:rPr>
              <w:t>14,257</w:t>
            </w:r>
          </w:p>
        </w:tc>
      </w:tr>
      <w:tr w:rsidR="00A4469D" w14:paraId="1B630C1D" w14:textId="77777777" w:rsidTr="0041270E">
        <w:trPr>
          <w:trHeight w:val="238"/>
          <w:jc w:val="center"/>
        </w:trPr>
        <w:tc>
          <w:tcPr>
            <w:tcW w:w="2892" w:type="dxa"/>
            <w:tcBorders>
              <w:top w:val="nil"/>
              <w:left w:val="nil"/>
              <w:bottom w:val="nil"/>
              <w:right w:val="nil"/>
            </w:tcBorders>
            <w:vAlign w:val="center"/>
            <w:hideMark/>
          </w:tcPr>
          <w:p w14:paraId="178EEBAE" w14:textId="77777777" w:rsidR="00A4469D" w:rsidRDefault="00A4469D" w:rsidP="009E6532">
            <w:pPr>
              <w:pStyle w:val="08-Tabelageral"/>
              <w:spacing w:before="0" w:after="0"/>
              <w:jc w:val="left"/>
              <w:rPr>
                <w:rFonts w:cs="Arial"/>
                <w:b/>
                <w:szCs w:val="14"/>
                <w:lang w:eastAsia="en-US"/>
              </w:rPr>
            </w:pPr>
            <w:r>
              <w:rPr>
                <w:rFonts w:cs="Arial"/>
                <w:b/>
                <w:szCs w:val="14"/>
              </w:rPr>
              <w:t>Labor Lawsuits</w:t>
            </w:r>
          </w:p>
        </w:tc>
        <w:tc>
          <w:tcPr>
            <w:tcW w:w="616" w:type="dxa"/>
            <w:tcBorders>
              <w:top w:val="nil"/>
              <w:left w:val="nil"/>
              <w:bottom w:val="nil"/>
              <w:right w:val="nil"/>
            </w:tcBorders>
            <w:vAlign w:val="center"/>
          </w:tcPr>
          <w:p w14:paraId="60F420BD" w14:textId="77777777" w:rsidR="00A4469D" w:rsidRDefault="00A4469D" w:rsidP="009E6532">
            <w:pPr>
              <w:pStyle w:val="08-Tabelageral"/>
              <w:spacing w:before="0" w:after="0"/>
              <w:rPr>
                <w:rFonts w:cs="Arial"/>
                <w:b/>
                <w:bCs/>
                <w:szCs w:val="14"/>
                <w:lang w:eastAsia="en-US"/>
              </w:rPr>
            </w:pPr>
          </w:p>
        </w:tc>
        <w:tc>
          <w:tcPr>
            <w:tcW w:w="1723" w:type="dxa"/>
            <w:tcBorders>
              <w:top w:val="nil"/>
              <w:left w:val="nil"/>
              <w:bottom w:val="nil"/>
              <w:right w:val="nil"/>
            </w:tcBorders>
            <w:vAlign w:val="center"/>
          </w:tcPr>
          <w:p w14:paraId="1098EB26" w14:textId="77777777" w:rsidR="00A4469D" w:rsidRDefault="00A4469D" w:rsidP="009E6532">
            <w:pPr>
              <w:pStyle w:val="08-Tabelageral"/>
              <w:spacing w:before="0" w:after="0"/>
              <w:rPr>
                <w:rFonts w:cs="Arial"/>
                <w:b/>
                <w:bCs/>
                <w:szCs w:val="14"/>
                <w:lang w:eastAsia="en-US"/>
              </w:rPr>
            </w:pPr>
          </w:p>
        </w:tc>
        <w:tc>
          <w:tcPr>
            <w:tcW w:w="1304" w:type="dxa"/>
            <w:tcBorders>
              <w:top w:val="nil"/>
              <w:left w:val="nil"/>
              <w:bottom w:val="nil"/>
              <w:right w:val="nil"/>
            </w:tcBorders>
            <w:vAlign w:val="center"/>
          </w:tcPr>
          <w:p w14:paraId="5581C747" w14:textId="77777777" w:rsidR="00A4469D" w:rsidRDefault="00A4469D" w:rsidP="009E6532">
            <w:pPr>
              <w:pStyle w:val="08-Tabelageral"/>
              <w:spacing w:before="0" w:after="0"/>
              <w:rPr>
                <w:rFonts w:cs="Arial"/>
                <w:b/>
                <w:bCs/>
                <w:szCs w:val="14"/>
                <w:lang w:eastAsia="en-US"/>
              </w:rPr>
            </w:pPr>
          </w:p>
        </w:tc>
        <w:tc>
          <w:tcPr>
            <w:tcW w:w="289" w:type="dxa"/>
            <w:tcBorders>
              <w:top w:val="nil"/>
              <w:left w:val="nil"/>
              <w:bottom w:val="nil"/>
              <w:right w:val="nil"/>
            </w:tcBorders>
            <w:vAlign w:val="center"/>
          </w:tcPr>
          <w:p w14:paraId="6EC6CAA7" w14:textId="77777777" w:rsidR="00A4469D" w:rsidRDefault="00A4469D" w:rsidP="009E6532">
            <w:pPr>
              <w:pStyle w:val="08-Tabelageral"/>
              <w:spacing w:before="0" w:after="0"/>
              <w:rPr>
                <w:rFonts w:cs="Arial"/>
                <w:b/>
                <w:bCs/>
                <w:szCs w:val="14"/>
                <w:lang w:eastAsia="en-US"/>
              </w:rPr>
            </w:pPr>
          </w:p>
        </w:tc>
        <w:tc>
          <w:tcPr>
            <w:tcW w:w="1596" w:type="dxa"/>
            <w:tcBorders>
              <w:top w:val="nil"/>
              <w:left w:val="nil"/>
              <w:bottom w:val="nil"/>
              <w:right w:val="nil"/>
            </w:tcBorders>
            <w:vAlign w:val="center"/>
          </w:tcPr>
          <w:p w14:paraId="5B595D08" w14:textId="77777777" w:rsidR="00A4469D" w:rsidRDefault="00A4469D" w:rsidP="009E6532">
            <w:pPr>
              <w:pStyle w:val="08-Tabelageral"/>
              <w:spacing w:before="0" w:after="0"/>
              <w:rPr>
                <w:rFonts w:cs="Arial"/>
                <w:b/>
                <w:bCs/>
                <w:szCs w:val="14"/>
                <w:lang w:eastAsia="en-US"/>
              </w:rPr>
            </w:pPr>
          </w:p>
        </w:tc>
        <w:tc>
          <w:tcPr>
            <w:tcW w:w="1219" w:type="dxa"/>
            <w:tcBorders>
              <w:top w:val="nil"/>
              <w:left w:val="nil"/>
              <w:bottom w:val="nil"/>
              <w:right w:val="nil"/>
            </w:tcBorders>
            <w:vAlign w:val="center"/>
          </w:tcPr>
          <w:p w14:paraId="0E52D932" w14:textId="77777777" w:rsidR="00A4469D" w:rsidRDefault="00A4469D" w:rsidP="009E6532">
            <w:pPr>
              <w:pStyle w:val="08-Tabelageral"/>
              <w:spacing w:before="0" w:after="0"/>
              <w:rPr>
                <w:rFonts w:cs="Arial"/>
                <w:b/>
                <w:bCs/>
                <w:szCs w:val="14"/>
                <w:lang w:eastAsia="en-US"/>
              </w:rPr>
            </w:pPr>
          </w:p>
        </w:tc>
      </w:tr>
      <w:tr w:rsidR="00A4469D" w14:paraId="526DD8CE" w14:textId="77777777" w:rsidTr="0041270E">
        <w:trPr>
          <w:trHeight w:val="238"/>
          <w:jc w:val="center"/>
        </w:trPr>
        <w:tc>
          <w:tcPr>
            <w:tcW w:w="2892" w:type="dxa"/>
            <w:tcBorders>
              <w:top w:val="nil"/>
              <w:left w:val="nil"/>
              <w:bottom w:val="nil"/>
              <w:right w:val="nil"/>
            </w:tcBorders>
            <w:vAlign w:val="center"/>
            <w:hideMark/>
          </w:tcPr>
          <w:p w14:paraId="41D469CF" w14:textId="77777777" w:rsidR="00A4469D" w:rsidRDefault="00A4469D" w:rsidP="009E6532">
            <w:pPr>
              <w:pStyle w:val="08-Tabelageral"/>
              <w:spacing w:before="0" w:after="0"/>
              <w:jc w:val="left"/>
              <w:rPr>
                <w:rFonts w:cs="Arial"/>
                <w:b/>
                <w:szCs w:val="14"/>
                <w:lang w:eastAsia="en-US"/>
              </w:rPr>
            </w:pPr>
            <w:r>
              <w:rPr>
                <w:rFonts w:cs="Arial"/>
                <w:b/>
                <w:szCs w:val="14"/>
              </w:rPr>
              <w:t>Initial balance</w:t>
            </w:r>
          </w:p>
        </w:tc>
        <w:tc>
          <w:tcPr>
            <w:tcW w:w="616" w:type="dxa"/>
            <w:tcBorders>
              <w:top w:val="nil"/>
              <w:left w:val="nil"/>
              <w:bottom w:val="nil"/>
              <w:right w:val="nil"/>
            </w:tcBorders>
            <w:vAlign w:val="center"/>
          </w:tcPr>
          <w:p w14:paraId="0CEC09A9" w14:textId="77777777" w:rsidR="00A4469D" w:rsidRDefault="00A4469D" w:rsidP="009E6532">
            <w:pPr>
              <w:pStyle w:val="08-Tabelageral"/>
              <w:spacing w:before="0" w:after="0"/>
              <w:rPr>
                <w:rFonts w:cs="Arial"/>
                <w:b/>
                <w:bCs/>
                <w:szCs w:val="14"/>
                <w:lang w:eastAsia="en-US"/>
              </w:rPr>
            </w:pPr>
          </w:p>
        </w:tc>
        <w:tc>
          <w:tcPr>
            <w:tcW w:w="1723" w:type="dxa"/>
            <w:tcBorders>
              <w:top w:val="nil"/>
              <w:left w:val="nil"/>
              <w:bottom w:val="nil"/>
              <w:right w:val="nil"/>
            </w:tcBorders>
            <w:vAlign w:val="center"/>
          </w:tcPr>
          <w:p w14:paraId="563B5B9B" w14:textId="77777777" w:rsidR="00A4469D" w:rsidRDefault="00A4469D" w:rsidP="009E6532">
            <w:pPr>
              <w:pStyle w:val="08-Tabelageral"/>
              <w:spacing w:before="0" w:after="0"/>
              <w:rPr>
                <w:rFonts w:cs="Arial"/>
                <w:b/>
                <w:bCs/>
                <w:szCs w:val="14"/>
                <w:lang w:eastAsia="en-US"/>
              </w:rPr>
            </w:pPr>
          </w:p>
        </w:tc>
        <w:tc>
          <w:tcPr>
            <w:tcW w:w="1304" w:type="dxa"/>
            <w:tcBorders>
              <w:top w:val="nil"/>
              <w:left w:val="nil"/>
              <w:bottom w:val="nil"/>
              <w:right w:val="nil"/>
            </w:tcBorders>
            <w:vAlign w:val="center"/>
            <w:hideMark/>
          </w:tcPr>
          <w:p w14:paraId="3E362087" w14:textId="77777777" w:rsidR="00A4469D" w:rsidRDefault="00A4469D" w:rsidP="009E6532">
            <w:pPr>
              <w:pStyle w:val="08-Tabelageral"/>
              <w:spacing w:before="0" w:after="0"/>
              <w:rPr>
                <w:rFonts w:cs="Arial"/>
                <w:b/>
                <w:bCs/>
                <w:szCs w:val="14"/>
                <w:lang w:eastAsia="en-US"/>
              </w:rPr>
            </w:pPr>
            <w:r>
              <w:rPr>
                <w:rFonts w:cs="Arial"/>
                <w:b/>
                <w:bCs/>
                <w:szCs w:val="14"/>
              </w:rPr>
              <w:t>28</w:t>
            </w:r>
          </w:p>
        </w:tc>
        <w:tc>
          <w:tcPr>
            <w:tcW w:w="289" w:type="dxa"/>
            <w:tcBorders>
              <w:top w:val="nil"/>
              <w:left w:val="nil"/>
              <w:bottom w:val="nil"/>
              <w:right w:val="nil"/>
            </w:tcBorders>
            <w:vAlign w:val="center"/>
          </w:tcPr>
          <w:p w14:paraId="3D8A9F01" w14:textId="77777777" w:rsidR="00A4469D" w:rsidRDefault="00A4469D" w:rsidP="009E6532">
            <w:pPr>
              <w:pStyle w:val="08-Tabelageral"/>
              <w:spacing w:before="0" w:after="0"/>
              <w:rPr>
                <w:rFonts w:cs="Arial"/>
                <w:b/>
                <w:bCs/>
                <w:szCs w:val="14"/>
                <w:lang w:eastAsia="en-US"/>
              </w:rPr>
            </w:pPr>
          </w:p>
        </w:tc>
        <w:tc>
          <w:tcPr>
            <w:tcW w:w="1596" w:type="dxa"/>
            <w:tcBorders>
              <w:top w:val="nil"/>
              <w:left w:val="nil"/>
              <w:bottom w:val="nil"/>
              <w:right w:val="nil"/>
            </w:tcBorders>
            <w:vAlign w:val="center"/>
          </w:tcPr>
          <w:p w14:paraId="0A02B98A" w14:textId="77777777" w:rsidR="00A4469D" w:rsidRDefault="00A4469D" w:rsidP="009E6532">
            <w:pPr>
              <w:pStyle w:val="08-Tabelageral"/>
              <w:spacing w:before="0" w:after="0"/>
              <w:rPr>
                <w:rFonts w:cs="Arial"/>
                <w:b/>
                <w:bCs/>
                <w:szCs w:val="14"/>
                <w:lang w:eastAsia="en-US"/>
              </w:rPr>
            </w:pPr>
          </w:p>
        </w:tc>
        <w:tc>
          <w:tcPr>
            <w:tcW w:w="1219" w:type="dxa"/>
            <w:tcBorders>
              <w:top w:val="nil"/>
              <w:left w:val="nil"/>
              <w:bottom w:val="nil"/>
              <w:right w:val="nil"/>
            </w:tcBorders>
            <w:vAlign w:val="center"/>
            <w:hideMark/>
          </w:tcPr>
          <w:p w14:paraId="2594A43F" w14:textId="77777777" w:rsidR="00A4469D" w:rsidRDefault="00A4469D" w:rsidP="009E6532">
            <w:pPr>
              <w:pStyle w:val="08-Tabelageral"/>
              <w:spacing w:before="0" w:after="0"/>
              <w:rPr>
                <w:rFonts w:cs="Arial"/>
                <w:b/>
                <w:bCs/>
                <w:szCs w:val="14"/>
                <w:lang w:eastAsia="en-US"/>
              </w:rPr>
            </w:pPr>
            <w:r>
              <w:rPr>
                <w:rFonts w:cs="Arial"/>
                <w:b/>
                <w:bCs/>
                <w:color w:val="000000"/>
                <w:szCs w:val="14"/>
              </w:rPr>
              <w:t>230</w:t>
            </w:r>
          </w:p>
        </w:tc>
      </w:tr>
      <w:tr w:rsidR="00A4469D" w14:paraId="6FB0B4BD" w14:textId="77777777" w:rsidTr="0041270E">
        <w:trPr>
          <w:trHeight w:val="238"/>
          <w:jc w:val="center"/>
        </w:trPr>
        <w:tc>
          <w:tcPr>
            <w:tcW w:w="2892" w:type="dxa"/>
            <w:tcBorders>
              <w:top w:val="nil"/>
              <w:left w:val="nil"/>
              <w:bottom w:val="nil"/>
              <w:right w:val="nil"/>
            </w:tcBorders>
            <w:vAlign w:val="center"/>
            <w:hideMark/>
          </w:tcPr>
          <w:p w14:paraId="5B234175" w14:textId="77777777" w:rsidR="00A4469D" w:rsidRDefault="00A4469D" w:rsidP="009E6532">
            <w:pPr>
              <w:pStyle w:val="08-Tabelageral"/>
              <w:spacing w:before="0" w:after="0"/>
              <w:jc w:val="left"/>
              <w:rPr>
                <w:rFonts w:cs="Arial"/>
                <w:bCs/>
                <w:szCs w:val="14"/>
                <w:lang w:eastAsia="en-US"/>
              </w:rPr>
            </w:pPr>
            <w:r>
              <w:rPr>
                <w:rFonts w:cs="Arial"/>
                <w:szCs w:val="14"/>
              </w:rPr>
              <w:t>Addition</w:t>
            </w:r>
            <w:r w:rsidRPr="00A33E7B">
              <w:rPr>
                <w:rFonts w:cs="Arial"/>
                <w:szCs w:val="14"/>
              </w:rPr>
              <w:t>/</w:t>
            </w:r>
            <w:r>
              <w:rPr>
                <w:rFonts w:cs="Arial"/>
                <w:szCs w:val="14"/>
              </w:rPr>
              <w:t>Update</w:t>
            </w:r>
          </w:p>
        </w:tc>
        <w:tc>
          <w:tcPr>
            <w:tcW w:w="616" w:type="dxa"/>
            <w:tcBorders>
              <w:top w:val="nil"/>
              <w:left w:val="nil"/>
              <w:bottom w:val="nil"/>
              <w:right w:val="nil"/>
            </w:tcBorders>
            <w:vAlign w:val="center"/>
          </w:tcPr>
          <w:p w14:paraId="7293118C" w14:textId="77777777" w:rsidR="00A4469D" w:rsidRDefault="00A4469D" w:rsidP="009E6532">
            <w:pPr>
              <w:pStyle w:val="08-Tabelageral"/>
              <w:spacing w:before="0" w:after="0"/>
              <w:rPr>
                <w:rFonts w:cs="Arial"/>
                <w:szCs w:val="14"/>
                <w:lang w:eastAsia="en-US"/>
              </w:rPr>
            </w:pPr>
          </w:p>
        </w:tc>
        <w:tc>
          <w:tcPr>
            <w:tcW w:w="1723" w:type="dxa"/>
            <w:tcBorders>
              <w:top w:val="nil"/>
              <w:left w:val="nil"/>
              <w:bottom w:val="nil"/>
              <w:right w:val="nil"/>
            </w:tcBorders>
            <w:vAlign w:val="center"/>
          </w:tcPr>
          <w:p w14:paraId="0F152538" w14:textId="77777777" w:rsidR="00A4469D" w:rsidRDefault="00A4469D" w:rsidP="009E6532">
            <w:pPr>
              <w:pStyle w:val="08-Tabelageral"/>
              <w:spacing w:before="0" w:after="0"/>
              <w:rPr>
                <w:rFonts w:cs="Arial"/>
                <w:szCs w:val="14"/>
                <w:lang w:eastAsia="en-US"/>
              </w:rPr>
            </w:pPr>
          </w:p>
        </w:tc>
        <w:tc>
          <w:tcPr>
            <w:tcW w:w="1304" w:type="dxa"/>
            <w:tcBorders>
              <w:top w:val="nil"/>
              <w:left w:val="nil"/>
              <w:bottom w:val="nil"/>
              <w:right w:val="nil"/>
            </w:tcBorders>
            <w:vAlign w:val="center"/>
            <w:hideMark/>
          </w:tcPr>
          <w:p w14:paraId="39418479" w14:textId="77777777" w:rsidR="00A4469D" w:rsidRDefault="00A4469D" w:rsidP="009E6532">
            <w:pPr>
              <w:pStyle w:val="08-Tabelageral"/>
              <w:spacing w:before="0" w:after="0"/>
              <w:rPr>
                <w:rFonts w:cs="Arial"/>
                <w:szCs w:val="14"/>
                <w:lang w:eastAsia="en-US"/>
              </w:rPr>
            </w:pPr>
            <w:r>
              <w:rPr>
                <w:rFonts w:cs="Arial"/>
                <w:szCs w:val="14"/>
              </w:rPr>
              <w:t>--</w:t>
            </w:r>
          </w:p>
        </w:tc>
        <w:tc>
          <w:tcPr>
            <w:tcW w:w="289" w:type="dxa"/>
            <w:tcBorders>
              <w:top w:val="nil"/>
              <w:left w:val="nil"/>
              <w:bottom w:val="nil"/>
              <w:right w:val="nil"/>
            </w:tcBorders>
            <w:vAlign w:val="center"/>
          </w:tcPr>
          <w:p w14:paraId="2183F977" w14:textId="77777777" w:rsidR="00A4469D" w:rsidRDefault="00A4469D" w:rsidP="009E6532">
            <w:pPr>
              <w:pStyle w:val="08-Tabelageral"/>
              <w:spacing w:before="0" w:after="0"/>
              <w:rPr>
                <w:rFonts w:cs="Arial"/>
                <w:szCs w:val="14"/>
                <w:lang w:eastAsia="en-US"/>
              </w:rPr>
            </w:pPr>
          </w:p>
        </w:tc>
        <w:tc>
          <w:tcPr>
            <w:tcW w:w="1596" w:type="dxa"/>
            <w:tcBorders>
              <w:top w:val="nil"/>
              <w:left w:val="nil"/>
              <w:bottom w:val="nil"/>
              <w:right w:val="nil"/>
            </w:tcBorders>
            <w:vAlign w:val="center"/>
          </w:tcPr>
          <w:p w14:paraId="5F060619" w14:textId="77777777" w:rsidR="00A4469D" w:rsidRDefault="00A4469D" w:rsidP="009E6532">
            <w:pPr>
              <w:pStyle w:val="08-Tabelageral"/>
              <w:spacing w:before="0" w:after="0"/>
              <w:rPr>
                <w:rFonts w:cs="Arial"/>
                <w:szCs w:val="14"/>
                <w:lang w:eastAsia="en-US"/>
              </w:rPr>
            </w:pPr>
          </w:p>
        </w:tc>
        <w:tc>
          <w:tcPr>
            <w:tcW w:w="1219" w:type="dxa"/>
            <w:tcBorders>
              <w:top w:val="nil"/>
              <w:left w:val="nil"/>
              <w:bottom w:val="nil"/>
              <w:right w:val="nil"/>
            </w:tcBorders>
            <w:vAlign w:val="center"/>
            <w:hideMark/>
          </w:tcPr>
          <w:p w14:paraId="0524CBF2" w14:textId="77777777" w:rsidR="00A4469D" w:rsidRDefault="00A4469D" w:rsidP="009E6532">
            <w:pPr>
              <w:pStyle w:val="08-Tabelageral"/>
              <w:spacing w:before="0" w:after="0"/>
              <w:rPr>
                <w:rFonts w:cs="Arial"/>
                <w:szCs w:val="14"/>
                <w:lang w:eastAsia="en-US"/>
              </w:rPr>
            </w:pPr>
            <w:r>
              <w:rPr>
                <w:rFonts w:cs="Arial"/>
                <w:color w:val="000000"/>
                <w:szCs w:val="14"/>
              </w:rPr>
              <w:t>--</w:t>
            </w:r>
          </w:p>
        </w:tc>
      </w:tr>
      <w:tr w:rsidR="00A4469D" w14:paraId="32DA19C4" w14:textId="77777777" w:rsidTr="0041270E">
        <w:trPr>
          <w:trHeight w:val="238"/>
          <w:jc w:val="center"/>
        </w:trPr>
        <w:tc>
          <w:tcPr>
            <w:tcW w:w="2892" w:type="dxa"/>
            <w:tcBorders>
              <w:top w:val="nil"/>
              <w:left w:val="nil"/>
              <w:bottom w:val="nil"/>
              <w:right w:val="nil"/>
            </w:tcBorders>
            <w:vAlign w:val="center"/>
            <w:hideMark/>
          </w:tcPr>
          <w:p w14:paraId="6912AED8" w14:textId="77777777" w:rsidR="00A4469D" w:rsidRDefault="00A4469D" w:rsidP="009E6532">
            <w:pPr>
              <w:pStyle w:val="08-Tabelageral"/>
              <w:spacing w:before="0" w:after="0"/>
              <w:jc w:val="left"/>
              <w:rPr>
                <w:rFonts w:cs="Arial"/>
                <w:bCs/>
                <w:szCs w:val="14"/>
                <w:lang w:eastAsia="en-US"/>
              </w:rPr>
            </w:pPr>
            <w:r w:rsidRPr="00A33E7B">
              <w:rPr>
                <w:rFonts w:cs="Arial"/>
                <w:szCs w:val="14"/>
              </w:rPr>
              <w:t>Rever</w:t>
            </w:r>
            <w:r>
              <w:rPr>
                <w:rFonts w:cs="Arial"/>
                <w:szCs w:val="14"/>
              </w:rPr>
              <w:t>sal of the provision</w:t>
            </w:r>
          </w:p>
        </w:tc>
        <w:tc>
          <w:tcPr>
            <w:tcW w:w="616" w:type="dxa"/>
            <w:tcBorders>
              <w:top w:val="nil"/>
              <w:left w:val="nil"/>
              <w:bottom w:val="nil"/>
              <w:right w:val="nil"/>
            </w:tcBorders>
            <w:vAlign w:val="center"/>
          </w:tcPr>
          <w:p w14:paraId="0CCA7BCC" w14:textId="77777777" w:rsidR="00A4469D" w:rsidRDefault="00A4469D" w:rsidP="009E6532">
            <w:pPr>
              <w:pStyle w:val="08-Tabelageral"/>
              <w:spacing w:before="0" w:after="0"/>
              <w:rPr>
                <w:rFonts w:cs="Arial"/>
                <w:szCs w:val="14"/>
                <w:lang w:eastAsia="en-US"/>
              </w:rPr>
            </w:pPr>
          </w:p>
        </w:tc>
        <w:tc>
          <w:tcPr>
            <w:tcW w:w="1723" w:type="dxa"/>
            <w:tcBorders>
              <w:top w:val="nil"/>
              <w:left w:val="nil"/>
              <w:bottom w:val="nil"/>
              <w:right w:val="nil"/>
            </w:tcBorders>
            <w:vAlign w:val="center"/>
          </w:tcPr>
          <w:p w14:paraId="4EFC0718" w14:textId="77777777" w:rsidR="00A4469D" w:rsidRDefault="00A4469D" w:rsidP="009E6532">
            <w:pPr>
              <w:pStyle w:val="08-Tabelageral"/>
              <w:spacing w:before="0" w:after="0"/>
              <w:rPr>
                <w:rFonts w:cs="Arial"/>
                <w:szCs w:val="14"/>
                <w:lang w:eastAsia="en-US"/>
              </w:rPr>
            </w:pPr>
          </w:p>
        </w:tc>
        <w:tc>
          <w:tcPr>
            <w:tcW w:w="1304" w:type="dxa"/>
            <w:tcBorders>
              <w:top w:val="nil"/>
              <w:left w:val="nil"/>
              <w:bottom w:val="nil"/>
              <w:right w:val="nil"/>
            </w:tcBorders>
            <w:vAlign w:val="center"/>
            <w:hideMark/>
          </w:tcPr>
          <w:p w14:paraId="35A8F039" w14:textId="77777777" w:rsidR="00A4469D" w:rsidRDefault="00A4469D" w:rsidP="009E6532">
            <w:pPr>
              <w:pStyle w:val="08-Tabelageral"/>
              <w:spacing w:before="0" w:after="0"/>
              <w:rPr>
                <w:rFonts w:cs="Arial"/>
                <w:szCs w:val="14"/>
                <w:lang w:eastAsia="en-US"/>
              </w:rPr>
            </w:pPr>
            <w:r>
              <w:rPr>
                <w:rFonts w:cs="Arial"/>
                <w:szCs w:val="14"/>
              </w:rPr>
              <w:t>--</w:t>
            </w:r>
          </w:p>
        </w:tc>
        <w:tc>
          <w:tcPr>
            <w:tcW w:w="289" w:type="dxa"/>
            <w:tcBorders>
              <w:top w:val="nil"/>
              <w:left w:val="nil"/>
              <w:bottom w:val="nil"/>
              <w:right w:val="nil"/>
            </w:tcBorders>
            <w:vAlign w:val="center"/>
          </w:tcPr>
          <w:p w14:paraId="2D147FA4" w14:textId="77777777" w:rsidR="00A4469D" w:rsidRDefault="00A4469D" w:rsidP="009E6532">
            <w:pPr>
              <w:pStyle w:val="08-Tabelageral"/>
              <w:spacing w:before="0" w:after="0"/>
              <w:rPr>
                <w:rFonts w:cs="Arial"/>
                <w:szCs w:val="14"/>
                <w:lang w:eastAsia="en-US"/>
              </w:rPr>
            </w:pPr>
          </w:p>
        </w:tc>
        <w:tc>
          <w:tcPr>
            <w:tcW w:w="1596" w:type="dxa"/>
            <w:tcBorders>
              <w:top w:val="nil"/>
              <w:left w:val="nil"/>
              <w:bottom w:val="nil"/>
              <w:right w:val="nil"/>
            </w:tcBorders>
            <w:vAlign w:val="center"/>
          </w:tcPr>
          <w:p w14:paraId="0671949E" w14:textId="77777777" w:rsidR="00A4469D" w:rsidRDefault="00A4469D" w:rsidP="009E6532">
            <w:pPr>
              <w:pStyle w:val="08-Tabelageral"/>
              <w:spacing w:before="0" w:after="0"/>
              <w:rPr>
                <w:rFonts w:cs="Arial"/>
                <w:szCs w:val="14"/>
                <w:lang w:eastAsia="en-US"/>
              </w:rPr>
            </w:pPr>
          </w:p>
        </w:tc>
        <w:tc>
          <w:tcPr>
            <w:tcW w:w="1219" w:type="dxa"/>
            <w:tcBorders>
              <w:top w:val="nil"/>
              <w:left w:val="nil"/>
              <w:bottom w:val="nil"/>
              <w:right w:val="nil"/>
            </w:tcBorders>
            <w:vAlign w:val="center"/>
            <w:hideMark/>
          </w:tcPr>
          <w:p w14:paraId="4E5F234D" w14:textId="77777777" w:rsidR="00A4469D" w:rsidRDefault="00A4469D" w:rsidP="009E6532">
            <w:pPr>
              <w:pStyle w:val="08-Tabelageral"/>
              <w:spacing w:before="0" w:after="0"/>
              <w:rPr>
                <w:rFonts w:cs="Arial"/>
                <w:szCs w:val="14"/>
                <w:lang w:eastAsia="en-US"/>
              </w:rPr>
            </w:pPr>
            <w:r>
              <w:rPr>
                <w:rFonts w:cs="Arial"/>
                <w:color w:val="000000"/>
                <w:szCs w:val="14"/>
              </w:rPr>
              <w:t>--</w:t>
            </w:r>
          </w:p>
        </w:tc>
      </w:tr>
      <w:tr w:rsidR="00A4469D" w14:paraId="6576D2F9" w14:textId="77777777" w:rsidTr="0041270E">
        <w:trPr>
          <w:trHeight w:val="238"/>
          <w:jc w:val="center"/>
        </w:trPr>
        <w:tc>
          <w:tcPr>
            <w:tcW w:w="2892" w:type="dxa"/>
            <w:tcBorders>
              <w:top w:val="nil"/>
              <w:left w:val="nil"/>
              <w:bottom w:val="nil"/>
              <w:right w:val="nil"/>
            </w:tcBorders>
            <w:vAlign w:val="center"/>
            <w:hideMark/>
          </w:tcPr>
          <w:p w14:paraId="741B310B" w14:textId="77777777" w:rsidR="00A4469D" w:rsidRDefault="00A4469D" w:rsidP="009E6532">
            <w:pPr>
              <w:pStyle w:val="08-Tabelageral"/>
              <w:spacing w:before="0" w:after="0"/>
              <w:jc w:val="left"/>
              <w:rPr>
                <w:rFonts w:cs="Arial"/>
                <w:bCs/>
                <w:szCs w:val="14"/>
                <w:lang w:eastAsia="en-US"/>
              </w:rPr>
            </w:pPr>
            <w:r>
              <w:rPr>
                <w:rFonts w:cs="Arial"/>
                <w:szCs w:val="14"/>
              </w:rPr>
              <w:t>W</w:t>
            </w:r>
            <w:r w:rsidRPr="007A6A25">
              <w:rPr>
                <w:rFonts w:cs="Arial"/>
                <w:szCs w:val="14"/>
              </w:rPr>
              <w:t>rite-off by payment</w:t>
            </w:r>
          </w:p>
        </w:tc>
        <w:tc>
          <w:tcPr>
            <w:tcW w:w="616" w:type="dxa"/>
            <w:tcBorders>
              <w:top w:val="nil"/>
              <w:left w:val="nil"/>
              <w:bottom w:val="nil"/>
              <w:right w:val="nil"/>
            </w:tcBorders>
            <w:vAlign w:val="center"/>
          </w:tcPr>
          <w:p w14:paraId="52355FB7" w14:textId="77777777" w:rsidR="00A4469D" w:rsidRDefault="00A4469D" w:rsidP="009E6532">
            <w:pPr>
              <w:pStyle w:val="08-Tabelageral"/>
              <w:spacing w:before="0" w:after="0"/>
              <w:rPr>
                <w:rFonts w:cs="Arial"/>
                <w:szCs w:val="14"/>
                <w:lang w:eastAsia="en-US"/>
              </w:rPr>
            </w:pPr>
          </w:p>
        </w:tc>
        <w:tc>
          <w:tcPr>
            <w:tcW w:w="1723" w:type="dxa"/>
            <w:tcBorders>
              <w:top w:val="nil"/>
              <w:left w:val="nil"/>
              <w:bottom w:val="nil"/>
              <w:right w:val="nil"/>
            </w:tcBorders>
            <w:vAlign w:val="center"/>
          </w:tcPr>
          <w:p w14:paraId="64A5DEE6" w14:textId="77777777" w:rsidR="00A4469D" w:rsidRDefault="00A4469D" w:rsidP="009E6532">
            <w:pPr>
              <w:pStyle w:val="08-Tabelageral"/>
              <w:spacing w:before="0" w:after="0"/>
              <w:rPr>
                <w:rFonts w:cs="Arial"/>
                <w:szCs w:val="14"/>
                <w:lang w:eastAsia="en-US"/>
              </w:rPr>
            </w:pPr>
          </w:p>
        </w:tc>
        <w:tc>
          <w:tcPr>
            <w:tcW w:w="1304" w:type="dxa"/>
            <w:tcBorders>
              <w:top w:val="nil"/>
              <w:left w:val="nil"/>
              <w:bottom w:val="nil"/>
              <w:right w:val="nil"/>
            </w:tcBorders>
            <w:vAlign w:val="center"/>
            <w:hideMark/>
          </w:tcPr>
          <w:p w14:paraId="4A64FB37" w14:textId="77777777" w:rsidR="00A4469D" w:rsidRDefault="00A4469D" w:rsidP="009E6532">
            <w:pPr>
              <w:pStyle w:val="08-Tabelageral"/>
              <w:spacing w:before="0" w:after="0"/>
              <w:rPr>
                <w:rFonts w:cs="Arial"/>
                <w:szCs w:val="14"/>
                <w:lang w:eastAsia="en-US"/>
              </w:rPr>
            </w:pPr>
            <w:r>
              <w:rPr>
                <w:rFonts w:cs="Arial"/>
                <w:szCs w:val="14"/>
              </w:rPr>
              <w:t>--</w:t>
            </w:r>
          </w:p>
        </w:tc>
        <w:tc>
          <w:tcPr>
            <w:tcW w:w="289" w:type="dxa"/>
            <w:tcBorders>
              <w:top w:val="nil"/>
              <w:left w:val="nil"/>
              <w:bottom w:val="nil"/>
              <w:right w:val="nil"/>
            </w:tcBorders>
            <w:vAlign w:val="center"/>
          </w:tcPr>
          <w:p w14:paraId="1F0648C5" w14:textId="77777777" w:rsidR="00A4469D" w:rsidRDefault="00A4469D" w:rsidP="009E6532">
            <w:pPr>
              <w:pStyle w:val="08-Tabelageral"/>
              <w:spacing w:before="0" w:after="0"/>
              <w:rPr>
                <w:rFonts w:cs="Arial"/>
                <w:szCs w:val="14"/>
                <w:lang w:eastAsia="en-US"/>
              </w:rPr>
            </w:pPr>
          </w:p>
        </w:tc>
        <w:tc>
          <w:tcPr>
            <w:tcW w:w="1596" w:type="dxa"/>
            <w:tcBorders>
              <w:top w:val="nil"/>
              <w:left w:val="nil"/>
              <w:bottom w:val="nil"/>
              <w:right w:val="nil"/>
            </w:tcBorders>
            <w:vAlign w:val="center"/>
          </w:tcPr>
          <w:p w14:paraId="4F227499" w14:textId="77777777" w:rsidR="00A4469D" w:rsidRDefault="00A4469D" w:rsidP="009E6532">
            <w:pPr>
              <w:pStyle w:val="08-Tabelageral"/>
              <w:spacing w:before="0" w:after="0"/>
              <w:rPr>
                <w:rFonts w:cs="Arial"/>
                <w:szCs w:val="14"/>
                <w:lang w:eastAsia="en-US"/>
              </w:rPr>
            </w:pPr>
          </w:p>
        </w:tc>
        <w:tc>
          <w:tcPr>
            <w:tcW w:w="1219" w:type="dxa"/>
            <w:tcBorders>
              <w:top w:val="nil"/>
              <w:left w:val="nil"/>
              <w:bottom w:val="nil"/>
              <w:right w:val="nil"/>
            </w:tcBorders>
            <w:vAlign w:val="center"/>
            <w:hideMark/>
          </w:tcPr>
          <w:p w14:paraId="77DFF2E9" w14:textId="77777777" w:rsidR="00A4469D" w:rsidRDefault="00A4469D" w:rsidP="009E6532">
            <w:pPr>
              <w:pStyle w:val="08-Tabelageral"/>
              <w:spacing w:before="0" w:after="0"/>
              <w:rPr>
                <w:rFonts w:cs="Arial"/>
                <w:szCs w:val="14"/>
                <w:lang w:eastAsia="en-US"/>
              </w:rPr>
            </w:pPr>
            <w:r>
              <w:rPr>
                <w:rFonts w:cs="Arial"/>
                <w:color w:val="000000"/>
                <w:szCs w:val="14"/>
              </w:rPr>
              <w:t>(202)</w:t>
            </w:r>
          </w:p>
        </w:tc>
      </w:tr>
      <w:tr w:rsidR="00A4469D" w14:paraId="757790D1" w14:textId="77777777" w:rsidTr="0041270E">
        <w:trPr>
          <w:trHeight w:val="238"/>
          <w:jc w:val="center"/>
        </w:trPr>
        <w:tc>
          <w:tcPr>
            <w:tcW w:w="2892" w:type="dxa"/>
            <w:tcBorders>
              <w:top w:val="nil"/>
              <w:left w:val="nil"/>
              <w:bottom w:val="nil"/>
              <w:right w:val="nil"/>
            </w:tcBorders>
            <w:vAlign w:val="center"/>
            <w:hideMark/>
          </w:tcPr>
          <w:p w14:paraId="1A887DE4" w14:textId="77777777" w:rsidR="00A4469D" w:rsidRDefault="00A4469D" w:rsidP="009E6532">
            <w:pPr>
              <w:pStyle w:val="08-Tabelageral"/>
              <w:spacing w:before="0" w:after="0"/>
              <w:jc w:val="left"/>
              <w:rPr>
                <w:rFonts w:cs="Arial"/>
                <w:b/>
                <w:szCs w:val="14"/>
                <w:lang w:eastAsia="en-US"/>
              </w:rPr>
            </w:pPr>
            <w:r>
              <w:rPr>
                <w:rFonts w:cs="Arial"/>
                <w:b/>
                <w:szCs w:val="14"/>
              </w:rPr>
              <w:t>Closing balance</w:t>
            </w:r>
          </w:p>
        </w:tc>
        <w:tc>
          <w:tcPr>
            <w:tcW w:w="616" w:type="dxa"/>
            <w:tcBorders>
              <w:top w:val="nil"/>
              <w:left w:val="nil"/>
              <w:bottom w:val="nil"/>
              <w:right w:val="nil"/>
            </w:tcBorders>
            <w:vAlign w:val="center"/>
          </w:tcPr>
          <w:p w14:paraId="015248BB" w14:textId="77777777" w:rsidR="00A4469D" w:rsidRDefault="00A4469D" w:rsidP="009E6532">
            <w:pPr>
              <w:pStyle w:val="08-Tabelageral"/>
              <w:spacing w:before="0" w:after="0"/>
              <w:rPr>
                <w:rFonts w:cs="Arial"/>
                <w:b/>
                <w:bCs/>
                <w:szCs w:val="14"/>
                <w:lang w:eastAsia="en-US"/>
              </w:rPr>
            </w:pPr>
          </w:p>
        </w:tc>
        <w:tc>
          <w:tcPr>
            <w:tcW w:w="1723" w:type="dxa"/>
            <w:tcBorders>
              <w:top w:val="nil"/>
              <w:left w:val="nil"/>
              <w:bottom w:val="nil"/>
              <w:right w:val="nil"/>
            </w:tcBorders>
            <w:vAlign w:val="center"/>
          </w:tcPr>
          <w:p w14:paraId="4CBCEA8D" w14:textId="77777777" w:rsidR="00A4469D" w:rsidRDefault="00A4469D" w:rsidP="009E6532">
            <w:pPr>
              <w:pStyle w:val="08-Tabelageral"/>
              <w:spacing w:before="0" w:after="0"/>
              <w:rPr>
                <w:rFonts w:cs="Arial"/>
                <w:b/>
                <w:bCs/>
                <w:szCs w:val="14"/>
                <w:lang w:eastAsia="en-US"/>
              </w:rPr>
            </w:pPr>
          </w:p>
        </w:tc>
        <w:tc>
          <w:tcPr>
            <w:tcW w:w="1304" w:type="dxa"/>
            <w:tcBorders>
              <w:top w:val="nil"/>
              <w:left w:val="nil"/>
              <w:bottom w:val="nil"/>
              <w:right w:val="nil"/>
            </w:tcBorders>
            <w:vAlign w:val="center"/>
            <w:hideMark/>
          </w:tcPr>
          <w:p w14:paraId="067EFB0B" w14:textId="77777777" w:rsidR="00A4469D" w:rsidRDefault="00A4469D" w:rsidP="009E6532">
            <w:pPr>
              <w:pStyle w:val="08-Tabelageral"/>
              <w:spacing w:before="0" w:after="0"/>
              <w:rPr>
                <w:rFonts w:cs="Arial"/>
                <w:b/>
                <w:bCs/>
                <w:szCs w:val="14"/>
                <w:lang w:eastAsia="en-US"/>
              </w:rPr>
            </w:pPr>
            <w:r>
              <w:rPr>
                <w:rFonts w:cs="Arial"/>
                <w:b/>
                <w:bCs/>
                <w:szCs w:val="14"/>
              </w:rPr>
              <w:t>28</w:t>
            </w:r>
          </w:p>
        </w:tc>
        <w:tc>
          <w:tcPr>
            <w:tcW w:w="289" w:type="dxa"/>
            <w:tcBorders>
              <w:top w:val="nil"/>
              <w:left w:val="nil"/>
              <w:bottom w:val="nil"/>
              <w:right w:val="nil"/>
            </w:tcBorders>
            <w:vAlign w:val="center"/>
          </w:tcPr>
          <w:p w14:paraId="50718F71" w14:textId="77777777" w:rsidR="00A4469D" w:rsidRDefault="00A4469D" w:rsidP="009E6532">
            <w:pPr>
              <w:pStyle w:val="08-Tabelageral"/>
              <w:spacing w:before="0" w:after="0"/>
              <w:rPr>
                <w:rFonts w:cs="Arial"/>
                <w:b/>
                <w:bCs/>
                <w:szCs w:val="14"/>
                <w:lang w:eastAsia="en-US"/>
              </w:rPr>
            </w:pPr>
          </w:p>
        </w:tc>
        <w:tc>
          <w:tcPr>
            <w:tcW w:w="1596" w:type="dxa"/>
            <w:tcBorders>
              <w:top w:val="nil"/>
              <w:left w:val="nil"/>
              <w:bottom w:val="nil"/>
              <w:right w:val="nil"/>
            </w:tcBorders>
            <w:vAlign w:val="center"/>
          </w:tcPr>
          <w:p w14:paraId="2F98AF9A" w14:textId="77777777" w:rsidR="00A4469D" w:rsidRDefault="00A4469D" w:rsidP="009E6532">
            <w:pPr>
              <w:pStyle w:val="08-Tabelageral"/>
              <w:spacing w:before="0" w:after="0"/>
              <w:rPr>
                <w:rFonts w:cs="Arial"/>
                <w:b/>
                <w:bCs/>
                <w:szCs w:val="14"/>
                <w:lang w:eastAsia="en-US"/>
              </w:rPr>
            </w:pPr>
          </w:p>
        </w:tc>
        <w:tc>
          <w:tcPr>
            <w:tcW w:w="1219" w:type="dxa"/>
            <w:tcBorders>
              <w:top w:val="nil"/>
              <w:left w:val="nil"/>
              <w:bottom w:val="nil"/>
              <w:right w:val="nil"/>
            </w:tcBorders>
            <w:vAlign w:val="center"/>
            <w:hideMark/>
          </w:tcPr>
          <w:p w14:paraId="0F9580B6" w14:textId="77777777" w:rsidR="00A4469D" w:rsidRDefault="00A4469D" w:rsidP="009E6532">
            <w:pPr>
              <w:pStyle w:val="08-Tabelageral"/>
              <w:spacing w:before="0" w:after="0"/>
              <w:rPr>
                <w:rFonts w:cs="Arial"/>
                <w:b/>
                <w:bCs/>
                <w:szCs w:val="14"/>
                <w:lang w:eastAsia="en-US"/>
              </w:rPr>
            </w:pPr>
            <w:r>
              <w:rPr>
                <w:rFonts w:cs="Arial"/>
                <w:b/>
                <w:bCs/>
                <w:color w:val="000000"/>
                <w:szCs w:val="14"/>
              </w:rPr>
              <w:t>28</w:t>
            </w:r>
          </w:p>
        </w:tc>
      </w:tr>
      <w:tr w:rsidR="00A4469D" w14:paraId="585E7115" w14:textId="77777777" w:rsidTr="0041270E">
        <w:trPr>
          <w:trHeight w:val="238"/>
          <w:jc w:val="center"/>
        </w:trPr>
        <w:tc>
          <w:tcPr>
            <w:tcW w:w="2892" w:type="dxa"/>
            <w:tcBorders>
              <w:top w:val="nil"/>
              <w:left w:val="nil"/>
              <w:bottom w:val="single" w:sz="2" w:space="0" w:color="1F4E79" w:themeColor="accent1" w:themeShade="80"/>
              <w:right w:val="nil"/>
            </w:tcBorders>
            <w:vAlign w:val="center"/>
            <w:hideMark/>
          </w:tcPr>
          <w:p w14:paraId="06FBA5CE" w14:textId="77777777" w:rsidR="00A4469D" w:rsidRDefault="00A4469D" w:rsidP="009E6532">
            <w:pPr>
              <w:pStyle w:val="08-Tabelageral"/>
              <w:spacing w:before="0" w:after="0"/>
              <w:jc w:val="left"/>
              <w:rPr>
                <w:rFonts w:cs="Arial"/>
                <w:b/>
                <w:szCs w:val="14"/>
                <w:lang w:eastAsia="en-US"/>
              </w:rPr>
            </w:pPr>
            <w:r>
              <w:rPr>
                <w:rFonts w:cs="Arial"/>
                <w:b/>
                <w:bCs/>
                <w:szCs w:val="14"/>
              </w:rPr>
              <w:t>Total</w:t>
            </w:r>
          </w:p>
        </w:tc>
        <w:tc>
          <w:tcPr>
            <w:tcW w:w="616" w:type="dxa"/>
            <w:tcBorders>
              <w:top w:val="nil"/>
              <w:left w:val="nil"/>
              <w:bottom w:val="single" w:sz="2" w:space="0" w:color="1F4E79" w:themeColor="accent1" w:themeShade="80"/>
              <w:right w:val="nil"/>
            </w:tcBorders>
            <w:vAlign w:val="center"/>
          </w:tcPr>
          <w:p w14:paraId="7F147752" w14:textId="77777777" w:rsidR="00A4469D" w:rsidRDefault="00A4469D" w:rsidP="009E6532">
            <w:pPr>
              <w:pStyle w:val="08-Tabelageral"/>
              <w:spacing w:before="0" w:after="0"/>
              <w:rPr>
                <w:rFonts w:cs="Arial"/>
                <w:b/>
                <w:bCs/>
                <w:szCs w:val="14"/>
                <w:lang w:eastAsia="en-US"/>
              </w:rPr>
            </w:pPr>
          </w:p>
        </w:tc>
        <w:tc>
          <w:tcPr>
            <w:tcW w:w="1723" w:type="dxa"/>
            <w:tcBorders>
              <w:top w:val="nil"/>
              <w:left w:val="nil"/>
              <w:bottom w:val="single" w:sz="2" w:space="0" w:color="1F4E79" w:themeColor="accent1" w:themeShade="80"/>
              <w:right w:val="nil"/>
            </w:tcBorders>
            <w:vAlign w:val="center"/>
          </w:tcPr>
          <w:p w14:paraId="4F327A6D" w14:textId="77777777" w:rsidR="00A4469D" w:rsidRDefault="00A4469D" w:rsidP="009E6532">
            <w:pPr>
              <w:pStyle w:val="08-Tabelageral"/>
              <w:spacing w:before="0" w:after="0"/>
              <w:rPr>
                <w:rFonts w:cs="Arial"/>
                <w:b/>
                <w:bCs/>
                <w:szCs w:val="14"/>
                <w:lang w:eastAsia="en-US"/>
              </w:rPr>
            </w:pPr>
          </w:p>
        </w:tc>
        <w:tc>
          <w:tcPr>
            <w:tcW w:w="1304" w:type="dxa"/>
            <w:tcBorders>
              <w:top w:val="nil"/>
              <w:left w:val="nil"/>
              <w:bottom w:val="single" w:sz="2" w:space="0" w:color="1F4E79" w:themeColor="accent1" w:themeShade="80"/>
              <w:right w:val="nil"/>
            </w:tcBorders>
            <w:vAlign w:val="center"/>
            <w:hideMark/>
          </w:tcPr>
          <w:p w14:paraId="5E8F8854" w14:textId="77777777" w:rsidR="00A4469D" w:rsidRDefault="00A4469D" w:rsidP="009E6532">
            <w:pPr>
              <w:pStyle w:val="08-Tabelageral"/>
              <w:spacing w:before="0" w:after="0"/>
              <w:rPr>
                <w:rFonts w:cs="Arial"/>
                <w:b/>
                <w:bCs/>
                <w:szCs w:val="14"/>
                <w:lang w:eastAsia="en-US"/>
              </w:rPr>
            </w:pPr>
            <w:r w:rsidRPr="00646621">
              <w:rPr>
                <w:rFonts w:cs="Arial"/>
                <w:b/>
                <w:bCs/>
                <w:szCs w:val="14"/>
              </w:rPr>
              <w:t>13</w:t>
            </w:r>
            <w:r>
              <w:rPr>
                <w:rFonts w:cs="Arial"/>
                <w:b/>
                <w:bCs/>
                <w:szCs w:val="14"/>
              </w:rPr>
              <w:t>,</w:t>
            </w:r>
            <w:r w:rsidRPr="00646621">
              <w:rPr>
                <w:rFonts w:cs="Arial"/>
                <w:b/>
                <w:bCs/>
                <w:szCs w:val="14"/>
              </w:rPr>
              <w:t>882</w:t>
            </w:r>
          </w:p>
        </w:tc>
        <w:tc>
          <w:tcPr>
            <w:tcW w:w="289" w:type="dxa"/>
            <w:tcBorders>
              <w:top w:val="nil"/>
              <w:left w:val="nil"/>
              <w:bottom w:val="single" w:sz="2" w:space="0" w:color="1F4E79" w:themeColor="accent1" w:themeShade="80"/>
              <w:right w:val="nil"/>
            </w:tcBorders>
            <w:vAlign w:val="center"/>
          </w:tcPr>
          <w:p w14:paraId="436DEB76" w14:textId="77777777" w:rsidR="00A4469D" w:rsidRDefault="00A4469D" w:rsidP="009E6532">
            <w:pPr>
              <w:pStyle w:val="08-Tabelageral"/>
              <w:spacing w:before="0" w:after="0"/>
              <w:rPr>
                <w:rFonts w:cs="Arial"/>
                <w:b/>
                <w:bCs/>
                <w:szCs w:val="14"/>
                <w:lang w:eastAsia="en-US"/>
              </w:rPr>
            </w:pPr>
          </w:p>
        </w:tc>
        <w:tc>
          <w:tcPr>
            <w:tcW w:w="1596" w:type="dxa"/>
            <w:tcBorders>
              <w:top w:val="nil"/>
              <w:left w:val="nil"/>
              <w:bottom w:val="single" w:sz="2" w:space="0" w:color="1F4E79" w:themeColor="accent1" w:themeShade="80"/>
              <w:right w:val="nil"/>
            </w:tcBorders>
            <w:vAlign w:val="center"/>
          </w:tcPr>
          <w:p w14:paraId="6AEEEBC0" w14:textId="77777777" w:rsidR="00A4469D" w:rsidRDefault="00A4469D" w:rsidP="009E6532">
            <w:pPr>
              <w:pStyle w:val="08-Tabelageral"/>
              <w:spacing w:before="0" w:after="0"/>
              <w:rPr>
                <w:rFonts w:cs="Arial"/>
                <w:b/>
                <w:bCs/>
                <w:szCs w:val="14"/>
                <w:lang w:eastAsia="en-US"/>
              </w:rPr>
            </w:pPr>
          </w:p>
        </w:tc>
        <w:tc>
          <w:tcPr>
            <w:tcW w:w="1219" w:type="dxa"/>
            <w:tcBorders>
              <w:top w:val="nil"/>
              <w:left w:val="nil"/>
              <w:bottom w:val="single" w:sz="2" w:space="0" w:color="1F4E79" w:themeColor="accent1" w:themeShade="80"/>
              <w:right w:val="nil"/>
            </w:tcBorders>
            <w:vAlign w:val="center"/>
            <w:hideMark/>
          </w:tcPr>
          <w:p w14:paraId="6AD71571" w14:textId="77777777" w:rsidR="00A4469D" w:rsidRDefault="00A4469D" w:rsidP="009E6532">
            <w:pPr>
              <w:pStyle w:val="08-Tabelageral"/>
              <w:spacing w:before="0" w:after="0"/>
              <w:rPr>
                <w:rFonts w:cs="Arial"/>
                <w:b/>
                <w:bCs/>
                <w:szCs w:val="14"/>
                <w:lang w:eastAsia="en-US"/>
              </w:rPr>
            </w:pPr>
            <w:r>
              <w:rPr>
                <w:rFonts w:cs="Arial"/>
                <w:b/>
                <w:bCs/>
                <w:color w:val="000000"/>
                <w:szCs w:val="14"/>
              </w:rPr>
              <w:t>15,415</w:t>
            </w:r>
          </w:p>
        </w:tc>
      </w:tr>
    </w:tbl>
    <w:p w14:paraId="3A251529" w14:textId="77777777" w:rsidR="00A4469D" w:rsidRPr="00134726" w:rsidRDefault="00A4469D" w:rsidP="00A4469D">
      <w:pPr>
        <w:pStyle w:val="07-Legenda"/>
        <w:numPr>
          <w:ilvl w:val="0"/>
          <w:numId w:val="3"/>
        </w:numPr>
        <w:ind w:left="284" w:hanging="284"/>
        <w:rPr>
          <w:rFonts w:cs="Arial"/>
          <w:szCs w:val="14"/>
          <w:lang w:val="en-US"/>
        </w:rPr>
      </w:pPr>
      <w:r w:rsidRPr="00134726">
        <w:rPr>
          <w:rFonts w:cs="Arial"/>
          <w:szCs w:val="14"/>
          <w:lang w:val="en-US"/>
        </w:rPr>
        <w:t>In 2022 incluides the amount of R$ 111 thousand related to monetary restatement (R$ 48 thousand in 2021).</w:t>
      </w:r>
    </w:p>
    <w:p w14:paraId="3BA99A44" w14:textId="77777777" w:rsidR="00A4469D" w:rsidRPr="00134726" w:rsidRDefault="00A4469D" w:rsidP="00A4469D">
      <w:pPr>
        <w:pStyle w:val="07-Legenda"/>
        <w:numPr>
          <w:ilvl w:val="0"/>
          <w:numId w:val="3"/>
        </w:numPr>
        <w:ind w:left="284" w:hanging="284"/>
        <w:rPr>
          <w:rFonts w:cs="Arial"/>
          <w:szCs w:val="14"/>
          <w:lang w:val="en-US"/>
        </w:rPr>
      </w:pPr>
      <w:r w:rsidRPr="00134726">
        <w:rPr>
          <w:rFonts w:cs="Arial"/>
          <w:szCs w:val="14"/>
          <w:lang w:val="en-US"/>
        </w:rPr>
        <w:t>In 2022 incluides the amount of R$ 951 thousand related to monetary restatement (R$ 802 thousand in 2021).</w:t>
      </w:r>
    </w:p>
    <w:p w14:paraId="748FEA68" w14:textId="77777777" w:rsidR="00A4469D" w:rsidRPr="00134726" w:rsidRDefault="00A4469D" w:rsidP="009E6532">
      <w:pPr>
        <w:pStyle w:val="05-Textonormal"/>
        <w:rPr>
          <w:lang w:val="en-US"/>
        </w:rPr>
      </w:pPr>
      <w:r>
        <w:rPr>
          <w:rStyle w:val="tlid-translation"/>
          <w:lang w:val="en"/>
        </w:rPr>
        <w:t xml:space="preserve">In </w:t>
      </w:r>
      <w:r w:rsidRPr="001F20F8">
        <w:rPr>
          <w:rStyle w:val="tlid-translation"/>
          <w:lang w:val="en"/>
        </w:rPr>
        <w:t>20</w:t>
      </w:r>
      <w:r>
        <w:rPr>
          <w:rStyle w:val="tlid-translation"/>
          <w:lang w:val="en"/>
        </w:rPr>
        <w:t>22</w:t>
      </w:r>
      <w:r w:rsidRPr="001F20F8">
        <w:rPr>
          <w:rStyle w:val="tlid-translation"/>
          <w:lang w:val="en"/>
        </w:rPr>
        <w:t xml:space="preserve">, </w:t>
      </w:r>
      <w:r w:rsidRPr="00BD4649">
        <w:rPr>
          <w:rStyle w:val="tlid-translation"/>
          <w:lang w:val="en"/>
        </w:rPr>
        <w:t>the amount</w:t>
      </w:r>
      <w:r>
        <w:rPr>
          <w:rStyle w:val="tlid-translation"/>
          <w:lang w:val="en"/>
        </w:rPr>
        <w:t>s of R$ 28 thousand related to L</w:t>
      </w:r>
      <w:r w:rsidRPr="00BD4649">
        <w:rPr>
          <w:rStyle w:val="tlid-translation"/>
          <w:lang w:val="en"/>
        </w:rPr>
        <w:t>abor claims</w:t>
      </w:r>
      <w:r>
        <w:rPr>
          <w:rStyle w:val="tlid-translation"/>
          <w:lang w:val="en"/>
        </w:rPr>
        <w:t xml:space="preserve"> and R$ 53 thousand related to Civil claims </w:t>
      </w:r>
      <w:r w:rsidRPr="00BD4649">
        <w:rPr>
          <w:rStyle w:val="tlid-translation"/>
          <w:lang w:val="en"/>
        </w:rPr>
        <w:t xml:space="preserve">were provisioned in the </w:t>
      </w:r>
      <w:r w:rsidRPr="008F1457">
        <w:rPr>
          <w:rStyle w:val="tlid-translation"/>
          <w:lang w:val="en"/>
        </w:rPr>
        <w:t>Parent</w:t>
      </w:r>
      <w:r>
        <w:rPr>
          <w:rStyle w:val="tlid-translation"/>
          <w:lang w:val="en"/>
        </w:rPr>
        <w:t xml:space="preserve">. To the </w:t>
      </w:r>
      <w:r w:rsidRPr="00A375E3">
        <w:rPr>
          <w:rStyle w:val="tlid-translation"/>
          <w:lang w:val="en"/>
        </w:rPr>
        <w:t>Tax claims there are no provisions</w:t>
      </w:r>
      <w:r w:rsidRPr="00134726">
        <w:rPr>
          <w:lang w:val="en-US"/>
        </w:rPr>
        <w:t>.</w:t>
      </w:r>
    </w:p>
    <w:p w14:paraId="50209177" w14:textId="77777777" w:rsidR="00A4469D" w:rsidRPr="00134726" w:rsidRDefault="00A4469D" w:rsidP="0065135B">
      <w:pPr>
        <w:pStyle w:val="05-Textonormal"/>
        <w:rPr>
          <w:b/>
          <w:color w:val="1F4E79" w:themeColor="accent1" w:themeShade="80"/>
          <w:lang w:val="en-US"/>
        </w:rPr>
      </w:pPr>
      <w:r w:rsidRPr="00134726">
        <w:rPr>
          <w:b/>
          <w:color w:val="1F4E79" w:themeColor="accent1" w:themeShade="80"/>
          <w:lang w:val="en-US"/>
        </w:rPr>
        <w:t>Expected outflows of economic benefits</w:t>
      </w:r>
    </w:p>
    <w:p w14:paraId="0C795B79" w14:textId="77777777" w:rsidR="00A4469D" w:rsidRPr="004C6ED9" w:rsidRDefault="00A4469D" w:rsidP="00CC187A">
      <w:pPr>
        <w:pStyle w:val="01-TtulodeNota"/>
        <w:spacing w:before="0" w:after="0"/>
        <w:jc w:val="right"/>
        <w:rPr>
          <w:sz w:val="14"/>
          <w:szCs w:val="14"/>
        </w:rPr>
      </w:pPr>
      <w:r>
        <w:rPr>
          <w:sz w:val="14"/>
          <w:szCs w:val="14"/>
        </w:rPr>
        <w:t>R$ thousand</w:t>
      </w:r>
    </w:p>
    <w:tbl>
      <w:tblPr>
        <w:tblW w:w="9639"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3018"/>
        <w:gridCol w:w="595"/>
        <w:gridCol w:w="1611"/>
        <w:gridCol w:w="1404"/>
        <w:gridCol w:w="286"/>
        <w:gridCol w:w="1409"/>
        <w:gridCol w:w="1316"/>
      </w:tblGrid>
      <w:tr w:rsidR="00A4469D" w:rsidRPr="00225994" w14:paraId="196A8D3C" w14:textId="77777777" w:rsidTr="0065135B">
        <w:trPr>
          <w:trHeight w:val="238"/>
          <w:jc w:val="center"/>
        </w:trPr>
        <w:tc>
          <w:tcPr>
            <w:tcW w:w="3018" w:type="dxa"/>
            <w:tcBorders>
              <w:bottom w:val="single" w:sz="2" w:space="0" w:color="1F4E79" w:themeColor="accent1" w:themeShade="80"/>
            </w:tcBorders>
            <w:shd w:val="clear" w:color="auto" w:fill="auto"/>
            <w:vAlign w:val="center"/>
          </w:tcPr>
          <w:p w14:paraId="26B6F13F" w14:textId="77777777" w:rsidR="00A4469D" w:rsidRPr="00225994" w:rsidRDefault="00A4469D" w:rsidP="0065135B">
            <w:pPr>
              <w:keepNext/>
              <w:keepLines/>
              <w:spacing w:before="40" w:after="40"/>
              <w:rPr>
                <w:rFonts w:cs="Arial"/>
                <w:b/>
                <w:spacing w:val="-2"/>
                <w:sz w:val="14"/>
                <w:szCs w:val="14"/>
              </w:rPr>
            </w:pPr>
          </w:p>
        </w:tc>
        <w:tc>
          <w:tcPr>
            <w:tcW w:w="595" w:type="dxa"/>
            <w:tcBorders>
              <w:bottom w:val="single" w:sz="2" w:space="0" w:color="1F4E79" w:themeColor="accent1" w:themeShade="80"/>
            </w:tcBorders>
            <w:shd w:val="clear" w:color="auto" w:fill="auto"/>
            <w:vAlign w:val="center"/>
          </w:tcPr>
          <w:p w14:paraId="5351D1E1" w14:textId="77777777" w:rsidR="00A4469D" w:rsidRPr="00225994" w:rsidRDefault="00A4469D" w:rsidP="0065135B">
            <w:pPr>
              <w:keepNext/>
              <w:keepLines/>
              <w:spacing w:before="40" w:after="40"/>
              <w:jc w:val="right"/>
              <w:rPr>
                <w:rFonts w:cs="Arial"/>
                <w:b/>
                <w:spacing w:val="-2"/>
                <w:sz w:val="14"/>
                <w:szCs w:val="14"/>
              </w:rPr>
            </w:pPr>
          </w:p>
        </w:tc>
        <w:tc>
          <w:tcPr>
            <w:tcW w:w="1611" w:type="dxa"/>
            <w:tcBorders>
              <w:bottom w:val="single" w:sz="2" w:space="0" w:color="1F4E79" w:themeColor="accent1" w:themeShade="80"/>
            </w:tcBorders>
            <w:shd w:val="clear" w:color="auto" w:fill="auto"/>
            <w:vAlign w:val="center"/>
          </w:tcPr>
          <w:p w14:paraId="04ED9655" w14:textId="77777777" w:rsidR="00A4469D" w:rsidRPr="00225994" w:rsidRDefault="00A4469D" w:rsidP="0065135B">
            <w:pPr>
              <w:keepNext/>
              <w:keepLines/>
              <w:spacing w:before="40" w:after="40"/>
              <w:jc w:val="right"/>
              <w:rPr>
                <w:rFonts w:cs="Arial"/>
                <w:b/>
                <w:spacing w:val="-2"/>
                <w:sz w:val="14"/>
                <w:szCs w:val="14"/>
              </w:rPr>
            </w:pPr>
            <w:r>
              <w:rPr>
                <w:rFonts w:cs="Arial"/>
                <w:b/>
                <w:spacing w:val="-2"/>
                <w:sz w:val="14"/>
                <w:szCs w:val="14"/>
              </w:rPr>
              <w:t>Labor lawsuits</w:t>
            </w:r>
          </w:p>
        </w:tc>
        <w:tc>
          <w:tcPr>
            <w:tcW w:w="1404" w:type="dxa"/>
            <w:tcBorders>
              <w:bottom w:val="single" w:sz="2" w:space="0" w:color="1F4E79" w:themeColor="accent1" w:themeShade="80"/>
            </w:tcBorders>
            <w:shd w:val="clear" w:color="auto" w:fill="auto"/>
            <w:vAlign w:val="center"/>
          </w:tcPr>
          <w:p w14:paraId="29ACFC71" w14:textId="77777777" w:rsidR="00A4469D" w:rsidRPr="00225994" w:rsidRDefault="00A4469D" w:rsidP="0065135B">
            <w:pPr>
              <w:keepNext/>
              <w:keepLines/>
              <w:spacing w:before="40" w:after="40"/>
              <w:jc w:val="right"/>
              <w:rPr>
                <w:rFonts w:cs="Arial"/>
                <w:b/>
                <w:spacing w:val="-2"/>
                <w:sz w:val="14"/>
                <w:szCs w:val="14"/>
              </w:rPr>
            </w:pPr>
            <w:r>
              <w:rPr>
                <w:rFonts w:cs="Arial"/>
                <w:b/>
                <w:spacing w:val="-2"/>
                <w:sz w:val="14"/>
                <w:szCs w:val="14"/>
              </w:rPr>
              <w:t>Tax lawsuits</w:t>
            </w:r>
          </w:p>
        </w:tc>
        <w:tc>
          <w:tcPr>
            <w:tcW w:w="286" w:type="dxa"/>
            <w:tcBorders>
              <w:bottom w:val="single" w:sz="2" w:space="0" w:color="1F4E79" w:themeColor="accent1" w:themeShade="80"/>
            </w:tcBorders>
            <w:shd w:val="clear" w:color="auto" w:fill="auto"/>
            <w:vAlign w:val="center"/>
          </w:tcPr>
          <w:p w14:paraId="6C5D526A" w14:textId="77777777" w:rsidR="00A4469D" w:rsidRPr="00225994" w:rsidRDefault="00A4469D" w:rsidP="0065135B">
            <w:pPr>
              <w:keepNext/>
              <w:keepLines/>
              <w:spacing w:before="40" w:after="40"/>
              <w:jc w:val="right"/>
              <w:rPr>
                <w:rFonts w:cs="Arial"/>
                <w:b/>
                <w:spacing w:val="-2"/>
                <w:sz w:val="14"/>
                <w:szCs w:val="14"/>
              </w:rPr>
            </w:pPr>
          </w:p>
        </w:tc>
        <w:tc>
          <w:tcPr>
            <w:tcW w:w="1409" w:type="dxa"/>
            <w:tcBorders>
              <w:bottom w:val="single" w:sz="2" w:space="0" w:color="1F4E79" w:themeColor="accent1" w:themeShade="80"/>
            </w:tcBorders>
            <w:shd w:val="clear" w:color="auto" w:fill="auto"/>
            <w:vAlign w:val="center"/>
          </w:tcPr>
          <w:p w14:paraId="532FA4C4" w14:textId="77777777" w:rsidR="00A4469D" w:rsidRPr="00225994" w:rsidRDefault="00A4469D" w:rsidP="0065135B">
            <w:pPr>
              <w:keepNext/>
              <w:keepLines/>
              <w:spacing w:before="40" w:after="40"/>
              <w:jc w:val="right"/>
              <w:rPr>
                <w:rFonts w:cs="Arial"/>
                <w:b/>
                <w:spacing w:val="-2"/>
                <w:sz w:val="14"/>
                <w:szCs w:val="14"/>
              </w:rPr>
            </w:pPr>
            <w:r>
              <w:rPr>
                <w:rFonts w:cs="Arial"/>
                <w:b/>
                <w:spacing w:val="-2"/>
                <w:sz w:val="14"/>
                <w:szCs w:val="14"/>
              </w:rPr>
              <w:t>Civil lawsuits</w:t>
            </w:r>
          </w:p>
        </w:tc>
        <w:tc>
          <w:tcPr>
            <w:tcW w:w="1316" w:type="dxa"/>
            <w:tcBorders>
              <w:bottom w:val="single" w:sz="2" w:space="0" w:color="1F4E79" w:themeColor="accent1" w:themeShade="80"/>
            </w:tcBorders>
            <w:shd w:val="clear" w:color="auto" w:fill="auto"/>
            <w:vAlign w:val="center"/>
          </w:tcPr>
          <w:p w14:paraId="65D0E192" w14:textId="77777777" w:rsidR="00A4469D" w:rsidRPr="00225994" w:rsidRDefault="00A4469D" w:rsidP="0065135B">
            <w:pPr>
              <w:keepNext/>
              <w:keepLines/>
              <w:spacing w:before="40" w:after="40"/>
              <w:jc w:val="right"/>
              <w:rPr>
                <w:rFonts w:cs="Arial"/>
                <w:b/>
                <w:spacing w:val="-2"/>
                <w:sz w:val="14"/>
                <w:szCs w:val="14"/>
              </w:rPr>
            </w:pPr>
            <w:r w:rsidRPr="00225994">
              <w:rPr>
                <w:rFonts w:cs="Arial"/>
                <w:b/>
                <w:spacing w:val="-2"/>
                <w:sz w:val="14"/>
                <w:szCs w:val="14"/>
              </w:rPr>
              <w:t>Total</w:t>
            </w:r>
          </w:p>
        </w:tc>
      </w:tr>
      <w:tr w:rsidR="00A4469D" w:rsidRPr="00552C1B" w14:paraId="516BACAD" w14:textId="77777777" w:rsidTr="0065135B">
        <w:trPr>
          <w:trHeight w:val="238"/>
          <w:jc w:val="center"/>
        </w:trPr>
        <w:tc>
          <w:tcPr>
            <w:tcW w:w="3018" w:type="dxa"/>
            <w:tcBorders>
              <w:bottom w:val="nil"/>
            </w:tcBorders>
            <w:shd w:val="clear" w:color="auto" w:fill="auto"/>
            <w:vAlign w:val="center"/>
          </w:tcPr>
          <w:p w14:paraId="27B8FF8E" w14:textId="77777777" w:rsidR="00A4469D" w:rsidRPr="0065135B" w:rsidRDefault="00A4469D" w:rsidP="0065135B">
            <w:pPr>
              <w:pStyle w:val="08-Tabelageral"/>
              <w:jc w:val="left"/>
              <w:rPr>
                <w:rFonts w:cs="Arial"/>
                <w:szCs w:val="14"/>
              </w:rPr>
            </w:pPr>
            <w:r>
              <w:rPr>
                <w:rFonts w:cs="Arial"/>
                <w:szCs w:val="14"/>
              </w:rPr>
              <w:t>Up to 5</w:t>
            </w:r>
            <w:r w:rsidRPr="00552C1B">
              <w:rPr>
                <w:rFonts w:cs="Arial"/>
                <w:szCs w:val="14"/>
              </w:rPr>
              <w:t xml:space="preserve"> </w:t>
            </w:r>
            <w:r>
              <w:rPr>
                <w:rFonts w:cs="Arial"/>
                <w:szCs w:val="14"/>
              </w:rPr>
              <w:t>years</w:t>
            </w:r>
          </w:p>
        </w:tc>
        <w:tc>
          <w:tcPr>
            <w:tcW w:w="595" w:type="dxa"/>
            <w:tcBorders>
              <w:bottom w:val="nil"/>
            </w:tcBorders>
            <w:shd w:val="clear" w:color="auto" w:fill="auto"/>
            <w:vAlign w:val="center"/>
          </w:tcPr>
          <w:p w14:paraId="7F30AC5F" w14:textId="77777777" w:rsidR="00A4469D" w:rsidRPr="00552C1B" w:rsidRDefault="00A4469D" w:rsidP="0065135B">
            <w:pPr>
              <w:pStyle w:val="08-Tabelageral"/>
              <w:rPr>
                <w:rFonts w:cs="Arial"/>
                <w:szCs w:val="14"/>
              </w:rPr>
            </w:pPr>
          </w:p>
        </w:tc>
        <w:tc>
          <w:tcPr>
            <w:tcW w:w="1611" w:type="dxa"/>
            <w:tcBorders>
              <w:top w:val="single" w:sz="2" w:space="0" w:color="1F4E79" w:themeColor="accent1" w:themeShade="80"/>
              <w:left w:val="nil"/>
              <w:bottom w:val="nil"/>
              <w:right w:val="nil"/>
            </w:tcBorders>
            <w:vAlign w:val="center"/>
          </w:tcPr>
          <w:p w14:paraId="0951A4C9" w14:textId="77777777" w:rsidR="00A4469D" w:rsidRPr="00552C1B" w:rsidRDefault="00A4469D" w:rsidP="0065135B">
            <w:pPr>
              <w:pStyle w:val="08-Tabelageral"/>
              <w:rPr>
                <w:rFonts w:cs="Arial"/>
                <w:szCs w:val="14"/>
              </w:rPr>
            </w:pPr>
            <w:r>
              <w:rPr>
                <w:rFonts w:cs="Arial"/>
                <w:szCs w:val="14"/>
                <w:lang w:eastAsia="en-US"/>
              </w:rPr>
              <w:t>28</w:t>
            </w:r>
          </w:p>
        </w:tc>
        <w:tc>
          <w:tcPr>
            <w:tcW w:w="1404" w:type="dxa"/>
            <w:tcBorders>
              <w:top w:val="single" w:sz="2" w:space="0" w:color="1F4E79" w:themeColor="accent1" w:themeShade="80"/>
              <w:left w:val="nil"/>
              <w:bottom w:val="nil"/>
              <w:right w:val="nil"/>
            </w:tcBorders>
            <w:vAlign w:val="center"/>
          </w:tcPr>
          <w:p w14:paraId="1C2B78A1" w14:textId="77777777" w:rsidR="00A4469D" w:rsidRPr="00552C1B" w:rsidRDefault="00A4469D" w:rsidP="0065135B">
            <w:pPr>
              <w:pStyle w:val="08-Tabelageral"/>
              <w:rPr>
                <w:rFonts w:cs="Arial"/>
                <w:szCs w:val="14"/>
              </w:rPr>
            </w:pPr>
            <w:r>
              <w:rPr>
                <w:rFonts w:cs="Arial"/>
                <w:szCs w:val="14"/>
                <w:lang w:eastAsia="en-US"/>
              </w:rPr>
              <w:t>7</w:t>
            </w:r>
          </w:p>
        </w:tc>
        <w:tc>
          <w:tcPr>
            <w:tcW w:w="286" w:type="dxa"/>
            <w:tcBorders>
              <w:top w:val="single" w:sz="2" w:space="0" w:color="1F4E79" w:themeColor="accent1" w:themeShade="80"/>
              <w:left w:val="nil"/>
              <w:bottom w:val="nil"/>
              <w:right w:val="nil"/>
            </w:tcBorders>
            <w:vAlign w:val="center"/>
          </w:tcPr>
          <w:p w14:paraId="4ABF8883" w14:textId="77777777" w:rsidR="00A4469D" w:rsidRPr="00552C1B" w:rsidRDefault="00A4469D" w:rsidP="0065135B">
            <w:pPr>
              <w:pStyle w:val="08-Tabelageral"/>
              <w:rPr>
                <w:rFonts w:cs="Arial"/>
                <w:szCs w:val="14"/>
              </w:rPr>
            </w:pPr>
          </w:p>
        </w:tc>
        <w:tc>
          <w:tcPr>
            <w:tcW w:w="1409" w:type="dxa"/>
            <w:tcBorders>
              <w:top w:val="single" w:sz="2" w:space="0" w:color="1F4E79" w:themeColor="accent1" w:themeShade="80"/>
              <w:left w:val="nil"/>
              <w:bottom w:val="nil"/>
              <w:right w:val="nil"/>
            </w:tcBorders>
            <w:vAlign w:val="center"/>
          </w:tcPr>
          <w:p w14:paraId="30E4E321" w14:textId="77777777" w:rsidR="00A4469D" w:rsidRPr="00552C1B" w:rsidRDefault="00A4469D" w:rsidP="0065135B">
            <w:pPr>
              <w:pStyle w:val="08-Tabelageral"/>
              <w:rPr>
                <w:rFonts w:cs="Arial"/>
                <w:szCs w:val="14"/>
              </w:rPr>
            </w:pPr>
            <w:r w:rsidRPr="001F5B9F">
              <w:rPr>
                <w:rFonts w:cs="Arial"/>
                <w:szCs w:val="14"/>
              </w:rPr>
              <w:t>12</w:t>
            </w:r>
            <w:r>
              <w:rPr>
                <w:rFonts w:cs="Arial"/>
                <w:szCs w:val="14"/>
              </w:rPr>
              <w:t>,</w:t>
            </w:r>
            <w:r w:rsidRPr="001F5B9F">
              <w:rPr>
                <w:rFonts w:cs="Arial"/>
                <w:szCs w:val="14"/>
              </w:rPr>
              <w:t>440</w:t>
            </w:r>
          </w:p>
        </w:tc>
        <w:tc>
          <w:tcPr>
            <w:tcW w:w="1316" w:type="dxa"/>
            <w:tcBorders>
              <w:top w:val="single" w:sz="2" w:space="0" w:color="1F4E79" w:themeColor="accent1" w:themeShade="80"/>
              <w:left w:val="nil"/>
              <w:bottom w:val="nil"/>
              <w:right w:val="nil"/>
            </w:tcBorders>
            <w:vAlign w:val="center"/>
          </w:tcPr>
          <w:p w14:paraId="57EA4526" w14:textId="77777777" w:rsidR="00A4469D" w:rsidRPr="00552C1B" w:rsidRDefault="00A4469D" w:rsidP="0065135B">
            <w:pPr>
              <w:pStyle w:val="08-Tabelageral"/>
              <w:ind w:left="613"/>
              <w:rPr>
                <w:rFonts w:cs="Arial"/>
                <w:b/>
                <w:szCs w:val="14"/>
              </w:rPr>
            </w:pPr>
            <w:r>
              <w:rPr>
                <w:rFonts w:cs="Arial"/>
                <w:b/>
                <w:szCs w:val="14"/>
              </w:rPr>
              <w:t>12,475</w:t>
            </w:r>
          </w:p>
        </w:tc>
      </w:tr>
      <w:tr w:rsidR="00A4469D" w:rsidRPr="00552C1B" w14:paraId="4A2A47AB" w14:textId="77777777" w:rsidTr="0065135B">
        <w:trPr>
          <w:trHeight w:val="238"/>
          <w:jc w:val="center"/>
        </w:trPr>
        <w:tc>
          <w:tcPr>
            <w:tcW w:w="3018" w:type="dxa"/>
            <w:tcBorders>
              <w:top w:val="nil"/>
              <w:bottom w:val="nil"/>
            </w:tcBorders>
            <w:shd w:val="clear" w:color="auto" w:fill="auto"/>
            <w:vAlign w:val="center"/>
          </w:tcPr>
          <w:p w14:paraId="2ACC5BF0" w14:textId="77777777" w:rsidR="00A4469D" w:rsidRPr="00134726" w:rsidRDefault="00A4469D" w:rsidP="0065135B">
            <w:pPr>
              <w:pStyle w:val="08-Tabelageral"/>
              <w:jc w:val="left"/>
              <w:rPr>
                <w:rFonts w:cs="Arial"/>
                <w:szCs w:val="14"/>
                <w:lang w:val="en-US"/>
              </w:rPr>
            </w:pPr>
            <w:r w:rsidRPr="00134726">
              <w:rPr>
                <w:rFonts w:cs="Arial"/>
                <w:szCs w:val="14"/>
                <w:lang w:val="en-US"/>
              </w:rPr>
              <w:t>More than 5 years and up to 10 years</w:t>
            </w:r>
          </w:p>
        </w:tc>
        <w:tc>
          <w:tcPr>
            <w:tcW w:w="595" w:type="dxa"/>
            <w:tcBorders>
              <w:top w:val="nil"/>
              <w:bottom w:val="nil"/>
            </w:tcBorders>
            <w:shd w:val="clear" w:color="auto" w:fill="auto"/>
            <w:vAlign w:val="center"/>
          </w:tcPr>
          <w:p w14:paraId="7CEFE006" w14:textId="77777777" w:rsidR="00A4469D" w:rsidRPr="00134726" w:rsidRDefault="00A4469D" w:rsidP="0065135B">
            <w:pPr>
              <w:pStyle w:val="08-Tabelageral"/>
              <w:rPr>
                <w:rFonts w:cs="Arial"/>
                <w:szCs w:val="14"/>
                <w:lang w:val="en-US"/>
              </w:rPr>
            </w:pPr>
          </w:p>
        </w:tc>
        <w:tc>
          <w:tcPr>
            <w:tcW w:w="1611" w:type="dxa"/>
            <w:tcBorders>
              <w:top w:val="nil"/>
              <w:left w:val="nil"/>
              <w:bottom w:val="nil"/>
              <w:right w:val="nil"/>
            </w:tcBorders>
            <w:vAlign w:val="center"/>
          </w:tcPr>
          <w:p w14:paraId="19723E38" w14:textId="77777777" w:rsidR="00A4469D" w:rsidRPr="00552C1B" w:rsidRDefault="00A4469D" w:rsidP="0065135B">
            <w:pPr>
              <w:pStyle w:val="08-Tabelageral"/>
              <w:rPr>
                <w:rFonts w:cs="Arial"/>
                <w:szCs w:val="14"/>
              </w:rPr>
            </w:pPr>
            <w:r>
              <w:rPr>
                <w:rFonts w:cs="Arial"/>
                <w:szCs w:val="14"/>
                <w:lang w:eastAsia="en-US"/>
              </w:rPr>
              <w:t>--</w:t>
            </w:r>
          </w:p>
        </w:tc>
        <w:tc>
          <w:tcPr>
            <w:tcW w:w="1404" w:type="dxa"/>
            <w:tcBorders>
              <w:top w:val="nil"/>
              <w:left w:val="nil"/>
              <w:bottom w:val="nil"/>
              <w:right w:val="nil"/>
            </w:tcBorders>
            <w:vAlign w:val="center"/>
          </w:tcPr>
          <w:p w14:paraId="4EC99D85" w14:textId="77777777" w:rsidR="00A4469D" w:rsidRPr="00552C1B" w:rsidRDefault="00A4469D" w:rsidP="0065135B">
            <w:pPr>
              <w:pStyle w:val="08-Tabelageral"/>
              <w:rPr>
                <w:rFonts w:cs="Arial"/>
                <w:szCs w:val="14"/>
              </w:rPr>
            </w:pPr>
            <w:r>
              <w:rPr>
                <w:rFonts w:cs="Arial"/>
                <w:szCs w:val="14"/>
                <w:lang w:eastAsia="en-US"/>
              </w:rPr>
              <w:t>--</w:t>
            </w:r>
          </w:p>
        </w:tc>
        <w:tc>
          <w:tcPr>
            <w:tcW w:w="286" w:type="dxa"/>
            <w:tcBorders>
              <w:top w:val="nil"/>
              <w:left w:val="nil"/>
              <w:bottom w:val="nil"/>
              <w:right w:val="nil"/>
            </w:tcBorders>
            <w:vAlign w:val="center"/>
          </w:tcPr>
          <w:p w14:paraId="27ACD37B" w14:textId="77777777" w:rsidR="00A4469D" w:rsidRPr="00552C1B" w:rsidRDefault="00A4469D" w:rsidP="0065135B">
            <w:pPr>
              <w:pStyle w:val="08-Tabelageral"/>
              <w:rPr>
                <w:rFonts w:cs="Arial"/>
                <w:szCs w:val="14"/>
              </w:rPr>
            </w:pPr>
          </w:p>
        </w:tc>
        <w:tc>
          <w:tcPr>
            <w:tcW w:w="1409" w:type="dxa"/>
            <w:tcBorders>
              <w:top w:val="nil"/>
              <w:left w:val="nil"/>
              <w:bottom w:val="nil"/>
              <w:right w:val="nil"/>
            </w:tcBorders>
            <w:vAlign w:val="center"/>
          </w:tcPr>
          <w:p w14:paraId="2C39D932" w14:textId="77777777" w:rsidR="00A4469D" w:rsidRPr="00552C1B" w:rsidRDefault="00A4469D" w:rsidP="0065135B">
            <w:pPr>
              <w:pStyle w:val="08-Tabelageral"/>
              <w:rPr>
                <w:rFonts w:cs="Arial"/>
                <w:szCs w:val="14"/>
              </w:rPr>
            </w:pPr>
            <w:r w:rsidRPr="001F5B9F">
              <w:rPr>
                <w:rFonts w:cs="Arial"/>
                <w:szCs w:val="14"/>
              </w:rPr>
              <w:t>1</w:t>
            </w:r>
            <w:r>
              <w:rPr>
                <w:rFonts w:cs="Arial"/>
                <w:szCs w:val="14"/>
              </w:rPr>
              <w:t>,</w:t>
            </w:r>
            <w:r w:rsidRPr="001F5B9F">
              <w:rPr>
                <w:rFonts w:cs="Arial"/>
                <w:szCs w:val="14"/>
              </w:rPr>
              <w:t>266</w:t>
            </w:r>
          </w:p>
        </w:tc>
        <w:tc>
          <w:tcPr>
            <w:tcW w:w="1316" w:type="dxa"/>
            <w:tcBorders>
              <w:top w:val="nil"/>
              <w:left w:val="nil"/>
              <w:bottom w:val="nil"/>
              <w:right w:val="nil"/>
            </w:tcBorders>
            <w:vAlign w:val="center"/>
          </w:tcPr>
          <w:p w14:paraId="424E1FE4" w14:textId="77777777" w:rsidR="00A4469D" w:rsidRPr="00552C1B" w:rsidRDefault="00A4469D" w:rsidP="0065135B">
            <w:pPr>
              <w:pStyle w:val="08-Tabelageral"/>
              <w:rPr>
                <w:rFonts w:cs="Arial"/>
                <w:b/>
                <w:szCs w:val="14"/>
              </w:rPr>
            </w:pPr>
            <w:r>
              <w:rPr>
                <w:rFonts w:cs="Arial"/>
                <w:b/>
                <w:szCs w:val="14"/>
              </w:rPr>
              <w:t>1,</w:t>
            </w:r>
            <w:r w:rsidRPr="001F5B9F">
              <w:rPr>
                <w:rFonts w:cs="Arial"/>
                <w:b/>
                <w:szCs w:val="14"/>
              </w:rPr>
              <w:t>266</w:t>
            </w:r>
          </w:p>
        </w:tc>
      </w:tr>
      <w:tr w:rsidR="00A4469D" w:rsidRPr="00552C1B" w14:paraId="61FF9743" w14:textId="77777777" w:rsidTr="0065135B">
        <w:trPr>
          <w:trHeight w:val="238"/>
          <w:jc w:val="center"/>
        </w:trPr>
        <w:tc>
          <w:tcPr>
            <w:tcW w:w="3018" w:type="dxa"/>
            <w:tcBorders>
              <w:top w:val="nil"/>
              <w:bottom w:val="nil"/>
            </w:tcBorders>
            <w:shd w:val="clear" w:color="auto" w:fill="auto"/>
            <w:vAlign w:val="center"/>
          </w:tcPr>
          <w:p w14:paraId="530C3CCB" w14:textId="77777777" w:rsidR="00A4469D" w:rsidRPr="0065135B" w:rsidRDefault="00A4469D" w:rsidP="0065135B">
            <w:pPr>
              <w:pStyle w:val="08-Tabelageral"/>
              <w:jc w:val="left"/>
              <w:rPr>
                <w:rFonts w:cs="Arial"/>
                <w:szCs w:val="14"/>
              </w:rPr>
            </w:pPr>
            <w:r>
              <w:rPr>
                <w:rFonts w:cs="Arial"/>
                <w:szCs w:val="14"/>
              </w:rPr>
              <w:t xml:space="preserve">Over </w:t>
            </w:r>
            <w:r w:rsidRPr="00552C1B">
              <w:rPr>
                <w:rFonts w:cs="Arial"/>
                <w:szCs w:val="14"/>
              </w:rPr>
              <w:t xml:space="preserve">10 </w:t>
            </w:r>
            <w:r>
              <w:rPr>
                <w:rFonts w:cs="Arial"/>
                <w:szCs w:val="14"/>
              </w:rPr>
              <w:t>years</w:t>
            </w:r>
          </w:p>
        </w:tc>
        <w:tc>
          <w:tcPr>
            <w:tcW w:w="595" w:type="dxa"/>
            <w:tcBorders>
              <w:top w:val="nil"/>
              <w:bottom w:val="nil"/>
            </w:tcBorders>
            <w:shd w:val="clear" w:color="auto" w:fill="auto"/>
            <w:vAlign w:val="center"/>
          </w:tcPr>
          <w:p w14:paraId="17851123" w14:textId="77777777" w:rsidR="00A4469D" w:rsidRPr="00552C1B" w:rsidRDefault="00A4469D" w:rsidP="0065135B">
            <w:pPr>
              <w:pStyle w:val="08-Tabelageral"/>
              <w:rPr>
                <w:rFonts w:cs="Arial"/>
                <w:szCs w:val="14"/>
              </w:rPr>
            </w:pPr>
          </w:p>
        </w:tc>
        <w:tc>
          <w:tcPr>
            <w:tcW w:w="1611" w:type="dxa"/>
            <w:tcBorders>
              <w:top w:val="nil"/>
              <w:left w:val="nil"/>
              <w:bottom w:val="nil"/>
              <w:right w:val="nil"/>
            </w:tcBorders>
            <w:vAlign w:val="center"/>
          </w:tcPr>
          <w:p w14:paraId="66EF39F0" w14:textId="77777777" w:rsidR="00A4469D" w:rsidRPr="00552C1B" w:rsidRDefault="00A4469D" w:rsidP="0065135B">
            <w:pPr>
              <w:pStyle w:val="08-Tabelageral"/>
              <w:rPr>
                <w:rFonts w:cs="Arial"/>
                <w:szCs w:val="14"/>
              </w:rPr>
            </w:pPr>
            <w:r>
              <w:rPr>
                <w:rFonts w:cs="Arial"/>
                <w:szCs w:val="14"/>
                <w:lang w:eastAsia="en-US"/>
              </w:rPr>
              <w:t>--</w:t>
            </w:r>
          </w:p>
        </w:tc>
        <w:tc>
          <w:tcPr>
            <w:tcW w:w="1404" w:type="dxa"/>
            <w:tcBorders>
              <w:top w:val="nil"/>
              <w:left w:val="nil"/>
              <w:bottom w:val="nil"/>
              <w:right w:val="nil"/>
            </w:tcBorders>
            <w:vAlign w:val="center"/>
          </w:tcPr>
          <w:p w14:paraId="028E9E4F" w14:textId="77777777" w:rsidR="00A4469D" w:rsidRPr="00552C1B" w:rsidRDefault="00A4469D" w:rsidP="0065135B">
            <w:pPr>
              <w:pStyle w:val="08-Tabelageral"/>
              <w:rPr>
                <w:rFonts w:cs="Arial"/>
                <w:szCs w:val="14"/>
              </w:rPr>
            </w:pPr>
            <w:r>
              <w:rPr>
                <w:rFonts w:cs="Arial"/>
                <w:szCs w:val="14"/>
                <w:lang w:eastAsia="en-US"/>
              </w:rPr>
              <w:t>--</w:t>
            </w:r>
          </w:p>
        </w:tc>
        <w:tc>
          <w:tcPr>
            <w:tcW w:w="286" w:type="dxa"/>
            <w:tcBorders>
              <w:top w:val="nil"/>
              <w:left w:val="nil"/>
              <w:bottom w:val="nil"/>
              <w:right w:val="nil"/>
            </w:tcBorders>
            <w:vAlign w:val="center"/>
          </w:tcPr>
          <w:p w14:paraId="345BE250" w14:textId="77777777" w:rsidR="00A4469D" w:rsidRPr="00552C1B" w:rsidRDefault="00A4469D" w:rsidP="0065135B">
            <w:pPr>
              <w:pStyle w:val="08-Tabelageral"/>
              <w:rPr>
                <w:rFonts w:cs="Arial"/>
                <w:szCs w:val="14"/>
              </w:rPr>
            </w:pPr>
          </w:p>
        </w:tc>
        <w:tc>
          <w:tcPr>
            <w:tcW w:w="1409" w:type="dxa"/>
            <w:tcBorders>
              <w:top w:val="nil"/>
              <w:left w:val="nil"/>
              <w:bottom w:val="nil"/>
              <w:right w:val="nil"/>
            </w:tcBorders>
            <w:vAlign w:val="center"/>
          </w:tcPr>
          <w:p w14:paraId="4405F7F2" w14:textId="77777777" w:rsidR="00A4469D" w:rsidRPr="00552C1B" w:rsidRDefault="00A4469D" w:rsidP="0065135B">
            <w:pPr>
              <w:pStyle w:val="08-Tabelageral"/>
              <w:rPr>
                <w:rFonts w:cs="Arial"/>
                <w:szCs w:val="14"/>
              </w:rPr>
            </w:pPr>
            <w:r w:rsidRPr="001F5B9F">
              <w:rPr>
                <w:rFonts w:cs="Arial"/>
                <w:szCs w:val="14"/>
              </w:rPr>
              <w:t>141</w:t>
            </w:r>
          </w:p>
        </w:tc>
        <w:tc>
          <w:tcPr>
            <w:tcW w:w="1316" w:type="dxa"/>
            <w:tcBorders>
              <w:top w:val="nil"/>
              <w:left w:val="nil"/>
              <w:bottom w:val="nil"/>
              <w:right w:val="nil"/>
            </w:tcBorders>
            <w:vAlign w:val="center"/>
          </w:tcPr>
          <w:p w14:paraId="3405EA70" w14:textId="77777777" w:rsidR="00A4469D" w:rsidRPr="00552C1B" w:rsidRDefault="00A4469D" w:rsidP="0065135B">
            <w:pPr>
              <w:pStyle w:val="08-Tabelageral"/>
              <w:rPr>
                <w:rFonts w:cs="Arial"/>
                <w:b/>
                <w:szCs w:val="14"/>
              </w:rPr>
            </w:pPr>
            <w:r w:rsidRPr="001F5B9F">
              <w:rPr>
                <w:rFonts w:cs="Arial"/>
                <w:b/>
                <w:szCs w:val="14"/>
              </w:rPr>
              <w:t>141</w:t>
            </w:r>
          </w:p>
        </w:tc>
      </w:tr>
      <w:tr w:rsidR="00A4469D" w:rsidRPr="00225994" w14:paraId="7657431C" w14:textId="77777777" w:rsidTr="0065135B">
        <w:trPr>
          <w:trHeight w:val="238"/>
          <w:jc w:val="center"/>
        </w:trPr>
        <w:tc>
          <w:tcPr>
            <w:tcW w:w="3018" w:type="dxa"/>
            <w:tcBorders>
              <w:top w:val="nil"/>
            </w:tcBorders>
            <w:shd w:val="clear" w:color="auto" w:fill="auto"/>
            <w:vAlign w:val="center"/>
          </w:tcPr>
          <w:p w14:paraId="255AD79C" w14:textId="77777777" w:rsidR="00A4469D" w:rsidRPr="00552C1B" w:rsidRDefault="00A4469D" w:rsidP="0065135B">
            <w:pPr>
              <w:keepNext/>
              <w:keepLines/>
              <w:spacing w:before="40" w:after="40" w:line="240" w:lineRule="auto"/>
              <w:rPr>
                <w:rFonts w:cs="Arial"/>
                <w:b/>
                <w:bCs/>
                <w:spacing w:val="-2"/>
                <w:sz w:val="14"/>
                <w:szCs w:val="14"/>
              </w:rPr>
            </w:pPr>
            <w:r w:rsidRPr="00552C1B">
              <w:rPr>
                <w:rFonts w:cs="Arial"/>
                <w:b/>
                <w:spacing w:val="-2"/>
                <w:sz w:val="14"/>
                <w:szCs w:val="14"/>
              </w:rPr>
              <w:t>Total</w:t>
            </w:r>
          </w:p>
        </w:tc>
        <w:tc>
          <w:tcPr>
            <w:tcW w:w="595" w:type="dxa"/>
            <w:tcBorders>
              <w:top w:val="nil"/>
            </w:tcBorders>
            <w:shd w:val="clear" w:color="auto" w:fill="auto"/>
            <w:vAlign w:val="center"/>
          </w:tcPr>
          <w:p w14:paraId="290E2F39" w14:textId="77777777" w:rsidR="00A4469D" w:rsidRPr="00552C1B" w:rsidRDefault="00A4469D" w:rsidP="0065135B">
            <w:pPr>
              <w:pStyle w:val="08-Tabelageral"/>
              <w:rPr>
                <w:rFonts w:cs="Arial"/>
                <w:b/>
                <w:szCs w:val="14"/>
              </w:rPr>
            </w:pPr>
          </w:p>
        </w:tc>
        <w:tc>
          <w:tcPr>
            <w:tcW w:w="1611" w:type="dxa"/>
            <w:tcBorders>
              <w:top w:val="nil"/>
              <w:left w:val="nil"/>
              <w:bottom w:val="single" w:sz="4" w:space="0" w:color="auto"/>
              <w:right w:val="nil"/>
            </w:tcBorders>
            <w:vAlign w:val="center"/>
          </w:tcPr>
          <w:p w14:paraId="20367659" w14:textId="77777777" w:rsidR="00A4469D" w:rsidRPr="00552C1B" w:rsidRDefault="00A4469D" w:rsidP="0065135B">
            <w:pPr>
              <w:pStyle w:val="08-Tabelageral"/>
              <w:rPr>
                <w:rFonts w:cs="Arial"/>
                <w:b/>
                <w:szCs w:val="14"/>
              </w:rPr>
            </w:pPr>
            <w:r>
              <w:rPr>
                <w:rFonts w:cs="Arial"/>
                <w:b/>
                <w:szCs w:val="14"/>
                <w:lang w:eastAsia="en-US"/>
              </w:rPr>
              <w:t>28</w:t>
            </w:r>
          </w:p>
        </w:tc>
        <w:tc>
          <w:tcPr>
            <w:tcW w:w="1404" w:type="dxa"/>
            <w:tcBorders>
              <w:top w:val="nil"/>
              <w:left w:val="nil"/>
              <w:bottom w:val="single" w:sz="4" w:space="0" w:color="auto"/>
              <w:right w:val="nil"/>
            </w:tcBorders>
            <w:vAlign w:val="center"/>
          </w:tcPr>
          <w:p w14:paraId="64670999" w14:textId="77777777" w:rsidR="00A4469D" w:rsidRPr="00552C1B" w:rsidRDefault="00A4469D" w:rsidP="0065135B">
            <w:pPr>
              <w:pStyle w:val="08-Tabelageral"/>
              <w:rPr>
                <w:rFonts w:cs="Arial"/>
                <w:b/>
                <w:szCs w:val="14"/>
              </w:rPr>
            </w:pPr>
            <w:r>
              <w:rPr>
                <w:rFonts w:cs="Arial"/>
                <w:b/>
                <w:szCs w:val="14"/>
                <w:lang w:eastAsia="en-US"/>
              </w:rPr>
              <w:t>7</w:t>
            </w:r>
          </w:p>
        </w:tc>
        <w:tc>
          <w:tcPr>
            <w:tcW w:w="286" w:type="dxa"/>
            <w:tcBorders>
              <w:top w:val="nil"/>
              <w:left w:val="nil"/>
              <w:bottom w:val="single" w:sz="4" w:space="0" w:color="auto"/>
              <w:right w:val="nil"/>
            </w:tcBorders>
            <w:vAlign w:val="center"/>
          </w:tcPr>
          <w:p w14:paraId="5FE8278B" w14:textId="77777777" w:rsidR="00A4469D" w:rsidRPr="00552C1B" w:rsidRDefault="00A4469D" w:rsidP="0065135B">
            <w:pPr>
              <w:pStyle w:val="08-Tabelageral"/>
              <w:rPr>
                <w:rFonts w:cs="Arial"/>
                <w:b/>
                <w:szCs w:val="14"/>
              </w:rPr>
            </w:pPr>
          </w:p>
        </w:tc>
        <w:tc>
          <w:tcPr>
            <w:tcW w:w="1409" w:type="dxa"/>
            <w:tcBorders>
              <w:top w:val="nil"/>
              <w:left w:val="nil"/>
              <w:bottom w:val="single" w:sz="4" w:space="0" w:color="auto"/>
              <w:right w:val="nil"/>
            </w:tcBorders>
            <w:vAlign w:val="center"/>
          </w:tcPr>
          <w:p w14:paraId="6841EE17" w14:textId="77777777" w:rsidR="00A4469D" w:rsidRPr="00552C1B" w:rsidRDefault="00A4469D" w:rsidP="0065135B">
            <w:pPr>
              <w:pStyle w:val="08-Tabelageral"/>
              <w:spacing w:line="256" w:lineRule="auto"/>
              <w:rPr>
                <w:rFonts w:cs="Arial"/>
                <w:b/>
                <w:szCs w:val="14"/>
                <w:lang w:eastAsia="en-US"/>
              </w:rPr>
            </w:pPr>
            <w:r w:rsidRPr="001F5B9F">
              <w:rPr>
                <w:rFonts w:cs="Arial"/>
                <w:b/>
                <w:szCs w:val="14"/>
              </w:rPr>
              <w:t>13</w:t>
            </w:r>
            <w:r>
              <w:rPr>
                <w:rFonts w:cs="Arial"/>
                <w:b/>
                <w:szCs w:val="14"/>
              </w:rPr>
              <w:t>,</w:t>
            </w:r>
            <w:r w:rsidRPr="001F5B9F">
              <w:rPr>
                <w:rFonts w:cs="Arial"/>
                <w:b/>
                <w:szCs w:val="14"/>
              </w:rPr>
              <w:t>847</w:t>
            </w:r>
          </w:p>
        </w:tc>
        <w:tc>
          <w:tcPr>
            <w:tcW w:w="1316" w:type="dxa"/>
            <w:tcBorders>
              <w:top w:val="nil"/>
              <w:left w:val="nil"/>
              <w:bottom w:val="single" w:sz="4" w:space="0" w:color="auto"/>
              <w:right w:val="nil"/>
            </w:tcBorders>
            <w:vAlign w:val="center"/>
          </w:tcPr>
          <w:p w14:paraId="4457C617" w14:textId="77777777" w:rsidR="00A4469D" w:rsidRPr="00225994" w:rsidRDefault="00A4469D" w:rsidP="0065135B">
            <w:pPr>
              <w:pStyle w:val="08-Tabelageral"/>
              <w:rPr>
                <w:rFonts w:cs="Arial"/>
                <w:b/>
                <w:szCs w:val="14"/>
              </w:rPr>
            </w:pPr>
            <w:r>
              <w:rPr>
                <w:rFonts w:cs="Arial"/>
                <w:b/>
                <w:szCs w:val="14"/>
              </w:rPr>
              <w:t>13,882</w:t>
            </w:r>
          </w:p>
        </w:tc>
      </w:tr>
    </w:tbl>
    <w:p w14:paraId="0CB67273" w14:textId="77777777" w:rsidR="00A4469D" w:rsidRPr="00134726" w:rsidRDefault="00A4469D" w:rsidP="0065135B">
      <w:pPr>
        <w:pStyle w:val="05-Textonormal"/>
        <w:rPr>
          <w:lang w:val="en-US"/>
        </w:rPr>
      </w:pPr>
      <w:r>
        <w:rPr>
          <w:rStyle w:val="tlid-translation"/>
          <w:lang w:val="en"/>
        </w:rPr>
        <w:t>Given the scenario of uncertainties in the duration of the proceedings, as well as the possibility of changes in the jurisprudence of the courts, the outflow of economic benefits has been estimated based on the best available information</w:t>
      </w:r>
      <w:r w:rsidRPr="00134726">
        <w:rPr>
          <w:lang w:val="en-US"/>
        </w:rPr>
        <w:t>.</w:t>
      </w:r>
    </w:p>
    <w:p w14:paraId="4E516132" w14:textId="77777777" w:rsidR="00A4469D" w:rsidRPr="00134726" w:rsidRDefault="00A4469D" w:rsidP="00563C6F">
      <w:pPr>
        <w:pStyle w:val="05-Textonormal"/>
        <w:rPr>
          <w:b/>
          <w:color w:val="1F4E79" w:themeColor="accent1" w:themeShade="80"/>
          <w:lang w:val="en-US"/>
        </w:rPr>
      </w:pPr>
      <w:r w:rsidRPr="00134726">
        <w:rPr>
          <w:b/>
          <w:color w:val="1F4E79" w:themeColor="accent1" w:themeShade="80"/>
          <w:lang w:val="en-US"/>
        </w:rPr>
        <w:t>c) Contingent Liabilities – Possible</w:t>
      </w:r>
    </w:p>
    <w:p w14:paraId="230A9694" w14:textId="77777777" w:rsidR="00A4469D" w:rsidRPr="00134726" w:rsidRDefault="00A4469D" w:rsidP="00563C6F">
      <w:pPr>
        <w:pStyle w:val="05-Textonormal"/>
        <w:rPr>
          <w:b/>
          <w:color w:val="1F4E79" w:themeColor="accent1" w:themeShade="80"/>
          <w:lang w:val="en-US"/>
        </w:rPr>
      </w:pPr>
      <w:r w:rsidRPr="00134726">
        <w:rPr>
          <w:rFonts w:cs="Arial"/>
          <w:lang w:val="en-US"/>
        </w:rPr>
        <w:t>Tax and civil demands classified as possible risk are exempt from provisioning, in accordance with CPC 25 (IAS 37).</w:t>
      </w:r>
    </w:p>
    <w:p w14:paraId="683F7651" w14:textId="77777777" w:rsidR="00A4469D" w:rsidRPr="00134726" w:rsidRDefault="00A4469D" w:rsidP="00563C6F">
      <w:pPr>
        <w:pStyle w:val="05-Textonormal"/>
        <w:rPr>
          <w:b/>
          <w:color w:val="1F4E79" w:themeColor="accent1" w:themeShade="80"/>
          <w:lang w:val="en-US"/>
        </w:rPr>
      </w:pPr>
      <w:r w:rsidRPr="00134726">
        <w:rPr>
          <w:b/>
          <w:color w:val="1F4E79" w:themeColor="accent1" w:themeShade="80"/>
          <w:lang w:val="en-US"/>
        </w:rPr>
        <w:t>c.1) Tax Lawsuits</w:t>
      </w:r>
    </w:p>
    <w:p w14:paraId="65AAF75C" w14:textId="77777777" w:rsidR="00A4469D" w:rsidRPr="00134726" w:rsidRDefault="00A4469D" w:rsidP="00AA63BE">
      <w:pPr>
        <w:pStyle w:val="05-Textonormal"/>
        <w:rPr>
          <w:b/>
          <w:lang w:val="en-US"/>
        </w:rPr>
      </w:pPr>
      <w:r w:rsidRPr="00134726">
        <w:rPr>
          <w:lang w:val="en-US"/>
        </w:rPr>
        <w:t>In the tax lawsuits, classified as possible, we have those referring to BB Corretora, which contests the non-recognition of IRPJ, CSLL, PIS and COFINS compensation requests made between 1999 and 2003, due to the non-recognition of negative balances from 1995 and 1997 and the deduction of CSLL amounts from the IRPJ calculation basis granted in a Writ of Mandamus decision.</w:t>
      </w:r>
    </w:p>
    <w:p w14:paraId="6AE080E0" w14:textId="77777777" w:rsidR="00A4469D" w:rsidRPr="00134726" w:rsidRDefault="00A4469D" w:rsidP="00AA63BE">
      <w:pPr>
        <w:pStyle w:val="05-Textonormal"/>
        <w:rPr>
          <w:b/>
          <w:lang w:val="en-US"/>
        </w:rPr>
      </w:pPr>
      <w:r w:rsidRPr="00134726">
        <w:rPr>
          <w:lang w:val="en-US"/>
        </w:rPr>
        <w:t>In accordance with applicable legislation, notably CPC 25 - Provisions, Contingent Liabilities and Contingent Assets: actions with remote or possible risk classification are exempt from the constitution of a provision. However, the following is a brief summary of the main lawsuits filed against BB Corretora:</w:t>
      </w:r>
    </w:p>
    <w:p w14:paraId="41BD0643" w14:textId="77777777" w:rsidR="00A4469D" w:rsidRPr="00134726" w:rsidRDefault="00A4469D" w:rsidP="00A4469D">
      <w:pPr>
        <w:pStyle w:val="01-Textonormal"/>
        <w:numPr>
          <w:ilvl w:val="0"/>
          <w:numId w:val="37"/>
        </w:numPr>
        <w:rPr>
          <w:rFonts w:cs="Arial"/>
          <w:lang w:val="en-US"/>
        </w:rPr>
      </w:pPr>
      <w:r w:rsidRPr="00134726">
        <w:rPr>
          <w:rFonts w:cs="Arial"/>
          <w:lang w:val="en-US"/>
        </w:rPr>
        <w:t>BB Corretora has a legal dispute related to "DCOMP - IRPJ Negative Balance", with TRF1 / Court of Brasília/DF, whose initial value of the cause was R$ 82.3 million, filed on 04/18/2011. The process is in the initial knowledge phase (no judgment has been issued yet). It should also be mentioned that this process has a judicial deposit (coming from the administrative phase of the discussion) in the amount of approximately R$ 165.3 million (base date: 12/31/2022) deposited in a judicial account at Caixa Econômica Federal.</w:t>
      </w:r>
    </w:p>
    <w:p w14:paraId="0BA61FF8" w14:textId="77777777" w:rsidR="00A4469D" w:rsidRPr="00134726" w:rsidRDefault="00A4469D" w:rsidP="00F83A0D">
      <w:pPr>
        <w:pStyle w:val="05-Textonormal"/>
        <w:rPr>
          <w:lang w:val="en-US"/>
        </w:rPr>
      </w:pPr>
      <w:r w:rsidRPr="00134726">
        <w:rPr>
          <w:lang w:val="en-US"/>
        </w:rPr>
        <w:t>BB Seguridade and BB Seguros do not have tax claims with significant amounts.</w:t>
      </w:r>
    </w:p>
    <w:p w14:paraId="7F252895" w14:textId="77777777" w:rsidR="00A4469D" w:rsidRPr="00134726" w:rsidRDefault="00A4469D" w:rsidP="00E71174">
      <w:pPr>
        <w:pStyle w:val="05-Textonormal"/>
        <w:rPr>
          <w:b/>
          <w:color w:val="1F4E79" w:themeColor="accent1" w:themeShade="80"/>
          <w:lang w:val="en-US"/>
        </w:rPr>
      </w:pPr>
      <w:r w:rsidRPr="00134726">
        <w:rPr>
          <w:b/>
          <w:color w:val="1F4E79" w:themeColor="accent1" w:themeShade="80"/>
          <w:lang w:val="en-US"/>
        </w:rPr>
        <w:lastRenderedPageBreak/>
        <w:t>c.2) Civil Lawsuits</w:t>
      </w:r>
    </w:p>
    <w:p w14:paraId="4F92E4DF" w14:textId="77777777" w:rsidR="00A4469D" w:rsidRPr="00134726" w:rsidRDefault="00A4469D" w:rsidP="00E71174">
      <w:pPr>
        <w:pStyle w:val="05-Textonormal"/>
        <w:rPr>
          <w:b/>
          <w:lang w:val="en-US"/>
        </w:rPr>
      </w:pPr>
      <w:r w:rsidRPr="00134726">
        <w:rPr>
          <w:lang w:val="en-US"/>
        </w:rPr>
        <w:t>In civil lawsuits involving BB Seguridade, BB Seguros and BB Corretora, we highlignt the claims for various indemnities (material damages, moral damages, etc., for example), notably resulting from consumer relations involving security products and the like (personal insurance and equity, open private pension, capitalization and dental plans).</w:t>
      </w:r>
    </w:p>
    <w:p w14:paraId="51632BE2" w14:textId="77777777" w:rsidR="00A4469D" w:rsidRPr="00134726" w:rsidRDefault="00A4469D" w:rsidP="00E71174">
      <w:pPr>
        <w:pStyle w:val="05-Textonormal"/>
        <w:rPr>
          <w:b/>
          <w:color w:val="1F4E79" w:themeColor="accent1" w:themeShade="80"/>
          <w:lang w:val="en-US"/>
        </w:rPr>
      </w:pPr>
      <w:r w:rsidRPr="00134726">
        <w:rPr>
          <w:b/>
          <w:color w:val="1F4E79" w:themeColor="accent1" w:themeShade="80"/>
          <w:lang w:val="en-US"/>
        </w:rPr>
        <w:t>Balances of contingent liabilities classified as possible</w:t>
      </w:r>
    </w:p>
    <w:p w14:paraId="64975404" w14:textId="77777777" w:rsidR="00A4469D" w:rsidRPr="004C6ED9" w:rsidRDefault="00A4469D" w:rsidP="00CC187A">
      <w:pPr>
        <w:pStyle w:val="01-TtulodeNota"/>
        <w:spacing w:before="0" w:after="0"/>
        <w:jc w:val="right"/>
        <w:rPr>
          <w:sz w:val="14"/>
          <w:szCs w:val="14"/>
        </w:rPr>
      </w:pPr>
      <w:r>
        <w:rPr>
          <w:sz w:val="14"/>
          <w:szCs w:val="14"/>
        </w:rPr>
        <w:t>R$ thousand</w:t>
      </w:r>
    </w:p>
    <w:tbl>
      <w:tblPr>
        <w:tblW w:w="9627"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A4469D" w:rsidRPr="00E71174" w14:paraId="704B562C" w14:textId="77777777" w:rsidTr="0004479C">
        <w:trPr>
          <w:trHeight w:val="238"/>
          <w:jc w:val="center"/>
        </w:trPr>
        <w:tc>
          <w:tcPr>
            <w:tcW w:w="850" w:type="dxa"/>
            <w:tcBorders>
              <w:bottom w:val="nil"/>
            </w:tcBorders>
            <w:shd w:val="clear" w:color="auto" w:fill="auto"/>
            <w:vAlign w:val="center"/>
          </w:tcPr>
          <w:p w14:paraId="1C7F1245" w14:textId="77777777" w:rsidR="00A4469D" w:rsidRPr="00C72808" w:rsidRDefault="00A4469D" w:rsidP="0004479C">
            <w:pPr>
              <w:keepNext/>
              <w:keepLines/>
              <w:spacing w:before="40" w:after="40"/>
              <w:rPr>
                <w:rFonts w:cs="Arial"/>
                <w:bCs/>
                <w:spacing w:val="-2"/>
                <w:sz w:val="14"/>
                <w:szCs w:val="14"/>
              </w:rPr>
            </w:pPr>
          </w:p>
        </w:tc>
        <w:tc>
          <w:tcPr>
            <w:tcW w:w="2552" w:type="dxa"/>
            <w:gridSpan w:val="2"/>
            <w:tcBorders>
              <w:bottom w:val="nil"/>
            </w:tcBorders>
            <w:shd w:val="clear" w:color="auto" w:fill="auto"/>
            <w:vAlign w:val="center"/>
          </w:tcPr>
          <w:p w14:paraId="51EC9B5C" w14:textId="77777777" w:rsidR="00A4469D" w:rsidRPr="00E71174" w:rsidRDefault="00A4469D" w:rsidP="0004479C">
            <w:pPr>
              <w:keepNext/>
              <w:keepLines/>
              <w:spacing w:before="40" w:after="40"/>
              <w:rPr>
                <w:rFonts w:cs="Arial"/>
                <w:bCs/>
                <w:spacing w:val="-2"/>
                <w:sz w:val="14"/>
                <w:szCs w:val="14"/>
              </w:rPr>
            </w:pPr>
          </w:p>
        </w:tc>
        <w:tc>
          <w:tcPr>
            <w:tcW w:w="2823" w:type="dxa"/>
            <w:gridSpan w:val="2"/>
            <w:shd w:val="clear" w:color="auto" w:fill="auto"/>
            <w:vAlign w:val="center"/>
          </w:tcPr>
          <w:p w14:paraId="7D10FE65" w14:textId="77777777" w:rsidR="00A4469D" w:rsidRPr="00E71174" w:rsidRDefault="00A4469D" w:rsidP="00E71174">
            <w:pPr>
              <w:keepNext/>
              <w:keepLines/>
              <w:spacing w:before="40" w:after="40"/>
              <w:jc w:val="center"/>
              <w:rPr>
                <w:rFonts w:cs="Arial"/>
                <w:b/>
                <w:bCs/>
                <w:spacing w:val="-2"/>
                <w:sz w:val="14"/>
                <w:szCs w:val="14"/>
              </w:rPr>
            </w:pPr>
            <w:r w:rsidRPr="00E71174">
              <w:rPr>
                <w:rFonts w:cs="Arial"/>
                <w:b/>
                <w:bCs/>
                <w:spacing w:val="-2"/>
                <w:sz w:val="14"/>
                <w:szCs w:val="14"/>
              </w:rPr>
              <w:t>Parent</w:t>
            </w:r>
          </w:p>
        </w:tc>
        <w:tc>
          <w:tcPr>
            <w:tcW w:w="283" w:type="dxa"/>
            <w:shd w:val="clear" w:color="auto" w:fill="auto"/>
            <w:vAlign w:val="center"/>
          </w:tcPr>
          <w:p w14:paraId="0FFC7110" w14:textId="77777777" w:rsidR="00A4469D" w:rsidRPr="00E71174" w:rsidRDefault="00A4469D" w:rsidP="00E71174">
            <w:pPr>
              <w:keepNext/>
              <w:keepLines/>
              <w:spacing w:before="40" w:after="40"/>
              <w:jc w:val="center"/>
              <w:rPr>
                <w:rFonts w:cs="Arial"/>
                <w:b/>
                <w:bCs/>
                <w:spacing w:val="-2"/>
                <w:sz w:val="14"/>
                <w:szCs w:val="14"/>
              </w:rPr>
            </w:pPr>
          </w:p>
        </w:tc>
        <w:tc>
          <w:tcPr>
            <w:tcW w:w="284" w:type="dxa"/>
            <w:shd w:val="clear" w:color="auto" w:fill="auto"/>
            <w:vAlign w:val="center"/>
          </w:tcPr>
          <w:p w14:paraId="628A3CC4" w14:textId="77777777" w:rsidR="00A4469D" w:rsidRPr="00E71174" w:rsidRDefault="00A4469D" w:rsidP="00E71174">
            <w:pPr>
              <w:keepNext/>
              <w:keepLines/>
              <w:spacing w:before="40" w:after="40"/>
              <w:jc w:val="center"/>
              <w:rPr>
                <w:rFonts w:cs="Arial"/>
                <w:b/>
                <w:bCs/>
                <w:spacing w:val="-2"/>
                <w:sz w:val="14"/>
                <w:szCs w:val="14"/>
              </w:rPr>
            </w:pPr>
          </w:p>
        </w:tc>
        <w:tc>
          <w:tcPr>
            <w:tcW w:w="2835" w:type="dxa"/>
            <w:gridSpan w:val="2"/>
            <w:shd w:val="clear" w:color="auto" w:fill="auto"/>
            <w:vAlign w:val="center"/>
          </w:tcPr>
          <w:p w14:paraId="6C4A0FC1" w14:textId="77777777" w:rsidR="00A4469D" w:rsidRPr="00E71174" w:rsidRDefault="00A4469D" w:rsidP="00E71174">
            <w:pPr>
              <w:keepNext/>
              <w:keepLines/>
              <w:spacing w:before="40" w:after="40"/>
              <w:jc w:val="center"/>
              <w:rPr>
                <w:rFonts w:cs="Arial"/>
                <w:b/>
                <w:bCs/>
                <w:spacing w:val="-2"/>
                <w:sz w:val="14"/>
                <w:szCs w:val="14"/>
              </w:rPr>
            </w:pPr>
            <w:r w:rsidRPr="00E71174">
              <w:rPr>
                <w:rFonts w:cs="Arial"/>
                <w:b/>
                <w:bCs/>
                <w:spacing w:val="-2"/>
                <w:sz w:val="14"/>
                <w:szCs w:val="14"/>
              </w:rPr>
              <w:t>Consolidated</w:t>
            </w:r>
          </w:p>
        </w:tc>
      </w:tr>
      <w:tr w:rsidR="00A4469D" w:rsidRPr="00E71174" w14:paraId="2E6C1806" w14:textId="77777777" w:rsidTr="0004479C">
        <w:trPr>
          <w:trHeight w:val="238"/>
          <w:jc w:val="center"/>
        </w:trPr>
        <w:tc>
          <w:tcPr>
            <w:tcW w:w="3094" w:type="dxa"/>
            <w:gridSpan w:val="2"/>
            <w:tcBorders>
              <w:top w:val="nil"/>
              <w:bottom w:val="single" w:sz="2" w:space="0" w:color="1F4E79" w:themeColor="accent1" w:themeShade="80"/>
            </w:tcBorders>
            <w:shd w:val="clear" w:color="auto" w:fill="auto"/>
            <w:vAlign w:val="center"/>
          </w:tcPr>
          <w:p w14:paraId="1535C7F4" w14:textId="77777777" w:rsidR="00A4469D" w:rsidRPr="0004479C" w:rsidRDefault="00A4469D" w:rsidP="0004479C">
            <w:pPr>
              <w:pStyle w:val="08-Tabelageral"/>
              <w:jc w:val="left"/>
              <w:rPr>
                <w:rFonts w:cs="Arial"/>
                <w:b/>
                <w:szCs w:val="14"/>
                <w:lang w:eastAsia="en-US"/>
              </w:rPr>
            </w:pPr>
          </w:p>
        </w:tc>
        <w:tc>
          <w:tcPr>
            <w:tcW w:w="308" w:type="dxa"/>
            <w:tcBorders>
              <w:top w:val="nil"/>
              <w:bottom w:val="single" w:sz="2" w:space="0" w:color="1F4E79" w:themeColor="accent1" w:themeShade="80"/>
            </w:tcBorders>
            <w:shd w:val="clear" w:color="auto" w:fill="auto"/>
            <w:vAlign w:val="center"/>
          </w:tcPr>
          <w:p w14:paraId="4B4499C1" w14:textId="77777777" w:rsidR="00A4469D" w:rsidRPr="0004479C" w:rsidRDefault="00A4469D" w:rsidP="0004479C">
            <w:pPr>
              <w:pStyle w:val="08-Tabelageral"/>
              <w:rPr>
                <w:rFonts w:cs="Arial"/>
                <w:b/>
                <w:szCs w:val="14"/>
                <w:lang w:eastAsia="en-US"/>
              </w:rPr>
            </w:pPr>
          </w:p>
        </w:tc>
        <w:tc>
          <w:tcPr>
            <w:tcW w:w="1411" w:type="dxa"/>
            <w:tcBorders>
              <w:bottom w:val="single" w:sz="2" w:space="0" w:color="1F4E79" w:themeColor="accent1" w:themeShade="80"/>
            </w:tcBorders>
            <w:shd w:val="clear" w:color="auto" w:fill="auto"/>
            <w:vAlign w:val="center"/>
          </w:tcPr>
          <w:p w14:paraId="21CB7135" w14:textId="77777777" w:rsidR="00A4469D" w:rsidRPr="00E71174" w:rsidRDefault="00A4469D" w:rsidP="00C42477">
            <w:pPr>
              <w:pStyle w:val="08-Tabelageral"/>
              <w:rPr>
                <w:rFonts w:cs="Arial"/>
                <w:b/>
                <w:szCs w:val="14"/>
                <w:lang w:eastAsia="en-US"/>
              </w:rPr>
            </w:pPr>
            <w:r>
              <w:rPr>
                <w:rFonts w:cs="Arial"/>
                <w:b/>
                <w:szCs w:val="14"/>
                <w:lang w:eastAsia="en-US"/>
              </w:rPr>
              <w:t>Dec</w:t>
            </w:r>
            <w:r w:rsidRPr="00E71174">
              <w:rPr>
                <w:rFonts w:cs="Arial"/>
                <w:b/>
                <w:szCs w:val="14"/>
                <w:lang w:eastAsia="en-US"/>
              </w:rPr>
              <w:t xml:space="preserve"> 31, 2022</w:t>
            </w:r>
          </w:p>
        </w:tc>
        <w:tc>
          <w:tcPr>
            <w:tcW w:w="1412" w:type="dxa"/>
            <w:tcBorders>
              <w:bottom w:val="single" w:sz="2" w:space="0" w:color="1F4E79" w:themeColor="accent1" w:themeShade="80"/>
            </w:tcBorders>
            <w:shd w:val="clear" w:color="auto" w:fill="auto"/>
            <w:vAlign w:val="center"/>
          </w:tcPr>
          <w:p w14:paraId="14C2CDE8" w14:textId="77777777" w:rsidR="00A4469D" w:rsidRPr="00E71174" w:rsidRDefault="00A4469D" w:rsidP="00C42477">
            <w:pPr>
              <w:pStyle w:val="08-Tabelageral"/>
              <w:rPr>
                <w:rFonts w:cs="Arial"/>
                <w:b/>
                <w:szCs w:val="14"/>
                <w:lang w:eastAsia="en-US"/>
              </w:rPr>
            </w:pPr>
            <w:r w:rsidRPr="00E71174">
              <w:rPr>
                <w:rFonts w:cs="Arial"/>
                <w:b/>
                <w:szCs w:val="14"/>
                <w:lang w:eastAsia="en-US"/>
              </w:rPr>
              <w:t>Dec 31, 2021</w:t>
            </w:r>
          </w:p>
        </w:tc>
        <w:tc>
          <w:tcPr>
            <w:tcW w:w="283" w:type="dxa"/>
            <w:tcBorders>
              <w:bottom w:val="single" w:sz="2" w:space="0" w:color="1F4E79" w:themeColor="accent1" w:themeShade="80"/>
            </w:tcBorders>
            <w:shd w:val="clear" w:color="auto" w:fill="auto"/>
            <w:vAlign w:val="center"/>
          </w:tcPr>
          <w:p w14:paraId="1061F3FB" w14:textId="77777777" w:rsidR="00A4469D" w:rsidRPr="00E71174" w:rsidRDefault="00A4469D" w:rsidP="00C42477">
            <w:pPr>
              <w:pStyle w:val="08-Tabelageral"/>
              <w:rPr>
                <w:rFonts w:cs="Arial"/>
                <w:b/>
                <w:szCs w:val="14"/>
                <w:lang w:eastAsia="en-US"/>
              </w:rPr>
            </w:pPr>
          </w:p>
        </w:tc>
        <w:tc>
          <w:tcPr>
            <w:tcW w:w="284" w:type="dxa"/>
            <w:tcBorders>
              <w:bottom w:val="single" w:sz="2" w:space="0" w:color="1F4E79" w:themeColor="accent1" w:themeShade="80"/>
            </w:tcBorders>
            <w:shd w:val="clear" w:color="auto" w:fill="auto"/>
            <w:vAlign w:val="center"/>
          </w:tcPr>
          <w:p w14:paraId="18D9AE97" w14:textId="77777777" w:rsidR="00A4469D" w:rsidRPr="00E71174" w:rsidRDefault="00A4469D" w:rsidP="00C42477">
            <w:pPr>
              <w:pStyle w:val="08-Tabelageral"/>
              <w:rPr>
                <w:rFonts w:cs="Arial"/>
                <w:b/>
                <w:szCs w:val="14"/>
                <w:lang w:eastAsia="en-US"/>
              </w:rPr>
            </w:pPr>
          </w:p>
        </w:tc>
        <w:tc>
          <w:tcPr>
            <w:tcW w:w="1417" w:type="dxa"/>
            <w:tcBorders>
              <w:bottom w:val="single" w:sz="2" w:space="0" w:color="1F4E79" w:themeColor="accent1" w:themeShade="80"/>
            </w:tcBorders>
            <w:shd w:val="clear" w:color="auto" w:fill="auto"/>
            <w:vAlign w:val="center"/>
          </w:tcPr>
          <w:p w14:paraId="720B987D" w14:textId="77777777" w:rsidR="00A4469D" w:rsidRPr="00E71174" w:rsidRDefault="00A4469D" w:rsidP="00C42477">
            <w:pPr>
              <w:pStyle w:val="08-Tabelageral"/>
              <w:rPr>
                <w:rFonts w:cs="Arial"/>
                <w:b/>
                <w:szCs w:val="14"/>
                <w:lang w:eastAsia="en-US"/>
              </w:rPr>
            </w:pPr>
            <w:r>
              <w:rPr>
                <w:rFonts w:cs="Arial"/>
                <w:b/>
                <w:szCs w:val="14"/>
                <w:lang w:eastAsia="en-US"/>
              </w:rPr>
              <w:t>Dec</w:t>
            </w:r>
            <w:r w:rsidRPr="00E71174">
              <w:rPr>
                <w:rFonts w:cs="Arial"/>
                <w:b/>
                <w:szCs w:val="14"/>
                <w:lang w:eastAsia="en-US"/>
              </w:rPr>
              <w:t xml:space="preserve"> 31, 2022</w:t>
            </w:r>
          </w:p>
        </w:tc>
        <w:tc>
          <w:tcPr>
            <w:tcW w:w="1418" w:type="dxa"/>
            <w:tcBorders>
              <w:bottom w:val="single" w:sz="2" w:space="0" w:color="1F4E79" w:themeColor="accent1" w:themeShade="80"/>
            </w:tcBorders>
            <w:shd w:val="clear" w:color="auto" w:fill="auto"/>
            <w:vAlign w:val="center"/>
          </w:tcPr>
          <w:p w14:paraId="41E5F81C" w14:textId="77777777" w:rsidR="00A4469D" w:rsidRPr="00E71174" w:rsidRDefault="00A4469D" w:rsidP="00C42477">
            <w:pPr>
              <w:pStyle w:val="08-Tabelageral"/>
              <w:rPr>
                <w:rFonts w:cs="Arial"/>
                <w:b/>
                <w:szCs w:val="14"/>
                <w:lang w:eastAsia="en-US"/>
              </w:rPr>
            </w:pPr>
            <w:r w:rsidRPr="00E71174">
              <w:rPr>
                <w:rFonts w:cs="Arial"/>
                <w:b/>
                <w:szCs w:val="14"/>
                <w:lang w:eastAsia="en-US"/>
              </w:rPr>
              <w:t>Dec 31, 2021</w:t>
            </w:r>
          </w:p>
        </w:tc>
      </w:tr>
      <w:tr w:rsidR="00A4469D" w:rsidRPr="004C6ED9" w14:paraId="64EFBD71" w14:textId="77777777" w:rsidTr="00A44F57">
        <w:trPr>
          <w:trHeight w:val="238"/>
          <w:jc w:val="center"/>
        </w:trPr>
        <w:tc>
          <w:tcPr>
            <w:tcW w:w="3094" w:type="dxa"/>
            <w:gridSpan w:val="2"/>
            <w:tcBorders>
              <w:bottom w:val="nil"/>
            </w:tcBorders>
            <w:shd w:val="clear" w:color="auto" w:fill="auto"/>
            <w:vAlign w:val="center"/>
          </w:tcPr>
          <w:p w14:paraId="03E26D75" w14:textId="77777777" w:rsidR="00A4469D" w:rsidRPr="00A50A7C" w:rsidRDefault="00A4469D" w:rsidP="00723FB0">
            <w:pPr>
              <w:pStyle w:val="08-Tabelageral"/>
              <w:jc w:val="left"/>
              <w:rPr>
                <w:rFonts w:cs="Arial"/>
                <w:b/>
                <w:szCs w:val="14"/>
                <w:vertAlign w:val="superscript"/>
              </w:rPr>
            </w:pPr>
            <w:r>
              <w:rPr>
                <w:rFonts w:cs="Arial"/>
                <w:szCs w:val="14"/>
              </w:rPr>
              <w:t xml:space="preserve">Tax lawsuits </w:t>
            </w:r>
            <w:r>
              <w:rPr>
                <w:rFonts w:cs="Arial"/>
                <w:szCs w:val="14"/>
                <w:vertAlign w:val="superscript"/>
              </w:rPr>
              <w:t>(1)</w:t>
            </w:r>
          </w:p>
        </w:tc>
        <w:tc>
          <w:tcPr>
            <w:tcW w:w="308" w:type="dxa"/>
            <w:tcBorders>
              <w:bottom w:val="nil"/>
            </w:tcBorders>
            <w:shd w:val="clear" w:color="auto" w:fill="auto"/>
            <w:vAlign w:val="center"/>
          </w:tcPr>
          <w:p w14:paraId="208DDBBA" w14:textId="77777777" w:rsidR="00A4469D" w:rsidRPr="004C6ED9" w:rsidRDefault="00A4469D" w:rsidP="00723FB0">
            <w:pPr>
              <w:pStyle w:val="08-Tabelageral"/>
              <w:rPr>
                <w:rFonts w:cs="Arial"/>
                <w:szCs w:val="14"/>
              </w:rPr>
            </w:pPr>
          </w:p>
        </w:tc>
        <w:tc>
          <w:tcPr>
            <w:tcW w:w="1411" w:type="dxa"/>
            <w:tcBorders>
              <w:bottom w:val="nil"/>
            </w:tcBorders>
            <w:shd w:val="clear" w:color="auto" w:fill="auto"/>
            <w:vAlign w:val="center"/>
          </w:tcPr>
          <w:p w14:paraId="7D332736" w14:textId="77777777" w:rsidR="00A4469D" w:rsidRPr="004C6ED9" w:rsidRDefault="00A4469D" w:rsidP="00723FB0">
            <w:pPr>
              <w:pStyle w:val="08-Tabelageral"/>
              <w:rPr>
                <w:rFonts w:cs="Arial"/>
                <w:szCs w:val="14"/>
              </w:rPr>
            </w:pPr>
            <w:r>
              <w:rPr>
                <w:rFonts w:cs="Arial"/>
                <w:szCs w:val="14"/>
                <w:lang w:eastAsia="en-US"/>
              </w:rPr>
              <w:t>--</w:t>
            </w:r>
          </w:p>
        </w:tc>
        <w:tc>
          <w:tcPr>
            <w:tcW w:w="1412" w:type="dxa"/>
            <w:tcBorders>
              <w:bottom w:val="nil"/>
            </w:tcBorders>
            <w:shd w:val="clear" w:color="auto" w:fill="auto"/>
            <w:vAlign w:val="center"/>
          </w:tcPr>
          <w:p w14:paraId="2E744F1C" w14:textId="77777777" w:rsidR="00A4469D" w:rsidRPr="004C6ED9" w:rsidRDefault="00A4469D" w:rsidP="00723FB0">
            <w:pPr>
              <w:pStyle w:val="08-Tabelageral"/>
              <w:rPr>
                <w:rFonts w:cs="Arial"/>
                <w:szCs w:val="14"/>
              </w:rPr>
            </w:pPr>
            <w:r>
              <w:rPr>
                <w:rFonts w:cs="Arial"/>
                <w:szCs w:val="14"/>
                <w:lang w:eastAsia="en-US"/>
              </w:rPr>
              <w:t>--</w:t>
            </w:r>
          </w:p>
        </w:tc>
        <w:tc>
          <w:tcPr>
            <w:tcW w:w="283" w:type="dxa"/>
            <w:tcBorders>
              <w:bottom w:val="nil"/>
            </w:tcBorders>
            <w:shd w:val="clear" w:color="auto" w:fill="auto"/>
            <w:vAlign w:val="center"/>
          </w:tcPr>
          <w:p w14:paraId="3F0BAED4" w14:textId="77777777" w:rsidR="00A4469D" w:rsidRPr="004C6ED9" w:rsidRDefault="00A4469D" w:rsidP="00723FB0">
            <w:pPr>
              <w:pStyle w:val="08-Tabelageral"/>
              <w:rPr>
                <w:rFonts w:cs="Arial"/>
                <w:szCs w:val="14"/>
              </w:rPr>
            </w:pPr>
          </w:p>
        </w:tc>
        <w:tc>
          <w:tcPr>
            <w:tcW w:w="284" w:type="dxa"/>
            <w:tcBorders>
              <w:bottom w:val="nil"/>
            </w:tcBorders>
            <w:shd w:val="clear" w:color="auto" w:fill="auto"/>
            <w:vAlign w:val="center"/>
          </w:tcPr>
          <w:p w14:paraId="3E3EC3B2" w14:textId="77777777" w:rsidR="00A4469D" w:rsidRDefault="00A4469D" w:rsidP="00723FB0">
            <w:pPr>
              <w:pStyle w:val="08-Tabelageral"/>
              <w:rPr>
                <w:rFonts w:cs="Arial"/>
                <w:szCs w:val="14"/>
              </w:rPr>
            </w:pPr>
          </w:p>
        </w:tc>
        <w:tc>
          <w:tcPr>
            <w:tcW w:w="1417" w:type="dxa"/>
            <w:tcBorders>
              <w:top w:val="single" w:sz="2" w:space="0" w:color="1F4E79" w:themeColor="accent1" w:themeShade="80"/>
              <w:left w:val="nil"/>
              <w:bottom w:val="nil"/>
              <w:right w:val="nil"/>
            </w:tcBorders>
          </w:tcPr>
          <w:p w14:paraId="08E664DA" w14:textId="77777777" w:rsidR="00A4469D" w:rsidRPr="004C6ED9" w:rsidRDefault="00A4469D" w:rsidP="00723FB0">
            <w:pPr>
              <w:pStyle w:val="08-Tabelageral"/>
              <w:rPr>
                <w:rFonts w:cs="Arial"/>
                <w:szCs w:val="14"/>
              </w:rPr>
            </w:pPr>
            <w:r w:rsidRPr="00504D30">
              <w:rPr>
                <w:rFonts w:cs="Arial"/>
                <w:szCs w:val="14"/>
              </w:rPr>
              <w:t>270</w:t>
            </w:r>
            <w:r>
              <w:rPr>
                <w:rFonts w:cs="Arial"/>
                <w:szCs w:val="14"/>
              </w:rPr>
              <w:t>,</w:t>
            </w:r>
            <w:r w:rsidRPr="00504D30">
              <w:rPr>
                <w:rFonts w:cs="Arial"/>
                <w:szCs w:val="14"/>
              </w:rPr>
              <w:t>060</w:t>
            </w:r>
          </w:p>
        </w:tc>
        <w:tc>
          <w:tcPr>
            <w:tcW w:w="1418" w:type="dxa"/>
            <w:tcBorders>
              <w:bottom w:val="nil"/>
            </w:tcBorders>
            <w:shd w:val="clear" w:color="auto" w:fill="auto"/>
            <w:vAlign w:val="center"/>
          </w:tcPr>
          <w:p w14:paraId="09B7A2DD" w14:textId="77777777" w:rsidR="00A4469D" w:rsidRPr="004C6ED9" w:rsidRDefault="00A4469D" w:rsidP="00723FB0">
            <w:pPr>
              <w:pStyle w:val="08-Tabelageral"/>
              <w:rPr>
                <w:rFonts w:cs="Arial"/>
                <w:szCs w:val="14"/>
              </w:rPr>
            </w:pPr>
            <w:r>
              <w:rPr>
                <w:rFonts w:cs="Arial"/>
                <w:szCs w:val="14"/>
                <w:lang w:eastAsia="en-US"/>
              </w:rPr>
              <w:t>240,209</w:t>
            </w:r>
          </w:p>
        </w:tc>
      </w:tr>
      <w:tr w:rsidR="00A4469D" w:rsidRPr="004C6ED9" w14:paraId="72627B16" w14:textId="77777777" w:rsidTr="00A44F57">
        <w:trPr>
          <w:trHeight w:val="238"/>
          <w:jc w:val="center"/>
        </w:trPr>
        <w:tc>
          <w:tcPr>
            <w:tcW w:w="3094" w:type="dxa"/>
            <w:gridSpan w:val="2"/>
            <w:tcBorders>
              <w:top w:val="nil"/>
              <w:bottom w:val="nil"/>
            </w:tcBorders>
            <w:shd w:val="clear" w:color="auto" w:fill="auto"/>
            <w:vAlign w:val="center"/>
          </w:tcPr>
          <w:p w14:paraId="5C438AFD" w14:textId="77777777" w:rsidR="00A4469D" w:rsidRDefault="00A4469D" w:rsidP="00723FB0">
            <w:pPr>
              <w:pStyle w:val="08-Tabelageral"/>
              <w:jc w:val="left"/>
              <w:rPr>
                <w:rFonts w:cs="Arial"/>
                <w:b/>
                <w:szCs w:val="14"/>
              </w:rPr>
            </w:pPr>
            <w:r>
              <w:rPr>
                <w:rFonts w:cs="Arial"/>
                <w:szCs w:val="14"/>
              </w:rPr>
              <w:t>Civil lawsuits</w:t>
            </w:r>
          </w:p>
        </w:tc>
        <w:tc>
          <w:tcPr>
            <w:tcW w:w="308" w:type="dxa"/>
            <w:tcBorders>
              <w:top w:val="nil"/>
              <w:bottom w:val="nil"/>
            </w:tcBorders>
            <w:shd w:val="clear" w:color="auto" w:fill="auto"/>
            <w:vAlign w:val="center"/>
          </w:tcPr>
          <w:p w14:paraId="2637FE2D" w14:textId="77777777" w:rsidR="00A4469D" w:rsidRPr="004C6ED9" w:rsidRDefault="00A4469D" w:rsidP="00723FB0">
            <w:pPr>
              <w:pStyle w:val="08-Tabelageral"/>
              <w:rPr>
                <w:rFonts w:cs="Arial"/>
                <w:szCs w:val="14"/>
              </w:rPr>
            </w:pPr>
          </w:p>
        </w:tc>
        <w:tc>
          <w:tcPr>
            <w:tcW w:w="1411" w:type="dxa"/>
            <w:tcBorders>
              <w:top w:val="nil"/>
              <w:bottom w:val="nil"/>
            </w:tcBorders>
            <w:shd w:val="clear" w:color="auto" w:fill="auto"/>
            <w:vAlign w:val="center"/>
          </w:tcPr>
          <w:p w14:paraId="4D1EDE43" w14:textId="77777777" w:rsidR="00A4469D" w:rsidRPr="004C6ED9" w:rsidRDefault="00A4469D" w:rsidP="00723FB0">
            <w:pPr>
              <w:pStyle w:val="08-Tabelageral"/>
              <w:rPr>
                <w:rFonts w:cs="Arial"/>
                <w:szCs w:val="14"/>
              </w:rPr>
            </w:pPr>
            <w:r>
              <w:rPr>
                <w:rFonts w:cs="Arial"/>
                <w:szCs w:val="14"/>
                <w:lang w:eastAsia="en-US"/>
              </w:rPr>
              <w:t>--</w:t>
            </w:r>
          </w:p>
        </w:tc>
        <w:tc>
          <w:tcPr>
            <w:tcW w:w="1412" w:type="dxa"/>
            <w:tcBorders>
              <w:top w:val="nil"/>
              <w:bottom w:val="nil"/>
            </w:tcBorders>
            <w:shd w:val="clear" w:color="auto" w:fill="auto"/>
            <w:vAlign w:val="center"/>
          </w:tcPr>
          <w:p w14:paraId="344188FB" w14:textId="77777777" w:rsidR="00A4469D" w:rsidRPr="004C6ED9" w:rsidRDefault="00A4469D" w:rsidP="00723FB0">
            <w:pPr>
              <w:pStyle w:val="08-Tabelageral"/>
              <w:rPr>
                <w:rFonts w:cs="Arial"/>
                <w:szCs w:val="14"/>
              </w:rPr>
            </w:pPr>
            <w:r>
              <w:rPr>
                <w:rFonts w:cs="Arial"/>
                <w:szCs w:val="14"/>
                <w:lang w:eastAsia="en-US"/>
              </w:rPr>
              <w:t>--</w:t>
            </w:r>
          </w:p>
        </w:tc>
        <w:tc>
          <w:tcPr>
            <w:tcW w:w="283" w:type="dxa"/>
            <w:tcBorders>
              <w:top w:val="nil"/>
              <w:bottom w:val="nil"/>
            </w:tcBorders>
            <w:shd w:val="clear" w:color="auto" w:fill="auto"/>
            <w:vAlign w:val="center"/>
          </w:tcPr>
          <w:p w14:paraId="5130DA74" w14:textId="77777777" w:rsidR="00A4469D" w:rsidRPr="004C6ED9" w:rsidRDefault="00A4469D" w:rsidP="00723FB0">
            <w:pPr>
              <w:pStyle w:val="08-Tabelageral"/>
              <w:rPr>
                <w:rFonts w:cs="Arial"/>
                <w:szCs w:val="14"/>
              </w:rPr>
            </w:pPr>
          </w:p>
        </w:tc>
        <w:tc>
          <w:tcPr>
            <w:tcW w:w="284" w:type="dxa"/>
            <w:tcBorders>
              <w:top w:val="nil"/>
              <w:bottom w:val="nil"/>
            </w:tcBorders>
            <w:shd w:val="clear" w:color="auto" w:fill="auto"/>
            <w:vAlign w:val="center"/>
          </w:tcPr>
          <w:p w14:paraId="5A3962BD" w14:textId="77777777" w:rsidR="00A4469D" w:rsidRDefault="00A4469D" w:rsidP="00723FB0">
            <w:pPr>
              <w:pStyle w:val="08-Tabelageral"/>
              <w:rPr>
                <w:rFonts w:cs="Arial"/>
                <w:szCs w:val="14"/>
              </w:rPr>
            </w:pPr>
          </w:p>
        </w:tc>
        <w:tc>
          <w:tcPr>
            <w:tcW w:w="1417" w:type="dxa"/>
            <w:tcBorders>
              <w:top w:val="nil"/>
              <w:left w:val="nil"/>
              <w:bottom w:val="nil"/>
              <w:right w:val="nil"/>
            </w:tcBorders>
          </w:tcPr>
          <w:p w14:paraId="668DDB41" w14:textId="77777777" w:rsidR="00A4469D" w:rsidRPr="004C6ED9" w:rsidRDefault="00A4469D" w:rsidP="00723FB0">
            <w:pPr>
              <w:pStyle w:val="08-Tabelageral"/>
              <w:rPr>
                <w:rFonts w:cs="Arial"/>
                <w:szCs w:val="14"/>
              </w:rPr>
            </w:pPr>
            <w:r>
              <w:rPr>
                <w:rFonts w:cs="Arial"/>
                <w:szCs w:val="14"/>
              </w:rPr>
              <w:t>2,215</w:t>
            </w:r>
          </w:p>
        </w:tc>
        <w:tc>
          <w:tcPr>
            <w:tcW w:w="1418" w:type="dxa"/>
            <w:tcBorders>
              <w:top w:val="nil"/>
              <w:bottom w:val="nil"/>
            </w:tcBorders>
            <w:shd w:val="clear" w:color="auto" w:fill="auto"/>
            <w:vAlign w:val="center"/>
          </w:tcPr>
          <w:p w14:paraId="6B212A59" w14:textId="77777777" w:rsidR="00A4469D" w:rsidRPr="004C6ED9" w:rsidRDefault="00A4469D" w:rsidP="00723FB0">
            <w:pPr>
              <w:pStyle w:val="08-Tabelageral"/>
              <w:rPr>
                <w:rFonts w:cs="Arial"/>
                <w:szCs w:val="14"/>
              </w:rPr>
            </w:pPr>
            <w:r>
              <w:rPr>
                <w:rFonts w:cs="Arial"/>
                <w:szCs w:val="14"/>
                <w:lang w:eastAsia="en-US"/>
              </w:rPr>
              <w:t>1,580</w:t>
            </w:r>
          </w:p>
        </w:tc>
      </w:tr>
      <w:tr w:rsidR="00A4469D" w:rsidRPr="00225994" w14:paraId="77D3D041" w14:textId="77777777" w:rsidTr="00A44F57">
        <w:trPr>
          <w:trHeight w:val="238"/>
          <w:jc w:val="center"/>
        </w:trPr>
        <w:tc>
          <w:tcPr>
            <w:tcW w:w="3094" w:type="dxa"/>
            <w:gridSpan w:val="2"/>
            <w:tcBorders>
              <w:top w:val="nil"/>
            </w:tcBorders>
            <w:shd w:val="clear" w:color="auto" w:fill="auto"/>
            <w:vAlign w:val="center"/>
          </w:tcPr>
          <w:p w14:paraId="4718E46B" w14:textId="77777777" w:rsidR="00A4469D" w:rsidRPr="00225994" w:rsidRDefault="00A4469D" w:rsidP="00723FB0">
            <w:pPr>
              <w:keepNext/>
              <w:keepLines/>
              <w:spacing w:before="40" w:after="40" w:line="240" w:lineRule="auto"/>
              <w:rPr>
                <w:rFonts w:cs="Arial"/>
                <w:b/>
                <w:bCs/>
                <w:spacing w:val="-2"/>
                <w:sz w:val="14"/>
                <w:szCs w:val="14"/>
              </w:rPr>
            </w:pPr>
            <w:r w:rsidRPr="00225994">
              <w:rPr>
                <w:rFonts w:cs="Arial"/>
                <w:b/>
                <w:spacing w:val="-2"/>
                <w:sz w:val="14"/>
                <w:szCs w:val="14"/>
              </w:rPr>
              <w:t>Total</w:t>
            </w:r>
          </w:p>
        </w:tc>
        <w:tc>
          <w:tcPr>
            <w:tcW w:w="308" w:type="dxa"/>
            <w:tcBorders>
              <w:top w:val="nil"/>
            </w:tcBorders>
            <w:shd w:val="clear" w:color="auto" w:fill="auto"/>
            <w:vAlign w:val="center"/>
          </w:tcPr>
          <w:p w14:paraId="20FFA63A" w14:textId="77777777" w:rsidR="00A4469D" w:rsidRPr="00225994" w:rsidRDefault="00A4469D" w:rsidP="00723FB0">
            <w:pPr>
              <w:pStyle w:val="08-Tabelageral"/>
              <w:rPr>
                <w:rFonts w:cs="Arial"/>
                <w:b/>
                <w:szCs w:val="14"/>
              </w:rPr>
            </w:pPr>
          </w:p>
        </w:tc>
        <w:tc>
          <w:tcPr>
            <w:tcW w:w="1411" w:type="dxa"/>
            <w:tcBorders>
              <w:top w:val="nil"/>
            </w:tcBorders>
            <w:shd w:val="clear" w:color="auto" w:fill="auto"/>
            <w:vAlign w:val="center"/>
          </w:tcPr>
          <w:p w14:paraId="0A98D23F" w14:textId="77777777" w:rsidR="00A4469D" w:rsidRPr="00225994" w:rsidRDefault="00A4469D" w:rsidP="00723FB0">
            <w:pPr>
              <w:pStyle w:val="08-Tabelageral"/>
              <w:rPr>
                <w:rFonts w:cs="Arial"/>
                <w:b/>
                <w:szCs w:val="14"/>
              </w:rPr>
            </w:pPr>
            <w:r>
              <w:rPr>
                <w:rFonts w:cs="Arial"/>
                <w:b/>
                <w:szCs w:val="14"/>
                <w:lang w:eastAsia="en-US"/>
              </w:rPr>
              <w:t>--</w:t>
            </w:r>
          </w:p>
        </w:tc>
        <w:tc>
          <w:tcPr>
            <w:tcW w:w="1412" w:type="dxa"/>
            <w:tcBorders>
              <w:top w:val="nil"/>
            </w:tcBorders>
            <w:shd w:val="clear" w:color="auto" w:fill="auto"/>
            <w:vAlign w:val="center"/>
          </w:tcPr>
          <w:p w14:paraId="23C65FD4" w14:textId="77777777" w:rsidR="00A4469D" w:rsidRPr="00225994" w:rsidRDefault="00A4469D" w:rsidP="00723FB0">
            <w:pPr>
              <w:pStyle w:val="08-Tabelageral"/>
              <w:rPr>
                <w:rFonts w:cs="Arial"/>
                <w:b/>
                <w:szCs w:val="14"/>
              </w:rPr>
            </w:pPr>
            <w:r>
              <w:rPr>
                <w:rFonts w:cs="Arial"/>
                <w:b/>
                <w:szCs w:val="14"/>
                <w:lang w:eastAsia="en-US"/>
              </w:rPr>
              <w:t>--</w:t>
            </w:r>
          </w:p>
        </w:tc>
        <w:tc>
          <w:tcPr>
            <w:tcW w:w="283" w:type="dxa"/>
            <w:tcBorders>
              <w:top w:val="nil"/>
            </w:tcBorders>
            <w:shd w:val="clear" w:color="auto" w:fill="auto"/>
            <w:vAlign w:val="center"/>
          </w:tcPr>
          <w:p w14:paraId="0C57108D" w14:textId="77777777" w:rsidR="00A4469D" w:rsidRPr="00225994" w:rsidRDefault="00A4469D" w:rsidP="00723FB0">
            <w:pPr>
              <w:pStyle w:val="08-Tabelageral"/>
              <w:rPr>
                <w:rFonts w:cs="Arial"/>
                <w:b/>
                <w:szCs w:val="14"/>
              </w:rPr>
            </w:pPr>
          </w:p>
        </w:tc>
        <w:tc>
          <w:tcPr>
            <w:tcW w:w="284" w:type="dxa"/>
            <w:tcBorders>
              <w:top w:val="nil"/>
            </w:tcBorders>
            <w:shd w:val="clear" w:color="auto" w:fill="auto"/>
            <w:vAlign w:val="center"/>
          </w:tcPr>
          <w:p w14:paraId="03229E1C" w14:textId="77777777" w:rsidR="00A4469D" w:rsidRPr="00225994" w:rsidRDefault="00A4469D" w:rsidP="00723FB0">
            <w:pPr>
              <w:pStyle w:val="08-Tabelageral"/>
              <w:rPr>
                <w:rFonts w:cs="Arial"/>
                <w:b/>
                <w:szCs w:val="14"/>
              </w:rPr>
            </w:pPr>
          </w:p>
        </w:tc>
        <w:tc>
          <w:tcPr>
            <w:tcW w:w="1417" w:type="dxa"/>
            <w:tcBorders>
              <w:top w:val="nil"/>
              <w:left w:val="nil"/>
              <w:bottom w:val="single" w:sz="2" w:space="0" w:color="1F4E79" w:themeColor="accent1" w:themeShade="80"/>
              <w:right w:val="nil"/>
            </w:tcBorders>
          </w:tcPr>
          <w:p w14:paraId="62184414" w14:textId="77777777" w:rsidR="00A4469D" w:rsidRPr="00225994" w:rsidRDefault="00A4469D" w:rsidP="00723FB0">
            <w:pPr>
              <w:pStyle w:val="08-Tabelageral"/>
              <w:rPr>
                <w:rFonts w:cs="Arial"/>
                <w:b/>
                <w:szCs w:val="14"/>
              </w:rPr>
            </w:pPr>
            <w:r>
              <w:rPr>
                <w:rFonts w:cs="Arial"/>
                <w:b/>
                <w:szCs w:val="14"/>
              </w:rPr>
              <w:t>272,275</w:t>
            </w:r>
          </w:p>
        </w:tc>
        <w:tc>
          <w:tcPr>
            <w:tcW w:w="1418" w:type="dxa"/>
            <w:tcBorders>
              <w:top w:val="nil"/>
            </w:tcBorders>
            <w:shd w:val="clear" w:color="auto" w:fill="auto"/>
            <w:vAlign w:val="center"/>
          </w:tcPr>
          <w:p w14:paraId="57F89E0A" w14:textId="77777777" w:rsidR="00A4469D" w:rsidRPr="00225994" w:rsidRDefault="00A4469D" w:rsidP="00723FB0">
            <w:pPr>
              <w:pStyle w:val="08-Tabelageral"/>
              <w:rPr>
                <w:rFonts w:cs="Arial"/>
                <w:b/>
                <w:szCs w:val="14"/>
              </w:rPr>
            </w:pPr>
            <w:r>
              <w:rPr>
                <w:rFonts w:cs="Arial"/>
                <w:b/>
                <w:szCs w:val="14"/>
                <w:lang w:eastAsia="en-US"/>
              </w:rPr>
              <w:t>241,789</w:t>
            </w:r>
          </w:p>
        </w:tc>
      </w:tr>
    </w:tbl>
    <w:p w14:paraId="13E939AA" w14:textId="77777777" w:rsidR="00A4469D" w:rsidRPr="00134726" w:rsidRDefault="00A4469D" w:rsidP="00AB6E2F">
      <w:pPr>
        <w:pStyle w:val="07-Legenda"/>
        <w:rPr>
          <w:rFonts w:cs="Arial"/>
          <w:color w:val="00000A"/>
          <w:lang w:val="en-US"/>
        </w:rPr>
      </w:pPr>
      <w:r w:rsidRPr="00134726">
        <w:rPr>
          <w:rFonts w:cs="Arial"/>
          <w:lang w:val="en-US"/>
        </w:rPr>
        <w:t>(1)</w:t>
      </w:r>
      <w:r w:rsidRPr="00134726">
        <w:rPr>
          <w:rFonts w:cs="Arial"/>
          <w:lang w:val="en-US"/>
        </w:rPr>
        <w:tab/>
      </w:r>
      <w:r w:rsidRPr="000C10D4">
        <w:rPr>
          <w:rStyle w:val="tlid-translation"/>
          <w:szCs w:val="14"/>
          <w:lang w:val="en"/>
        </w:rPr>
        <w:t>Refers mainly to the tax lawsuit filed by BB Corretora with the objective of annulling an administrative decision that did not ratify declarations of offsetting negative IRPJ balances with different taxes. There is a guarantee deposit for the mentioned action as shown in item d) Deposits in Guarantee of Funds</w:t>
      </w:r>
      <w:r w:rsidRPr="00134726">
        <w:rPr>
          <w:rFonts w:cs="Arial"/>
          <w:color w:val="00000A"/>
          <w:lang w:val="en-US"/>
        </w:rPr>
        <w:t>.</w:t>
      </w:r>
    </w:p>
    <w:p w14:paraId="7555DF89" w14:textId="77777777" w:rsidR="00A4469D" w:rsidRPr="00134726" w:rsidRDefault="00A4469D" w:rsidP="00056FD3">
      <w:pPr>
        <w:pStyle w:val="05-Textonormal"/>
        <w:rPr>
          <w:lang w:val="en-US"/>
        </w:rPr>
      </w:pPr>
      <w:r w:rsidRPr="00134726">
        <w:rPr>
          <w:rStyle w:val="tlid-translation"/>
          <w:lang w:val="en-US"/>
        </w:rPr>
        <w:t>BB Seguridade does not have contingent liabilities of its investees shared with other shareholders of the investees and is not jointly and severally liable for all or part of the liabilities of its investees</w:t>
      </w:r>
      <w:r w:rsidRPr="00134726">
        <w:rPr>
          <w:lang w:val="en-US"/>
        </w:rPr>
        <w:t>.</w:t>
      </w:r>
    </w:p>
    <w:p w14:paraId="7A6D6E1F" w14:textId="77777777" w:rsidR="00A4469D" w:rsidRPr="00134726" w:rsidRDefault="00A4469D" w:rsidP="00056FD3">
      <w:pPr>
        <w:pStyle w:val="05-Textonormal"/>
        <w:rPr>
          <w:b/>
          <w:color w:val="1F4E79" w:themeColor="accent1" w:themeShade="80"/>
          <w:lang w:val="en-US"/>
        </w:rPr>
      </w:pPr>
      <w:r w:rsidRPr="00134726">
        <w:rPr>
          <w:b/>
          <w:color w:val="1F4E79" w:themeColor="accent1" w:themeShade="80"/>
          <w:lang w:val="en-US"/>
        </w:rPr>
        <w:t>d) Deposits in Guarantee of Funds</w:t>
      </w:r>
    </w:p>
    <w:p w14:paraId="53269611" w14:textId="77777777" w:rsidR="00A4469D" w:rsidRPr="00134726" w:rsidRDefault="00A4469D" w:rsidP="00056FD3">
      <w:pPr>
        <w:pStyle w:val="05-Textonormal"/>
        <w:rPr>
          <w:lang w:val="en-US"/>
        </w:rPr>
      </w:pPr>
      <w:r w:rsidRPr="00134726">
        <w:rPr>
          <w:rStyle w:val="tlid-translation"/>
          <w:lang w:val="en-US"/>
        </w:rPr>
        <w:t>Guarantee deposits are cash deposits and are made with Banco do Brasil or another official financial institution, as a means of payment or as a means of guaranteeing the payment of convictions, indemnities, agreements and other expenses resulting from legal proceedings. The amounts are presented in the balance sheet under Other Assets</w:t>
      </w:r>
      <w:r w:rsidRPr="00134726">
        <w:rPr>
          <w:lang w:val="en-US"/>
        </w:rPr>
        <w:t>.</w:t>
      </w:r>
    </w:p>
    <w:p w14:paraId="0A57FF4B" w14:textId="77777777" w:rsidR="00A4469D" w:rsidRPr="00134726" w:rsidRDefault="00A4469D" w:rsidP="00223ACC">
      <w:pPr>
        <w:pStyle w:val="05-Textonormal"/>
        <w:rPr>
          <w:b/>
          <w:color w:val="1F4E79" w:themeColor="accent1" w:themeShade="80"/>
          <w:lang w:val="en-US"/>
        </w:rPr>
      </w:pPr>
      <w:r w:rsidRPr="00134726">
        <w:rPr>
          <w:b/>
          <w:color w:val="1F4E79" w:themeColor="accent1" w:themeShade="80"/>
          <w:lang w:val="en-US"/>
        </w:rPr>
        <w:t>Balances of escrow deposits formed for provisions and contingent liabilities</w:t>
      </w:r>
    </w:p>
    <w:p w14:paraId="6CE9900C" w14:textId="77777777" w:rsidR="00A4469D" w:rsidRPr="004C6ED9" w:rsidRDefault="00A4469D" w:rsidP="00A50A7C">
      <w:pPr>
        <w:pStyle w:val="01-TtulodeNota"/>
        <w:spacing w:before="0" w:after="0"/>
        <w:jc w:val="right"/>
        <w:rPr>
          <w:sz w:val="14"/>
          <w:szCs w:val="14"/>
        </w:rPr>
      </w:pPr>
      <w:r>
        <w:rPr>
          <w:sz w:val="14"/>
          <w:szCs w:val="14"/>
        </w:rPr>
        <w:t>R$ thousand</w:t>
      </w:r>
    </w:p>
    <w:tbl>
      <w:tblPr>
        <w:tblW w:w="9639" w:type="dxa"/>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A4469D" w:rsidRPr="00AA26A4" w14:paraId="396DD51D" w14:textId="77777777" w:rsidTr="004A341F">
        <w:trPr>
          <w:trHeight w:hRule="exact" w:val="238"/>
        </w:trPr>
        <w:tc>
          <w:tcPr>
            <w:tcW w:w="850" w:type="dxa"/>
            <w:tcBorders>
              <w:bottom w:val="nil"/>
            </w:tcBorders>
            <w:shd w:val="clear" w:color="auto" w:fill="auto"/>
            <w:vAlign w:val="center"/>
          </w:tcPr>
          <w:p w14:paraId="57481837" w14:textId="77777777" w:rsidR="00A4469D" w:rsidRPr="00AA26A4" w:rsidRDefault="00A4469D" w:rsidP="004A341F">
            <w:pPr>
              <w:keepNext/>
              <w:keepLines/>
              <w:spacing w:before="40" w:after="40"/>
              <w:rPr>
                <w:rFonts w:cs="Arial"/>
                <w:bCs/>
                <w:spacing w:val="-2"/>
                <w:sz w:val="14"/>
                <w:szCs w:val="14"/>
              </w:rPr>
            </w:pPr>
          </w:p>
        </w:tc>
        <w:tc>
          <w:tcPr>
            <w:tcW w:w="2848" w:type="dxa"/>
            <w:gridSpan w:val="2"/>
            <w:tcBorders>
              <w:bottom w:val="nil"/>
            </w:tcBorders>
            <w:shd w:val="clear" w:color="auto" w:fill="auto"/>
            <w:vAlign w:val="center"/>
          </w:tcPr>
          <w:p w14:paraId="03D5D990" w14:textId="77777777" w:rsidR="00A4469D" w:rsidRPr="00AA26A4" w:rsidRDefault="00A4469D" w:rsidP="004A341F">
            <w:pPr>
              <w:keepNext/>
              <w:keepLines/>
              <w:spacing w:before="40" w:after="40"/>
              <w:rPr>
                <w:rFonts w:cs="Arial"/>
                <w:b/>
                <w:spacing w:val="-2"/>
                <w:sz w:val="14"/>
                <w:szCs w:val="14"/>
              </w:rPr>
            </w:pPr>
          </w:p>
        </w:tc>
        <w:tc>
          <w:tcPr>
            <w:tcW w:w="2823" w:type="dxa"/>
            <w:gridSpan w:val="2"/>
            <w:shd w:val="clear" w:color="auto" w:fill="auto"/>
            <w:vAlign w:val="center"/>
          </w:tcPr>
          <w:p w14:paraId="3E082C26" w14:textId="77777777" w:rsidR="00A4469D" w:rsidRPr="00E048D7" w:rsidRDefault="00A4469D" w:rsidP="004A341F">
            <w:pPr>
              <w:keepNext/>
              <w:keepLines/>
              <w:spacing w:before="40" w:after="40"/>
              <w:jc w:val="center"/>
              <w:rPr>
                <w:rFonts w:cs="Arial"/>
                <w:b/>
                <w:bCs/>
                <w:spacing w:val="-2"/>
                <w:sz w:val="14"/>
                <w:szCs w:val="14"/>
              </w:rPr>
            </w:pPr>
            <w:r w:rsidRPr="00E048D7">
              <w:rPr>
                <w:rFonts w:cs="Arial"/>
                <w:b/>
                <w:bCs/>
                <w:spacing w:val="-2"/>
                <w:sz w:val="14"/>
                <w:szCs w:val="14"/>
              </w:rPr>
              <w:t>Parent</w:t>
            </w:r>
          </w:p>
        </w:tc>
        <w:tc>
          <w:tcPr>
            <w:tcW w:w="283" w:type="dxa"/>
            <w:shd w:val="clear" w:color="auto" w:fill="auto"/>
            <w:vAlign w:val="center"/>
          </w:tcPr>
          <w:p w14:paraId="5A92888B" w14:textId="77777777" w:rsidR="00A4469D" w:rsidRPr="00AA26A4" w:rsidRDefault="00A4469D" w:rsidP="004A341F">
            <w:pPr>
              <w:keepNext/>
              <w:keepLines/>
              <w:spacing w:before="40" w:after="40"/>
              <w:jc w:val="center"/>
              <w:rPr>
                <w:rFonts w:cs="Arial"/>
                <w:b/>
                <w:bCs/>
                <w:spacing w:val="-2"/>
                <w:sz w:val="14"/>
                <w:szCs w:val="14"/>
              </w:rPr>
            </w:pPr>
          </w:p>
        </w:tc>
        <w:tc>
          <w:tcPr>
            <w:tcW w:w="2835" w:type="dxa"/>
            <w:gridSpan w:val="2"/>
            <w:shd w:val="clear" w:color="auto" w:fill="auto"/>
            <w:vAlign w:val="center"/>
          </w:tcPr>
          <w:p w14:paraId="428D1510" w14:textId="77777777" w:rsidR="00A4469D" w:rsidRPr="00E048D7" w:rsidRDefault="00A4469D" w:rsidP="004A341F">
            <w:pPr>
              <w:keepNext/>
              <w:keepLines/>
              <w:spacing w:before="40" w:after="40"/>
              <w:jc w:val="center"/>
              <w:rPr>
                <w:rFonts w:cs="Arial"/>
                <w:b/>
                <w:bCs/>
                <w:spacing w:val="-2"/>
                <w:sz w:val="14"/>
                <w:szCs w:val="14"/>
              </w:rPr>
            </w:pPr>
            <w:r w:rsidRPr="00E048D7">
              <w:rPr>
                <w:rFonts w:cs="Arial"/>
                <w:b/>
                <w:bCs/>
                <w:spacing w:val="-2"/>
                <w:sz w:val="14"/>
                <w:szCs w:val="14"/>
              </w:rPr>
              <w:t>Consolidated</w:t>
            </w:r>
          </w:p>
        </w:tc>
      </w:tr>
      <w:tr w:rsidR="00A4469D" w:rsidRPr="004C6ED9" w14:paraId="6CDEB895" w14:textId="77777777" w:rsidTr="004A341F">
        <w:trPr>
          <w:trHeight w:hRule="exact" w:val="238"/>
        </w:trPr>
        <w:tc>
          <w:tcPr>
            <w:tcW w:w="3094" w:type="dxa"/>
            <w:gridSpan w:val="2"/>
            <w:tcBorders>
              <w:top w:val="nil"/>
              <w:bottom w:val="single" w:sz="2" w:space="0" w:color="1F4E79" w:themeColor="accent1" w:themeShade="80"/>
            </w:tcBorders>
            <w:shd w:val="clear" w:color="auto" w:fill="auto"/>
            <w:vAlign w:val="center"/>
          </w:tcPr>
          <w:p w14:paraId="45958C42" w14:textId="77777777" w:rsidR="00A4469D" w:rsidRPr="004C6ED9" w:rsidRDefault="00A4469D" w:rsidP="004A341F">
            <w:pPr>
              <w:keepNext/>
              <w:keepLines/>
              <w:spacing w:before="40" w:after="40"/>
              <w:rPr>
                <w:rFonts w:cs="Arial"/>
                <w:spacing w:val="-2"/>
                <w:sz w:val="14"/>
                <w:szCs w:val="14"/>
              </w:rPr>
            </w:pPr>
          </w:p>
        </w:tc>
        <w:tc>
          <w:tcPr>
            <w:tcW w:w="604" w:type="dxa"/>
            <w:tcBorders>
              <w:top w:val="nil"/>
              <w:bottom w:val="single" w:sz="2" w:space="0" w:color="1F4E79" w:themeColor="accent1" w:themeShade="80"/>
            </w:tcBorders>
            <w:shd w:val="clear" w:color="auto" w:fill="auto"/>
            <w:vAlign w:val="center"/>
          </w:tcPr>
          <w:p w14:paraId="153287D6" w14:textId="77777777" w:rsidR="00A4469D" w:rsidRPr="004C6ED9" w:rsidRDefault="00A4469D" w:rsidP="004A341F">
            <w:pPr>
              <w:keepNext/>
              <w:keepLines/>
              <w:spacing w:before="40" w:after="40"/>
              <w:jc w:val="right"/>
              <w:rPr>
                <w:rFonts w:cs="Arial"/>
                <w:b/>
                <w:spacing w:val="-2"/>
                <w:sz w:val="14"/>
                <w:szCs w:val="14"/>
              </w:rPr>
            </w:pPr>
          </w:p>
        </w:tc>
        <w:tc>
          <w:tcPr>
            <w:tcW w:w="1411" w:type="dxa"/>
            <w:tcBorders>
              <w:bottom w:val="single" w:sz="2" w:space="0" w:color="1F4E79" w:themeColor="accent1" w:themeShade="80"/>
            </w:tcBorders>
            <w:shd w:val="clear" w:color="auto" w:fill="auto"/>
            <w:vAlign w:val="center"/>
          </w:tcPr>
          <w:p w14:paraId="4E91D7A3" w14:textId="77777777" w:rsidR="00A4469D" w:rsidRPr="004C6ED9" w:rsidRDefault="00A4469D" w:rsidP="004A341F">
            <w:pPr>
              <w:pStyle w:val="08-Tabelageral"/>
              <w:rPr>
                <w:rFonts w:cs="Arial"/>
                <w:b/>
                <w:szCs w:val="14"/>
                <w:lang w:eastAsia="en-US"/>
              </w:rPr>
            </w:pPr>
            <w:r>
              <w:rPr>
                <w:rFonts w:cs="Arial"/>
                <w:b/>
                <w:szCs w:val="14"/>
                <w:lang w:eastAsia="en-US"/>
              </w:rPr>
              <w:t xml:space="preserve">Dec </w:t>
            </w:r>
            <w:r w:rsidRPr="004C6ED9">
              <w:rPr>
                <w:rFonts w:cs="Arial"/>
                <w:b/>
                <w:szCs w:val="14"/>
                <w:lang w:eastAsia="en-US"/>
              </w:rPr>
              <w:t>3</w:t>
            </w:r>
            <w:r>
              <w:rPr>
                <w:rFonts w:cs="Arial"/>
                <w:b/>
                <w:szCs w:val="14"/>
                <w:lang w:eastAsia="en-US"/>
              </w:rPr>
              <w:t xml:space="preserve">1, </w:t>
            </w:r>
            <w:r w:rsidRPr="004C6ED9">
              <w:rPr>
                <w:rFonts w:cs="Arial"/>
                <w:b/>
                <w:szCs w:val="14"/>
                <w:lang w:eastAsia="en-US"/>
              </w:rPr>
              <w:t>20</w:t>
            </w:r>
            <w:r>
              <w:rPr>
                <w:rFonts w:cs="Arial"/>
                <w:b/>
                <w:szCs w:val="14"/>
                <w:lang w:eastAsia="en-US"/>
              </w:rPr>
              <w:t>22</w:t>
            </w:r>
          </w:p>
        </w:tc>
        <w:tc>
          <w:tcPr>
            <w:tcW w:w="1412" w:type="dxa"/>
            <w:tcBorders>
              <w:bottom w:val="single" w:sz="2" w:space="0" w:color="1F4E79" w:themeColor="accent1" w:themeShade="80"/>
            </w:tcBorders>
            <w:shd w:val="clear" w:color="auto" w:fill="auto"/>
            <w:vAlign w:val="center"/>
          </w:tcPr>
          <w:p w14:paraId="4C0A5936" w14:textId="77777777" w:rsidR="00A4469D" w:rsidRPr="004C6ED9" w:rsidRDefault="00A4469D" w:rsidP="004A341F">
            <w:pPr>
              <w:pStyle w:val="08-Tabelageral"/>
              <w:rPr>
                <w:rFonts w:cs="Arial"/>
                <w:b/>
                <w:szCs w:val="14"/>
                <w:lang w:eastAsia="en-US"/>
              </w:rPr>
            </w:pPr>
            <w:r>
              <w:rPr>
                <w:rFonts w:cs="Arial"/>
                <w:b/>
                <w:szCs w:val="14"/>
                <w:lang w:eastAsia="en-US"/>
              </w:rPr>
              <w:t xml:space="preserve">Dec </w:t>
            </w:r>
            <w:r w:rsidRPr="004C6ED9">
              <w:rPr>
                <w:rFonts w:cs="Arial"/>
                <w:b/>
                <w:szCs w:val="14"/>
                <w:lang w:eastAsia="en-US"/>
              </w:rPr>
              <w:t>31</w:t>
            </w:r>
            <w:r>
              <w:rPr>
                <w:rFonts w:cs="Arial"/>
                <w:b/>
                <w:szCs w:val="14"/>
                <w:lang w:eastAsia="en-US"/>
              </w:rPr>
              <w:t xml:space="preserve">, </w:t>
            </w:r>
            <w:r w:rsidRPr="004C6ED9">
              <w:rPr>
                <w:rFonts w:cs="Arial"/>
                <w:b/>
                <w:szCs w:val="14"/>
                <w:lang w:eastAsia="en-US"/>
              </w:rPr>
              <w:t>20</w:t>
            </w:r>
            <w:r>
              <w:rPr>
                <w:rFonts w:cs="Arial"/>
                <w:b/>
                <w:szCs w:val="14"/>
                <w:lang w:eastAsia="en-US"/>
              </w:rPr>
              <w:t>21</w:t>
            </w:r>
          </w:p>
        </w:tc>
        <w:tc>
          <w:tcPr>
            <w:tcW w:w="283" w:type="dxa"/>
            <w:tcBorders>
              <w:bottom w:val="single" w:sz="2" w:space="0" w:color="1F4E79" w:themeColor="accent1" w:themeShade="80"/>
            </w:tcBorders>
            <w:shd w:val="clear" w:color="auto" w:fill="auto"/>
            <w:vAlign w:val="center"/>
          </w:tcPr>
          <w:p w14:paraId="440D5405" w14:textId="77777777" w:rsidR="00A4469D" w:rsidRPr="004C6ED9" w:rsidRDefault="00A4469D" w:rsidP="004A341F">
            <w:pPr>
              <w:pStyle w:val="08-Tabelageral"/>
              <w:rPr>
                <w:rFonts w:cs="Arial"/>
                <w:b/>
                <w:szCs w:val="14"/>
                <w:lang w:eastAsia="en-US"/>
              </w:rPr>
            </w:pPr>
          </w:p>
        </w:tc>
        <w:tc>
          <w:tcPr>
            <w:tcW w:w="1417" w:type="dxa"/>
            <w:tcBorders>
              <w:bottom w:val="single" w:sz="2" w:space="0" w:color="1F4E79" w:themeColor="accent1" w:themeShade="80"/>
            </w:tcBorders>
            <w:shd w:val="clear" w:color="auto" w:fill="auto"/>
            <w:vAlign w:val="center"/>
          </w:tcPr>
          <w:p w14:paraId="4E5D10C4" w14:textId="77777777" w:rsidR="00A4469D" w:rsidRPr="004C6ED9" w:rsidRDefault="00A4469D" w:rsidP="004A341F">
            <w:pPr>
              <w:pStyle w:val="08-Tabelageral"/>
              <w:rPr>
                <w:rFonts w:cs="Arial"/>
                <w:b/>
                <w:szCs w:val="14"/>
                <w:lang w:eastAsia="en-US"/>
              </w:rPr>
            </w:pPr>
            <w:r>
              <w:rPr>
                <w:rFonts w:cs="Arial"/>
                <w:b/>
                <w:szCs w:val="14"/>
                <w:lang w:eastAsia="en-US"/>
              </w:rPr>
              <w:t xml:space="preserve">Dec 31, </w:t>
            </w:r>
            <w:r w:rsidRPr="004C6ED9">
              <w:rPr>
                <w:rFonts w:cs="Arial"/>
                <w:b/>
                <w:szCs w:val="14"/>
                <w:lang w:eastAsia="en-US"/>
              </w:rPr>
              <w:t>20</w:t>
            </w:r>
            <w:r>
              <w:rPr>
                <w:rFonts w:cs="Arial"/>
                <w:b/>
                <w:szCs w:val="14"/>
                <w:lang w:eastAsia="en-US"/>
              </w:rPr>
              <w:t>22</w:t>
            </w:r>
          </w:p>
        </w:tc>
        <w:tc>
          <w:tcPr>
            <w:tcW w:w="1418" w:type="dxa"/>
            <w:tcBorders>
              <w:bottom w:val="single" w:sz="2" w:space="0" w:color="1F4E79" w:themeColor="accent1" w:themeShade="80"/>
            </w:tcBorders>
            <w:shd w:val="clear" w:color="auto" w:fill="auto"/>
            <w:vAlign w:val="center"/>
          </w:tcPr>
          <w:p w14:paraId="63591DF2" w14:textId="77777777" w:rsidR="00A4469D" w:rsidRPr="004C6ED9" w:rsidRDefault="00A4469D" w:rsidP="004A341F">
            <w:pPr>
              <w:pStyle w:val="08-Tabelageral"/>
              <w:rPr>
                <w:rFonts w:cs="Arial"/>
                <w:b/>
                <w:szCs w:val="14"/>
                <w:lang w:eastAsia="en-US"/>
              </w:rPr>
            </w:pPr>
            <w:r>
              <w:rPr>
                <w:rFonts w:cs="Arial"/>
                <w:b/>
                <w:szCs w:val="14"/>
                <w:lang w:eastAsia="en-US"/>
              </w:rPr>
              <w:t xml:space="preserve">Dec </w:t>
            </w:r>
            <w:r w:rsidRPr="004C6ED9">
              <w:rPr>
                <w:rFonts w:cs="Arial"/>
                <w:b/>
                <w:szCs w:val="14"/>
                <w:lang w:eastAsia="en-US"/>
              </w:rPr>
              <w:t>31</w:t>
            </w:r>
            <w:r>
              <w:rPr>
                <w:rFonts w:cs="Arial"/>
                <w:b/>
                <w:szCs w:val="14"/>
                <w:lang w:eastAsia="en-US"/>
              </w:rPr>
              <w:t xml:space="preserve">, </w:t>
            </w:r>
            <w:r w:rsidRPr="004C6ED9">
              <w:rPr>
                <w:rFonts w:cs="Arial"/>
                <w:b/>
                <w:szCs w:val="14"/>
                <w:lang w:eastAsia="en-US"/>
              </w:rPr>
              <w:t>20</w:t>
            </w:r>
            <w:r>
              <w:rPr>
                <w:rFonts w:cs="Arial"/>
                <w:b/>
                <w:szCs w:val="14"/>
                <w:lang w:eastAsia="en-US"/>
              </w:rPr>
              <w:t>21</w:t>
            </w:r>
          </w:p>
        </w:tc>
      </w:tr>
      <w:tr w:rsidR="00A4469D" w:rsidRPr="004C6ED9" w14:paraId="44876FE4" w14:textId="77777777" w:rsidTr="004A341F">
        <w:trPr>
          <w:trHeight w:val="238"/>
        </w:trPr>
        <w:tc>
          <w:tcPr>
            <w:tcW w:w="3094" w:type="dxa"/>
            <w:gridSpan w:val="2"/>
            <w:tcBorders>
              <w:bottom w:val="nil"/>
            </w:tcBorders>
            <w:shd w:val="clear" w:color="auto" w:fill="auto"/>
            <w:vAlign w:val="center"/>
          </w:tcPr>
          <w:p w14:paraId="375C2D02" w14:textId="77777777" w:rsidR="00A4469D" w:rsidRPr="00E048D7" w:rsidRDefault="00A4469D" w:rsidP="004A341F">
            <w:pPr>
              <w:pStyle w:val="08-Tabelageral"/>
              <w:jc w:val="left"/>
              <w:rPr>
                <w:rFonts w:cs="Arial"/>
                <w:szCs w:val="14"/>
              </w:rPr>
            </w:pPr>
            <w:r w:rsidRPr="00E048D7">
              <w:rPr>
                <w:rFonts w:cs="Arial"/>
                <w:szCs w:val="14"/>
              </w:rPr>
              <w:t xml:space="preserve">Tax lawsuits </w:t>
            </w:r>
            <w:r w:rsidRPr="00E048D7">
              <w:rPr>
                <w:rFonts w:cs="Arial"/>
                <w:szCs w:val="14"/>
                <w:vertAlign w:val="superscript"/>
              </w:rPr>
              <w:t>(1)</w:t>
            </w:r>
          </w:p>
        </w:tc>
        <w:tc>
          <w:tcPr>
            <w:tcW w:w="604" w:type="dxa"/>
            <w:tcBorders>
              <w:bottom w:val="nil"/>
            </w:tcBorders>
            <w:shd w:val="clear" w:color="auto" w:fill="auto"/>
            <w:vAlign w:val="center"/>
          </w:tcPr>
          <w:p w14:paraId="66376963" w14:textId="77777777" w:rsidR="00A4469D" w:rsidRPr="004C6ED9" w:rsidRDefault="00A4469D" w:rsidP="004A341F">
            <w:pPr>
              <w:pStyle w:val="08-Tabelageral"/>
              <w:rPr>
                <w:rFonts w:cs="Arial"/>
                <w:szCs w:val="14"/>
                <w:lang w:eastAsia="en-US"/>
              </w:rPr>
            </w:pPr>
          </w:p>
        </w:tc>
        <w:tc>
          <w:tcPr>
            <w:tcW w:w="1411" w:type="dxa"/>
            <w:tcBorders>
              <w:bottom w:val="nil"/>
            </w:tcBorders>
            <w:shd w:val="clear" w:color="auto" w:fill="auto"/>
            <w:vAlign w:val="center"/>
          </w:tcPr>
          <w:p w14:paraId="76D2D5A0" w14:textId="77777777" w:rsidR="00A4469D" w:rsidRPr="004C6ED9" w:rsidRDefault="00A4469D" w:rsidP="004A341F">
            <w:pPr>
              <w:pStyle w:val="08-Tabelageral"/>
              <w:rPr>
                <w:rFonts w:cs="Arial"/>
                <w:szCs w:val="14"/>
              </w:rPr>
            </w:pPr>
            <w:r>
              <w:rPr>
                <w:rFonts w:cs="Arial"/>
                <w:szCs w:val="14"/>
                <w:lang w:eastAsia="en-US"/>
              </w:rPr>
              <w:t>--</w:t>
            </w:r>
          </w:p>
        </w:tc>
        <w:tc>
          <w:tcPr>
            <w:tcW w:w="1412" w:type="dxa"/>
            <w:tcBorders>
              <w:bottom w:val="nil"/>
            </w:tcBorders>
            <w:shd w:val="clear" w:color="auto" w:fill="auto"/>
            <w:vAlign w:val="center"/>
          </w:tcPr>
          <w:p w14:paraId="115A5317" w14:textId="77777777" w:rsidR="00A4469D" w:rsidRPr="004C6ED9" w:rsidRDefault="00A4469D" w:rsidP="004A341F">
            <w:pPr>
              <w:pStyle w:val="08-Tabelageral"/>
              <w:rPr>
                <w:rFonts w:cs="Arial"/>
                <w:szCs w:val="14"/>
              </w:rPr>
            </w:pPr>
            <w:r>
              <w:rPr>
                <w:rFonts w:cs="Arial"/>
                <w:szCs w:val="14"/>
                <w:lang w:eastAsia="en-US"/>
              </w:rPr>
              <w:t>--</w:t>
            </w:r>
          </w:p>
        </w:tc>
        <w:tc>
          <w:tcPr>
            <w:tcW w:w="283" w:type="dxa"/>
            <w:tcBorders>
              <w:bottom w:val="nil"/>
            </w:tcBorders>
            <w:shd w:val="clear" w:color="auto" w:fill="auto"/>
            <w:vAlign w:val="center"/>
          </w:tcPr>
          <w:p w14:paraId="5132457D" w14:textId="77777777" w:rsidR="00A4469D" w:rsidRPr="004C6ED9" w:rsidRDefault="00A4469D" w:rsidP="004A341F">
            <w:pPr>
              <w:pStyle w:val="08-Tabelageral"/>
              <w:rPr>
                <w:rFonts w:cs="Arial"/>
                <w:szCs w:val="14"/>
              </w:rPr>
            </w:pPr>
          </w:p>
        </w:tc>
        <w:tc>
          <w:tcPr>
            <w:tcW w:w="1417" w:type="dxa"/>
            <w:tcBorders>
              <w:top w:val="single" w:sz="2" w:space="0" w:color="1F4E79" w:themeColor="accent1" w:themeShade="80"/>
              <w:left w:val="nil"/>
              <w:bottom w:val="nil"/>
              <w:right w:val="nil"/>
            </w:tcBorders>
            <w:vAlign w:val="center"/>
          </w:tcPr>
          <w:p w14:paraId="10A0A5BA" w14:textId="77777777" w:rsidR="00A4469D" w:rsidRPr="004C6ED9" w:rsidRDefault="00A4469D" w:rsidP="004A341F">
            <w:pPr>
              <w:pStyle w:val="08-Tabelageral"/>
              <w:rPr>
                <w:rFonts w:cs="Arial"/>
                <w:szCs w:val="14"/>
              </w:rPr>
            </w:pPr>
            <w:r>
              <w:rPr>
                <w:rFonts w:cs="Arial"/>
                <w:szCs w:val="14"/>
              </w:rPr>
              <w:t>218,871</w:t>
            </w:r>
          </w:p>
        </w:tc>
        <w:tc>
          <w:tcPr>
            <w:tcW w:w="1418" w:type="dxa"/>
            <w:tcBorders>
              <w:bottom w:val="nil"/>
            </w:tcBorders>
            <w:shd w:val="clear" w:color="auto" w:fill="auto"/>
            <w:vAlign w:val="center"/>
          </w:tcPr>
          <w:p w14:paraId="7E0297D3" w14:textId="77777777" w:rsidR="00A4469D" w:rsidRPr="004C6ED9" w:rsidRDefault="00A4469D" w:rsidP="004A341F">
            <w:pPr>
              <w:pStyle w:val="08-Tabelageral"/>
              <w:rPr>
                <w:rFonts w:cs="Arial"/>
                <w:szCs w:val="14"/>
              </w:rPr>
            </w:pPr>
            <w:r>
              <w:rPr>
                <w:rFonts w:cs="Arial"/>
                <w:szCs w:val="14"/>
              </w:rPr>
              <w:t>211,621</w:t>
            </w:r>
          </w:p>
        </w:tc>
      </w:tr>
      <w:tr w:rsidR="00A4469D" w:rsidRPr="004C6ED9" w14:paraId="260E25E4" w14:textId="77777777" w:rsidTr="004A341F">
        <w:trPr>
          <w:trHeight w:val="238"/>
        </w:trPr>
        <w:tc>
          <w:tcPr>
            <w:tcW w:w="3094" w:type="dxa"/>
            <w:gridSpan w:val="2"/>
            <w:tcBorders>
              <w:top w:val="nil"/>
              <w:bottom w:val="nil"/>
            </w:tcBorders>
            <w:shd w:val="clear" w:color="auto" w:fill="auto"/>
            <w:vAlign w:val="center"/>
          </w:tcPr>
          <w:p w14:paraId="1ADC4995" w14:textId="77777777" w:rsidR="00A4469D" w:rsidRPr="00E048D7" w:rsidRDefault="00A4469D" w:rsidP="004A341F">
            <w:pPr>
              <w:pStyle w:val="08-Tabelageral"/>
              <w:jc w:val="left"/>
              <w:rPr>
                <w:rFonts w:cs="Arial"/>
                <w:szCs w:val="14"/>
              </w:rPr>
            </w:pPr>
            <w:r>
              <w:rPr>
                <w:rFonts w:cs="Arial"/>
                <w:szCs w:val="14"/>
              </w:rPr>
              <w:t>Civil lawsuits</w:t>
            </w:r>
          </w:p>
        </w:tc>
        <w:tc>
          <w:tcPr>
            <w:tcW w:w="604" w:type="dxa"/>
            <w:tcBorders>
              <w:top w:val="nil"/>
              <w:bottom w:val="nil"/>
            </w:tcBorders>
            <w:shd w:val="clear" w:color="auto" w:fill="auto"/>
            <w:vAlign w:val="center"/>
          </w:tcPr>
          <w:p w14:paraId="0FFFA51C" w14:textId="77777777" w:rsidR="00A4469D" w:rsidRPr="004C6ED9" w:rsidRDefault="00A4469D" w:rsidP="004A341F">
            <w:pPr>
              <w:pStyle w:val="08-Tabelageral"/>
              <w:rPr>
                <w:rFonts w:cs="Arial"/>
                <w:szCs w:val="14"/>
                <w:lang w:eastAsia="en-US"/>
              </w:rPr>
            </w:pPr>
          </w:p>
        </w:tc>
        <w:tc>
          <w:tcPr>
            <w:tcW w:w="1411" w:type="dxa"/>
            <w:tcBorders>
              <w:top w:val="nil"/>
              <w:bottom w:val="nil"/>
            </w:tcBorders>
            <w:shd w:val="clear" w:color="auto" w:fill="auto"/>
            <w:vAlign w:val="center"/>
          </w:tcPr>
          <w:p w14:paraId="5D6DDDB0" w14:textId="77777777" w:rsidR="00A4469D" w:rsidRPr="004C6ED9" w:rsidRDefault="00A4469D" w:rsidP="004A341F">
            <w:pPr>
              <w:pStyle w:val="08-Tabelageral"/>
              <w:rPr>
                <w:rFonts w:cs="Arial"/>
                <w:szCs w:val="14"/>
              </w:rPr>
            </w:pPr>
            <w:r>
              <w:rPr>
                <w:rFonts w:cs="Arial"/>
                <w:szCs w:val="14"/>
                <w:lang w:eastAsia="en-US"/>
              </w:rPr>
              <w:t>--</w:t>
            </w:r>
          </w:p>
        </w:tc>
        <w:tc>
          <w:tcPr>
            <w:tcW w:w="1412" w:type="dxa"/>
            <w:tcBorders>
              <w:top w:val="nil"/>
              <w:bottom w:val="nil"/>
            </w:tcBorders>
            <w:shd w:val="clear" w:color="auto" w:fill="auto"/>
            <w:vAlign w:val="center"/>
          </w:tcPr>
          <w:p w14:paraId="5ADEA3D2" w14:textId="77777777" w:rsidR="00A4469D" w:rsidRPr="004C6ED9" w:rsidRDefault="00A4469D" w:rsidP="004A341F">
            <w:pPr>
              <w:pStyle w:val="08-Tabelageral"/>
              <w:rPr>
                <w:rFonts w:cs="Arial"/>
                <w:szCs w:val="14"/>
              </w:rPr>
            </w:pPr>
            <w:r>
              <w:rPr>
                <w:rFonts w:cs="Arial"/>
                <w:szCs w:val="14"/>
                <w:lang w:eastAsia="en-US"/>
              </w:rPr>
              <w:t>--</w:t>
            </w:r>
          </w:p>
        </w:tc>
        <w:tc>
          <w:tcPr>
            <w:tcW w:w="283" w:type="dxa"/>
            <w:tcBorders>
              <w:top w:val="nil"/>
              <w:bottom w:val="nil"/>
            </w:tcBorders>
            <w:shd w:val="clear" w:color="auto" w:fill="auto"/>
            <w:vAlign w:val="center"/>
          </w:tcPr>
          <w:p w14:paraId="2A3F84EF" w14:textId="77777777" w:rsidR="00A4469D" w:rsidRPr="004C6ED9" w:rsidRDefault="00A4469D" w:rsidP="004A341F">
            <w:pPr>
              <w:pStyle w:val="08-Tabelageral"/>
              <w:rPr>
                <w:rFonts w:cs="Arial"/>
                <w:szCs w:val="14"/>
              </w:rPr>
            </w:pPr>
          </w:p>
        </w:tc>
        <w:tc>
          <w:tcPr>
            <w:tcW w:w="1417" w:type="dxa"/>
            <w:tcBorders>
              <w:top w:val="nil"/>
              <w:left w:val="nil"/>
              <w:bottom w:val="nil"/>
              <w:right w:val="nil"/>
            </w:tcBorders>
            <w:vAlign w:val="center"/>
          </w:tcPr>
          <w:p w14:paraId="61DB8FE7" w14:textId="77777777" w:rsidR="00A4469D" w:rsidRPr="004C6ED9" w:rsidRDefault="00A4469D" w:rsidP="004A341F">
            <w:pPr>
              <w:pStyle w:val="08-Tabelageral"/>
              <w:rPr>
                <w:rFonts w:cs="Arial"/>
                <w:szCs w:val="14"/>
              </w:rPr>
            </w:pPr>
            <w:r>
              <w:rPr>
                <w:rFonts w:cs="Arial"/>
                <w:szCs w:val="14"/>
              </w:rPr>
              <w:t>2,907</w:t>
            </w:r>
          </w:p>
        </w:tc>
        <w:tc>
          <w:tcPr>
            <w:tcW w:w="1418" w:type="dxa"/>
            <w:tcBorders>
              <w:top w:val="nil"/>
              <w:bottom w:val="nil"/>
            </w:tcBorders>
            <w:shd w:val="clear" w:color="auto" w:fill="auto"/>
            <w:vAlign w:val="center"/>
          </w:tcPr>
          <w:p w14:paraId="3F2C6AE8" w14:textId="77777777" w:rsidR="00A4469D" w:rsidRPr="004C6ED9" w:rsidRDefault="00A4469D" w:rsidP="004A341F">
            <w:pPr>
              <w:pStyle w:val="08-Tabelageral"/>
              <w:rPr>
                <w:rFonts w:cs="Arial"/>
                <w:szCs w:val="14"/>
              </w:rPr>
            </w:pPr>
            <w:r>
              <w:rPr>
                <w:rFonts w:cs="Arial"/>
                <w:szCs w:val="14"/>
              </w:rPr>
              <w:t>2,474</w:t>
            </w:r>
          </w:p>
        </w:tc>
      </w:tr>
      <w:tr w:rsidR="00A4469D" w:rsidRPr="00552C1B" w14:paraId="07C4FE19" w14:textId="77777777" w:rsidTr="004A341F">
        <w:trPr>
          <w:trHeight w:val="238"/>
        </w:trPr>
        <w:tc>
          <w:tcPr>
            <w:tcW w:w="3094" w:type="dxa"/>
            <w:gridSpan w:val="2"/>
            <w:tcBorders>
              <w:top w:val="nil"/>
              <w:bottom w:val="nil"/>
            </w:tcBorders>
            <w:shd w:val="clear" w:color="auto" w:fill="auto"/>
            <w:vAlign w:val="center"/>
          </w:tcPr>
          <w:p w14:paraId="07D06CFB" w14:textId="77777777" w:rsidR="00A4469D" w:rsidRPr="00E048D7" w:rsidRDefault="00A4469D" w:rsidP="004A341F">
            <w:pPr>
              <w:pStyle w:val="08-Tabelageral"/>
              <w:jc w:val="left"/>
              <w:rPr>
                <w:rFonts w:cs="Arial"/>
                <w:szCs w:val="14"/>
              </w:rPr>
            </w:pPr>
            <w:r>
              <w:rPr>
                <w:rFonts w:cs="Arial"/>
                <w:szCs w:val="14"/>
              </w:rPr>
              <w:t>Labor lawsuits</w:t>
            </w:r>
          </w:p>
        </w:tc>
        <w:tc>
          <w:tcPr>
            <w:tcW w:w="604" w:type="dxa"/>
            <w:tcBorders>
              <w:top w:val="nil"/>
              <w:bottom w:val="nil"/>
            </w:tcBorders>
            <w:shd w:val="clear" w:color="auto" w:fill="auto"/>
            <w:vAlign w:val="center"/>
          </w:tcPr>
          <w:p w14:paraId="61F181CB" w14:textId="77777777" w:rsidR="00A4469D" w:rsidRPr="00552C1B" w:rsidRDefault="00A4469D" w:rsidP="004A341F">
            <w:pPr>
              <w:pStyle w:val="08-Tabelageral"/>
              <w:rPr>
                <w:rFonts w:cs="Arial"/>
                <w:szCs w:val="14"/>
                <w:lang w:eastAsia="en-US"/>
              </w:rPr>
            </w:pPr>
          </w:p>
        </w:tc>
        <w:tc>
          <w:tcPr>
            <w:tcW w:w="1411" w:type="dxa"/>
            <w:tcBorders>
              <w:top w:val="nil"/>
              <w:bottom w:val="nil"/>
            </w:tcBorders>
            <w:shd w:val="clear" w:color="auto" w:fill="auto"/>
            <w:vAlign w:val="center"/>
          </w:tcPr>
          <w:p w14:paraId="090D33D3" w14:textId="77777777" w:rsidR="00A4469D" w:rsidRPr="00552C1B" w:rsidRDefault="00A4469D" w:rsidP="004A341F">
            <w:pPr>
              <w:pStyle w:val="08-Tabelageral"/>
              <w:rPr>
                <w:rFonts w:cs="Arial"/>
                <w:szCs w:val="14"/>
              </w:rPr>
            </w:pPr>
            <w:r>
              <w:rPr>
                <w:rFonts w:cs="Arial"/>
                <w:szCs w:val="14"/>
                <w:lang w:eastAsia="en-US"/>
              </w:rPr>
              <w:t>11</w:t>
            </w:r>
          </w:p>
        </w:tc>
        <w:tc>
          <w:tcPr>
            <w:tcW w:w="1412" w:type="dxa"/>
            <w:tcBorders>
              <w:top w:val="nil"/>
              <w:bottom w:val="nil"/>
            </w:tcBorders>
            <w:shd w:val="clear" w:color="auto" w:fill="auto"/>
            <w:vAlign w:val="center"/>
          </w:tcPr>
          <w:p w14:paraId="5A89C86B" w14:textId="77777777" w:rsidR="00A4469D" w:rsidRPr="00552C1B" w:rsidRDefault="00A4469D" w:rsidP="004A341F">
            <w:pPr>
              <w:pStyle w:val="08-Tabelageral"/>
              <w:rPr>
                <w:rFonts w:cs="Arial"/>
                <w:szCs w:val="14"/>
              </w:rPr>
            </w:pPr>
            <w:r>
              <w:rPr>
                <w:rFonts w:cs="Arial"/>
                <w:szCs w:val="14"/>
                <w:lang w:eastAsia="en-US"/>
              </w:rPr>
              <w:t>--</w:t>
            </w:r>
          </w:p>
        </w:tc>
        <w:tc>
          <w:tcPr>
            <w:tcW w:w="283" w:type="dxa"/>
            <w:tcBorders>
              <w:top w:val="nil"/>
              <w:bottom w:val="nil"/>
            </w:tcBorders>
            <w:shd w:val="clear" w:color="auto" w:fill="auto"/>
            <w:vAlign w:val="center"/>
          </w:tcPr>
          <w:p w14:paraId="72DA957F" w14:textId="77777777" w:rsidR="00A4469D" w:rsidRPr="00552C1B" w:rsidRDefault="00A4469D" w:rsidP="004A341F">
            <w:pPr>
              <w:pStyle w:val="08-Tabelageral"/>
              <w:rPr>
                <w:rFonts w:cs="Arial"/>
                <w:szCs w:val="14"/>
              </w:rPr>
            </w:pPr>
          </w:p>
        </w:tc>
        <w:tc>
          <w:tcPr>
            <w:tcW w:w="1417" w:type="dxa"/>
            <w:tcBorders>
              <w:top w:val="nil"/>
              <w:left w:val="nil"/>
              <w:bottom w:val="nil"/>
              <w:right w:val="nil"/>
            </w:tcBorders>
            <w:vAlign w:val="center"/>
          </w:tcPr>
          <w:p w14:paraId="46A6272B" w14:textId="77777777" w:rsidR="00A4469D" w:rsidRPr="00552C1B" w:rsidRDefault="00A4469D" w:rsidP="004A341F">
            <w:pPr>
              <w:pStyle w:val="08-Tabelageral"/>
              <w:rPr>
                <w:rFonts w:cs="Arial"/>
                <w:szCs w:val="14"/>
              </w:rPr>
            </w:pPr>
            <w:r>
              <w:rPr>
                <w:rFonts w:cs="Arial"/>
                <w:szCs w:val="14"/>
              </w:rPr>
              <w:t>56</w:t>
            </w:r>
          </w:p>
        </w:tc>
        <w:tc>
          <w:tcPr>
            <w:tcW w:w="1418" w:type="dxa"/>
            <w:tcBorders>
              <w:top w:val="nil"/>
              <w:bottom w:val="nil"/>
            </w:tcBorders>
            <w:shd w:val="clear" w:color="auto" w:fill="auto"/>
            <w:vAlign w:val="center"/>
          </w:tcPr>
          <w:p w14:paraId="6F39642D" w14:textId="77777777" w:rsidR="00A4469D" w:rsidRPr="00552C1B" w:rsidRDefault="00A4469D" w:rsidP="004A341F">
            <w:pPr>
              <w:pStyle w:val="08-Tabelageral"/>
              <w:rPr>
                <w:rFonts w:cs="Arial"/>
                <w:szCs w:val="14"/>
                <w:lang w:eastAsia="en-US"/>
              </w:rPr>
            </w:pPr>
            <w:r>
              <w:rPr>
                <w:rFonts w:cs="Arial"/>
                <w:szCs w:val="14"/>
                <w:lang w:eastAsia="en-US"/>
              </w:rPr>
              <w:t>52</w:t>
            </w:r>
          </w:p>
        </w:tc>
      </w:tr>
      <w:tr w:rsidR="00A4469D" w:rsidRPr="007B2180" w14:paraId="40568982" w14:textId="77777777" w:rsidTr="004A341F">
        <w:trPr>
          <w:trHeight w:val="238"/>
        </w:trPr>
        <w:tc>
          <w:tcPr>
            <w:tcW w:w="3094" w:type="dxa"/>
            <w:gridSpan w:val="2"/>
            <w:tcBorders>
              <w:top w:val="nil"/>
            </w:tcBorders>
            <w:shd w:val="clear" w:color="auto" w:fill="auto"/>
            <w:vAlign w:val="center"/>
          </w:tcPr>
          <w:p w14:paraId="2B54C05A" w14:textId="77777777" w:rsidR="00A4469D" w:rsidRPr="00552C1B" w:rsidRDefault="00A4469D" w:rsidP="004A341F">
            <w:pPr>
              <w:keepNext/>
              <w:keepLines/>
              <w:spacing w:before="40" w:after="40" w:line="240" w:lineRule="auto"/>
              <w:rPr>
                <w:rFonts w:cs="Arial"/>
                <w:b/>
                <w:bCs/>
                <w:spacing w:val="-2"/>
                <w:sz w:val="14"/>
                <w:szCs w:val="14"/>
              </w:rPr>
            </w:pPr>
            <w:r w:rsidRPr="00552C1B">
              <w:rPr>
                <w:rFonts w:cs="Arial"/>
                <w:b/>
                <w:spacing w:val="-2"/>
                <w:sz w:val="14"/>
                <w:szCs w:val="14"/>
              </w:rPr>
              <w:t>Total</w:t>
            </w:r>
          </w:p>
        </w:tc>
        <w:tc>
          <w:tcPr>
            <w:tcW w:w="604" w:type="dxa"/>
            <w:tcBorders>
              <w:top w:val="nil"/>
            </w:tcBorders>
            <w:shd w:val="clear" w:color="auto" w:fill="auto"/>
            <w:vAlign w:val="center"/>
          </w:tcPr>
          <w:p w14:paraId="6D640A2B" w14:textId="77777777" w:rsidR="00A4469D" w:rsidRPr="00552C1B" w:rsidRDefault="00A4469D" w:rsidP="004A341F">
            <w:pPr>
              <w:pStyle w:val="08-Tabelageral"/>
              <w:rPr>
                <w:rFonts w:cs="Arial"/>
                <w:b/>
                <w:szCs w:val="14"/>
                <w:lang w:eastAsia="en-US"/>
              </w:rPr>
            </w:pPr>
          </w:p>
        </w:tc>
        <w:tc>
          <w:tcPr>
            <w:tcW w:w="1411" w:type="dxa"/>
            <w:tcBorders>
              <w:top w:val="nil"/>
            </w:tcBorders>
            <w:shd w:val="clear" w:color="auto" w:fill="auto"/>
            <w:vAlign w:val="center"/>
          </w:tcPr>
          <w:p w14:paraId="31E70CC8" w14:textId="77777777" w:rsidR="00A4469D" w:rsidRPr="00552C1B" w:rsidRDefault="00A4469D" w:rsidP="004A341F">
            <w:pPr>
              <w:pStyle w:val="08-Tabelageral"/>
              <w:rPr>
                <w:rFonts w:cs="Arial"/>
                <w:b/>
                <w:szCs w:val="14"/>
              </w:rPr>
            </w:pPr>
            <w:r>
              <w:rPr>
                <w:rFonts w:cs="Arial"/>
                <w:b/>
                <w:szCs w:val="14"/>
                <w:lang w:eastAsia="en-US"/>
              </w:rPr>
              <w:t>11</w:t>
            </w:r>
          </w:p>
        </w:tc>
        <w:tc>
          <w:tcPr>
            <w:tcW w:w="1412" w:type="dxa"/>
            <w:tcBorders>
              <w:top w:val="nil"/>
            </w:tcBorders>
            <w:shd w:val="clear" w:color="auto" w:fill="auto"/>
            <w:vAlign w:val="center"/>
          </w:tcPr>
          <w:p w14:paraId="07E2238F" w14:textId="77777777" w:rsidR="00A4469D" w:rsidRPr="00552C1B" w:rsidRDefault="00A4469D" w:rsidP="004A341F">
            <w:pPr>
              <w:pStyle w:val="08-Tabelageral"/>
              <w:rPr>
                <w:rFonts w:cs="Arial"/>
                <w:b/>
                <w:szCs w:val="14"/>
              </w:rPr>
            </w:pPr>
            <w:r>
              <w:rPr>
                <w:rFonts w:cs="Arial"/>
                <w:b/>
                <w:szCs w:val="14"/>
                <w:lang w:eastAsia="en-US"/>
              </w:rPr>
              <w:t>--</w:t>
            </w:r>
          </w:p>
        </w:tc>
        <w:tc>
          <w:tcPr>
            <w:tcW w:w="283" w:type="dxa"/>
            <w:tcBorders>
              <w:top w:val="nil"/>
            </w:tcBorders>
            <w:shd w:val="clear" w:color="auto" w:fill="auto"/>
            <w:vAlign w:val="center"/>
          </w:tcPr>
          <w:p w14:paraId="097AE2B2" w14:textId="77777777" w:rsidR="00A4469D" w:rsidRPr="00552C1B" w:rsidRDefault="00A4469D" w:rsidP="004A341F">
            <w:pPr>
              <w:pStyle w:val="08-Tabelageral"/>
              <w:rPr>
                <w:rFonts w:cs="Arial"/>
                <w:b/>
                <w:szCs w:val="14"/>
              </w:rPr>
            </w:pPr>
          </w:p>
        </w:tc>
        <w:tc>
          <w:tcPr>
            <w:tcW w:w="1417" w:type="dxa"/>
            <w:tcBorders>
              <w:top w:val="nil"/>
              <w:left w:val="nil"/>
              <w:bottom w:val="single" w:sz="2" w:space="0" w:color="1F4E79" w:themeColor="accent1" w:themeShade="80"/>
              <w:right w:val="nil"/>
            </w:tcBorders>
            <w:vAlign w:val="center"/>
          </w:tcPr>
          <w:p w14:paraId="4A576D8D" w14:textId="77777777" w:rsidR="00A4469D" w:rsidRPr="00552C1B" w:rsidRDefault="00A4469D" w:rsidP="004A341F">
            <w:pPr>
              <w:pStyle w:val="08-Tabelageral"/>
              <w:rPr>
                <w:rFonts w:cs="Arial"/>
                <w:b/>
                <w:szCs w:val="14"/>
              </w:rPr>
            </w:pPr>
            <w:r>
              <w:rPr>
                <w:rFonts w:cs="Arial"/>
                <w:b/>
                <w:szCs w:val="14"/>
              </w:rPr>
              <w:t>221,834</w:t>
            </w:r>
          </w:p>
        </w:tc>
        <w:tc>
          <w:tcPr>
            <w:tcW w:w="1418" w:type="dxa"/>
            <w:tcBorders>
              <w:top w:val="nil"/>
            </w:tcBorders>
            <w:shd w:val="clear" w:color="auto" w:fill="auto"/>
            <w:vAlign w:val="center"/>
          </w:tcPr>
          <w:p w14:paraId="17129E7B" w14:textId="77777777" w:rsidR="00A4469D" w:rsidRPr="007B2180" w:rsidRDefault="00A4469D" w:rsidP="004A341F">
            <w:pPr>
              <w:pStyle w:val="08-Tabelageral"/>
              <w:rPr>
                <w:rFonts w:cs="Arial"/>
                <w:b/>
                <w:szCs w:val="14"/>
              </w:rPr>
            </w:pPr>
            <w:r>
              <w:rPr>
                <w:rFonts w:cs="Arial"/>
                <w:b/>
                <w:szCs w:val="14"/>
              </w:rPr>
              <w:t>214,147</w:t>
            </w:r>
          </w:p>
        </w:tc>
      </w:tr>
    </w:tbl>
    <w:p w14:paraId="52E61C3D" w14:textId="77777777" w:rsidR="00A4469D" w:rsidRPr="00134726" w:rsidRDefault="00A4469D" w:rsidP="003E5C99">
      <w:pPr>
        <w:pStyle w:val="07-Legenda"/>
        <w:rPr>
          <w:rFonts w:cs="Arial"/>
          <w:lang w:val="en-US"/>
        </w:rPr>
      </w:pPr>
      <w:r w:rsidRPr="00134726">
        <w:rPr>
          <w:rFonts w:cs="Arial"/>
          <w:lang w:val="en-US"/>
        </w:rPr>
        <w:t>(1)</w:t>
      </w:r>
      <w:r w:rsidRPr="00134726">
        <w:rPr>
          <w:rFonts w:cs="Arial"/>
          <w:lang w:val="en-US"/>
        </w:rPr>
        <w:tab/>
      </w:r>
      <w:r>
        <w:rPr>
          <w:rStyle w:val="tlid-translation"/>
          <w:lang w:val="en"/>
        </w:rPr>
        <w:t xml:space="preserve">Refers mainly to a tax lawsuit aimed at annulling an administrative decision that did not ratify declarations of offsetting negative IRPJ balances with various taxes. The updated amount of the aforementioned judicial deposit is R$ </w:t>
      </w:r>
      <w:r w:rsidRPr="003E5C99">
        <w:rPr>
          <w:rStyle w:val="tlid-translation"/>
          <w:lang w:val="en"/>
        </w:rPr>
        <w:t>165</w:t>
      </w:r>
      <w:r>
        <w:rPr>
          <w:rStyle w:val="tlid-translation"/>
          <w:lang w:val="en"/>
        </w:rPr>
        <w:t>,</w:t>
      </w:r>
      <w:r w:rsidRPr="003E5C99">
        <w:rPr>
          <w:rStyle w:val="tlid-translation"/>
          <w:lang w:val="en"/>
        </w:rPr>
        <w:t xml:space="preserve">385 </w:t>
      </w:r>
      <w:r>
        <w:rPr>
          <w:rStyle w:val="tlid-translation"/>
          <w:lang w:val="en"/>
        </w:rPr>
        <w:t>thousand (R$ 158,</w:t>
      </w:r>
      <w:r w:rsidRPr="003E5C99">
        <w:rPr>
          <w:rStyle w:val="tlid-translation"/>
          <w:lang w:val="en"/>
        </w:rPr>
        <w:t xml:space="preserve">619 </w:t>
      </w:r>
      <w:r>
        <w:rPr>
          <w:rStyle w:val="tlid-translation"/>
          <w:lang w:val="en"/>
        </w:rPr>
        <w:t xml:space="preserve">thousand on Dec 31, 2021), referring to the investee BB Corretora, being updated using the SELIC rate. </w:t>
      </w:r>
      <w:r w:rsidRPr="001D22FA">
        <w:rPr>
          <w:rStyle w:val="tlid-translation"/>
          <w:lang w:val="en"/>
        </w:rPr>
        <w:t>In 2022 there was an adjustment in the values of recognized deposits, in the amount of R$ 1,167 thousand, due to the undue use of monetary restatement indexes</w:t>
      </w:r>
      <w:r>
        <w:rPr>
          <w:rStyle w:val="tlid-translation"/>
          <w:lang w:val="en"/>
        </w:rPr>
        <w:t>.</w:t>
      </w:r>
      <w:bookmarkEnd w:id="59"/>
    </w:p>
    <w:p w14:paraId="161FA64F" w14:textId="412E05A0" w:rsidR="001A5FD8" w:rsidRPr="0023652C" w:rsidRDefault="001A5FD8" w:rsidP="00FC4475">
      <w:pPr>
        <w:pStyle w:val="Ttulo1"/>
      </w:pPr>
    </w:p>
    <w:p w14:paraId="1BFACC93" w14:textId="0C15F393" w:rsidR="00613FF1" w:rsidRPr="00AB4D1D" w:rsidRDefault="00613FF1" w:rsidP="00FC4475">
      <w:pPr>
        <w:pStyle w:val="Ttulo1"/>
      </w:pPr>
      <w:bookmarkStart w:id="61" w:name="_Toc126781114"/>
      <w:r w:rsidRPr="00AB4D1D">
        <w:t>23 – UNEARDED COMMISSIONS</w:t>
      </w:r>
      <w:bookmarkEnd w:id="61"/>
    </w:p>
    <w:p w14:paraId="7F86EA48" w14:textId="77777777" w:rsidR="00613FF1" w:rsidRPr="00BF3B80" w:rsidRDefault="00613FF1" w:rsidP="0043555A">
      <w:pPr>
        <w:pStyle w:val="01-TtulodeNota"/>
        <w:spacing w:before="0" w:after="0"/>
        <w:jc w:val="right"/>
        <w:rPr>
          <w:sz w:val="14"/>
          <w:szCs w:val="14"/>
        </w:rPr>
      </w:pPr>
      <w:r w:rsidRPr="00BF3B80">
        <w:rPr>
          <w:sz w:val="14"/>
          <w:szCs w:val="14"/>
        </w:rPr>
        <w:t>R$ thousand</w:t>
      </w:r>
    </w:p>
    <w:tbl>
      <w:tblPr>
        <w:tblW w:w="9658"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4384"/>
        <w:gridCol w:w="856"/>
        <w:gridCol w:w="401"/>
        <w:gridCol w:w="2008"/>
        <w:gridCol w:w="2009"/>
      </w:tblGrid>
      <w:tr w:rsidR="00613FF1" w:rsidRPr="00FB1814" w14:paraId="295A3A75" w14:textId="77777777" w:rsidTr="002F7A43">
        <w:trPr>
          <w:trHeight w:val="238"/>
        </w:trPr>
        <w:tc>
          <w:tcPr>
            <w:tcW w:w="5641" w:type="dxa"/>
            <w:gridSpan w:val="3"/>
            <w:tcBorders>
              <w:top w:val="single" w:sz="2" w:space="0" w:color="1F4E79" w:themeColor="accent1" w:themeShade="80"/>
              <w:bottom w:val="nil"/>
            </w:tcBorders>
            <w:shd w:val="clear" w:color="auto" w:fill="auto"/>
            <w:vAlign w:val="center"/>
          </w:tcPr>
          <w:p w14:paraId="75D6C5E9" w14:textId="77777777" w:rsidR="00613FF1" w:rsidRPr="00FB1814" w:rsidRDefault="00613FF1" w:rsidP="00FB1814">
            <w:pPr>
              <w:keepNext/>
              <w:keepLines/>
              <w:spacing w:before="40" w:after="40"/>
              <w:jc w:val="center"/>
              <w:rPr>
                <w:rFonts w:cs="Arial"/>
                <w:b/>
                <w:bCs/>
                <w:spacing w:val="-2"/>
                <w:sz w:val="14"/>
                <w:szCs w:val="18"/>
              </w:rPr>
            </w:pPr>
          </w:p>
        </w:tc>
        <w:tc>
          <w:tcPr>
            <w:tcW w:w="4017" w:type="dxa"/>
            <w:gridSpan w:val="2"/>
            <w:tcBorders>
              <w:top w:val="single" w:sz="2" w:space="0" w:color="1F4E79" w:themeColor="accent1" w:themeShade="80"/>
              <w:bottom w:val="single" w:sz="2" w:space="0" w:color="1F4E79" w:themeColor="accent1" w:themeShade="80"/>
            </w:tcBorders>
            <w:shd w:val="clear" w:color="auto" w:fill="auto"/>
            <w:vAlign w:val="center"/>
          </w:tcPr>
          <w:p w14:paraId="4B73824A" w14:textId="77777777" w:rsidR="00613FF1" w:rsidRPr="00FB1814" w:rsidRDefault="00613FF1" w:rsidP="00FB1814">
            <w:pPr>
              <w:pStyle w:val="08-Tabelageral"/>
              <w:jc w:val="center"/>
              <w:rPr>
                <w:b/>
              </w:rPr>
            </w:pPr>
            <w:r w:rsidRPr="00FB1814">
              <w:rPr>
                <w:rFonts w:cs="Arial"/>
                <w:b/>
                <w:szCs w:val="14"/>
              </w:rPr>
              <w:t>Consolidated</w:t>
            </w:r>
          </w:p>
        </w:tc>
      </w:tr>
      <w:tr w:rsidR="00613FF1" w:rsidRPr="0049410B" w14:paraId="25B24A39" w14:textId="77777777" w:rsidTr="002F7A43">
        <w:trPr>
          <w:trHeight w:val="238"/>
        </w:trPr>
        <w:tc>
          <w:tcPr>
            <w:tcW w:w="5641" w:type="dxa"/>
            <w:gridSpan w:val="3"/>
            <w:tcBorders>
              <w:top w:val="nil"/>
              <w:bottom w:val="single" w:sz="2" w:space="0" w:color="1F4E79" w:themeColor="accent1" w:themeShade="80"/>
            </w:tcBorders>
            <w:shd w:val="clear" w:color="auto" w:fill="auto"/>
          </w:tcPr>
          <w:p w14:paraId="058171B9" w14:textId="77777777" w:rsidR="00613FF1" w:rsidRPr="0049410B" w:rsidRDefault="00613FF1" w:rsidP="00922DF8">
            <w:pPr>
              <w:keepNext/>
              <w:keepLines/>
              <w:spacing w:before="40" w:after="40"/>
              <w:jc w:val="right"/>
              <w:rPr>
                <w:rFonts w:cs="Arial"/>
                <w:b/>
                <w:spacing w:val="-2"/>
                <w:sz w:val="14"/>
                <w:szCs w:val="18"/>
              </w:rPr>
            </w:pPr>
          </w:p>
        </w:tc>
        <w:tc>
          <w:tcPr>
            <w:tcW w:w="2008" w:type="dxa"/>
            <w:tcBorders>
              <w:top w:val="single" w:sz="2" w:space="0" w:color="1F4E79" w:themeColor="accent1" w:themeShade="80"/>
              <w:bottom w:val="single" w:sz="2" w:space="0" w:color="1F4E79" w:themeColor="accent1" w:themeShade="80"/>
            </w:tcBorders>
            <w:shd w:val="clear" w:color="auto" w:fill="auto"/>
          </w:tcPr>
          <w:p w14:paraId="51F48A2B" w14:textId="77777777" w:rsidR="00613FF1" w:rsidRPr="004F4E1E" w:rsidRDefault="00613FF1" w:rsidP="003945F3">
            <w:pPr>
              <w:pStyle w:val="08-Tabelageral"/>
              <w:rPr>
                <w:b/>
              </w:rPr>
            </w:pPr>
            <w:r>
              <w:rPr>
                <w:rFonts w:cs="Arial"/>
                <w:b/>
                <w:bCs/>
                <w:kern w:val="2"/>
                <w:szCs w:val="14"/>
                <w:lang w:val="en-US"/>
              </w:rPr>
              <w:t>Dec 31, 2022</w:t>
            </w:r>
          </w:p>
        </w:tc>
        <w:tc>
          <w:tcPr>
            <w:tcW w:w="2009" w:type="dxa"/>
            <w:tcBorders>
              <w:top w:val="single" w:sz="2" w:space="0" w:color="1F4E79" w:themeColor="accent1" w:themeShade="80"/>
              <w:bottom w:val="single" w:sz="2" w:space="0" w:color="1F4E79" w:themeColor="accent1" w:themeShade="80"/>
            </w:tcBorders>
            <w:shd w:val="clear" w:color="auto" w:fill="auto"/>
          </w:tcPr>
          <w:p w14:paraId="2D6563CC" w14:textId="77777777" w:rsidR="00613FF1" w:rsidRPr="004F4E1E" w:rsidRDefault="00613FF1" w:rsidP="003945F3">
            <w:pPr>
              <w:pStyle w:val="08-Tabelageral"/>
              <w:rPr>
                <w:b/>
              </w:rPr>
            </w:pPr>
            <w:r>
              <w:rPr>
                <w:rFonts w:cs="Arial"/>
                <w:b/>
                <w:bCs/>
                <w:kern w:val="2"/>
                <w:szCs w:val="14"/>
                <w:lang w:val="en-US"/>
              </w:rPr>
              <w:t>Dec 31, 2021</w:t>
            </w:r>
          </w:p>
        </w:tc>
      </w:tr>
      <w:tr w:rsidR="00613FF1" w:rsidRPr="00FB1814" w14:paraId="2E236F02" w14:textId="77777777" w:rsidTr="002F7A43">
        <w:trPr>
          <w:trHeight w:val="238"/>
        </w:trPr>
        <w:tc>
          <w:tcPr>
            <w:tcW w:w="4384" w:type="dxa"/>
            <w:tcBorders>
              <w:top w:val="single" w:sz="2" w:space="0" w:color="1F4E79" w:themeColor="accent1" w:themeShade="80"/>
              <w:bottom w:val="nil"/>
            </w:tcBorders>
            <w:shd w:val="clear" w:color="auto" w:fill="auto"/>
            <w:vAlign w:val="center"/>
          </w:tcPr>
          <w:p w14:paraId="43D640A0" w14:textId="77777777" w:rsidR="00613FF1" w:rsidRPr="00FB1814" w:rsidRDefault="00613FF1" w:rsidP="00591F3A">
            <w:pPr>
              <w:pStyle w:val="08-Tabelageral"/>
              <w:jc w:val="left"/>
              <w:rPr>
                <w:rFonts w:cs="Arial"/>
                <w:b/>
                <w:lang w:val="en-US"/>
              </w:rPr>
            </w:pPr>
            <w:r w:rsidRPr="00FB1814">
              <w:rPr>
                <w:rFonts w:cs="Arial"/>
                <w:b/>
                <w:lang w:val="en-US"/>
              </w:rPr>
              <w:t>Current Liabilities</w:t>
            </w:r>
          </w:p>
        </w:tc>
        <w:tc>
          <w:tcPr>
            <w:tcW w:w="856" w:type="dxa"/>
            <w:tcBorders>
              <w:top w:val="single" w:sz="2" w:space="0" w:color="1F4E79" w:themeColor="accent1" w:themeShade="80"/>
              <w:bottom w:val="nil"/>
            </w:tcBorders>
            <w:shd w:val="clear" w:color="auto" w:fill="auto"/>
          </w:tcPr>
          <w:p w14:paraId="0D7A24C0" w14:textId="77777777" w:rsidR="00613FF1" w:rsidRPr="00FB1814" w:rsidRDefault="00613FF1" w:rsidP="00591F3A">
            <w:pPr>
              <w:pStyle w:val="08-Tabelageral"/>
              <w:rPr>
                <w:b/>
              </w:rPr>
            </w:pPr>
          </w:p>
        </w:tc>
        <w:tc>
          <w:tcPr>
            <w:tcW w:w="401" w:type="dxa"/>
            <w:tcBorders>
              <w:top w:val="single" w:sz="2" w:space="0" w:color="1F4E79" w:themeColor="accent1" w:themeShade="80"/>
              <w:bottom w:val="nil"/>
            </w:tcBorders>
            <w:shd w:val="clear" w:color="auto" w:fill="auto"/>
          </w:tcPr>
          <w:p w14:paraId="21E09F6F" w14:textId="77777777" w:rsidR="00613FF1" w:rsidRPr="00FB1814" w:rsidRDefault="00613FF1" w:rsidP="00591F3A">
            <w:pPr>
              <w:pStyle w:val="08-Tabelageral"/>
              <w:rPr>
                <w:b/>
              </w:rPr>
            </w:pPr>
          </w:p>
        </w:tc>
        <w:tc>
          <w:tcPr>
            <w:tcW w:w="2008" w:type="dxa"/>
            <w:tcBorders>
              <w:top w:val="single" w:sz="2" w:space="0" w:color="1F4E79" w:themeColor="accent1" w:themeShade="80"/>
              <w:bottom w:val="nil"/>
            </w:tcBorders>
            <w:shd w:val="clear" w:color="auto" w:fill="auto"/>
          </w:tcPr>
          <w:p w14:paraId="41513C51" w14:textId="77777777" w:rsidR="00613FF1" w:rsidRPr="00FB1814" w:rsidRDefault="00613FF1" w:rsidP="00591F3A">
            <w:pPr>
              <w:pStyle w:val="08-Tabelageral"/>
              <w:rPr>
                <w:b/>
              </w:rPr>
            </w:pPr>
            <w:r>
              <w:rPr>
                <w:b/>
                <w:bCs/>
              </w:rPr>
              <w:t>1,760,473</w:t>
            </w:r>
          </w:p>
        </w:tc>
        <w:tc>
          <w:tcPr>
            <w:tcW w:w="2009" w:type="dxa"/>
            <w:tcBorders>
              <w:top w:val="single" w:sz="2" w:space="0" w:color="1F4E79" w:themeColor="accent1" w:themeShade="80"/>
              <w:bottom w:val="nil"/>
            </w:tcBorders>
            <w:shd w:val="clear" w:color="auto" w:fill="auto"/>
          </w:tcPr>
          <w:p w14:paraId="6483C4D8" w14:textId="77777777" w:rsidR="00613FF1" w:rsidRPr="00FB1814" w:rsidRDefault="00613FF1" w:rsidP="00591F3A">
            <w:pPr>
              <w:pStyle w:val="08-Tabelageral"/>
              <w:rPr>
                <w:b/>
              </w:rPr>
            </w:pPr>
            <w:r w:rsidRPr="00CE4414">
              <w:rPr>
                <w:b/>
                <w:bCs/>
              </w:rPr>
              <w:t>1</w:t>
            </w:r>
            <w:r>
              <w:rPr>
                <w:b/>
                <w:bCs/>
              </w:rPr>
              <w:t>,</w:t>
            </w:r>
            <w:r w:rsidRPr="00CE4414">
              <w:rPr>
                <w:b/>
                <w:bCs/>
              </w:rPr>
              <w:t>172</w:t>
            </w:r>
            <w:r>
              <w:rPr>
                <w:b/>
                <w:bCs/>
              </w:rPr>
              <w:t>,</w:t>
            </w:r>
            <w:r w:rsidRPr="00CE4414">
              <w:rPr>
                <w:b/>
                <w:bCs/>
              </w:rPr>
              <w:t>483</w:t>
            </w:r>
          </w:p>
        </w:tc>
      </w:tr>
      <w:tr w:rsidR="00613FF1" w:rsidRPr="0049410B" w14:paraId="7D3ED184" w14:textId="77777777" w:rsidTr="002F7A43">
        <w:trPr>
          <w:trHeight w:val="238"/>
        </w:trPr>
        <w:tc>
          <w:tcPr>
            <w:tcW w:w="4384" w:type="dxa"/>
            <w:tcBorders>
              <w:top w:val="nil"/>
            </w:tcBorders>
            <w:shd w:val="clear" w:color="auto" w:fill="auto"/>
            <w:vAlign w:val="center"/>
          </w:tcPr>
          <w:p w14:paraId="20665FB8" w14:textId="77777777" w:rsidR="00613FF1" w:rsidRPr="002547FE" w:rsidRDefault="00613FF1" w:rsidP="00591F3A">
            <w:pPr>
              <w:pStyle w:val="08-Tabelageral"/>
              <w:ind w:left="113"/>
              <w:jc w:val="left"/>
              <w:rPr>
                <w:rFonts w:cs="Arial"/>
                <w:b/>
                <w:highlight w:val="yellow"/>
                <w:lang w:val="en-US"/>
              </w:rPr>
            </w:pPr>
            <w:r>
              <w:rPr>
                <w:rFonts w:cs="Arial"/>
                <w:lang w:val="en-US"/>
              </w:rPr>
              <w:t>BB MAPFRE</w:t>
            </w:r>
          </w:p>
        </w:tc>
        <w:tc>
          <w:tcPr>
            <w:tcW w:w="856" w:type="dxa"/>
            <w:tcBorders>
              <w:top w:val="nil"/>
            </w:tcBorders>
            <w:shd w:val="clear" w:color="auto" w:fill="auto"/>
          </w:tcPr>
          <w:p w14:paraId="1272CDF8" w14:textId="77777777" w:rsidR="00613FF1" w:rsidRPr="0049410B" w:rsidRDefault="00613FF1" w:rsidP="00591F3A">
            <w:pPr>
              <w:pStyle w:val="08-Tabelageral"/>
            </w:pPr>
          </w:p>
        </w:tc>
        <w:tc>
          <w:tcPr>
            <w:tcW w:w="401" w:type="dxa"/>
            <w:tcBorders>
              <w:top w:val="nil"/>
            </w:tcBorders>
            <w:shd w:val="clear" w:color="auto" w:fill="auto"/>
          </w:tcPr>
          <w:p w14:paraId="59545871" w14:textId="77777777" w:rsidR="00613FF1" w:rsidRPr="0049410B" w:rsidRDefault="00613FF1" w:rsidP="00591F3A">
            <w:pPr>
              <w:pStyle w:val="08-Tabelageral"/>
            </w:pPr>
          </w:p>
        </w:tc>
        <w:tc>
          <w:tcPr>
            <w:tcW w:w="2008" w:type="dxa"/>
            <w:tcBorders>
              <w:top w:val="nil"/>
            </w:tcBorders>
            <w:shd w:val="clear" w:color="auto" w:fill="auto"/>
          </w:tcPr>
          <w:p w14:paraId="13D1CD7B" w14:textId="77777777" w:rsidR="00613FF1" w:rsidRPr="00FE0AFD" w:rsidRDefault="00613FF1" w:rsidP="00591F3A">
            <w:pPr>
              <w:pStyle w:val="08-Tabelageral"/>
            </w:pPr>
            <w:r>
              <w:t>1,656,677</w:t>
            </w:r>
          </w:p>
        </w:tc>
        <w:tc>
          <w:tcPr>
            <w:tcW w:w="2009" w:type="dxa"/>
            <w:tcBorders>
              <w:top w:val="nil"/>
            </w:tcBorders>
            <w:shd w:val="clear" w:color="auto" w:fill="auto"/>
          </w:tcPr>
          <w:p w14:paraId="72C4A6C5" w14:textId="77777777" w:rsidR="00613FF1" w:rsidRPr="00FE0AFD" w:rsidRDefault="00613FF1" w:rsidP="00591F3A">
            <w:pPr>
              <w:pStyle w:val="08-Tabelageral"/>
            </w:pPr>
            <w:r w:rsidRPr="00ED6F9A">
              <w:t>1</w:t>
            </w:r>
            <w:r>
              <w:t>,</w:t>
            </w:r>
            <w:r w:rsidRPr="00ED6F9A">
              <w:t>120</w:t>
            </w:r>
            <w:r>
              <w:t>,</w:t>
            </w:r>
            <w:r w:rsidRPr="00ED6F9A">
              <w:t>148</w:t>
            </w:r>
          </w:p>
        </w:tc>
      </w:tr>
      <w:tr w:rsidR="00613FF1" w:rsidRPr="0049410B" w14:paraId="488A1638" w14:textId="77777777" w:rsidTr="002F7A43">
        <w:trPr>
          <w:trHeight w:val="238"/>
        </w:trPr>
        <w:tc>
          <w:tcPr>
            <w:tcW w:w="4384" w:type="dxa"/>
            <w:shd w:val="clear" w:color="auto" w:fill="auto"/>
            <w:vAlign w:val="center"/>
          </w:tcPr>
          <w:p w14:paraId="6DF8C231" w14:textId="77777777" w:rsidR="00613FF1" w:rsidRPr="002547FE" w:rsidRDefault="00613FF1" w:rsidP="00591F3A">
            <w:pPr>
              <w:pStyle w:val="08-Tabelageral"/>
              <w:ind w:left="113"/>
              <w:jc w:val="left"/>
              <w:rPr>
                <w:rFonts w:cs="Arial"/>
                <w:b/>
                <w:highlight w:val="yellow"/>
                <w:vertAlign w:val="superscript"/>
                <w:lang w:val="en-US"/>
              </w:rPr>
            </w:pPr>
            <w:r>
              <w:rPr>
                <w:rFonts w:cs="Arial"/>
                <w:lang w:val="en-US"/>
              </w:rPr>
              <w:t>MAPFRE Seguros Gerais</w:t>
            </w:r>
          </w:p>
        </w:tc>
        <w:tc>
          <w:tcPr>
            <w:tcW w:w="856" w:type="dxa"/>
            <w:shd w:val="clear" w:color="auto" w:fill="auto"/>
          </w:tcPr>
          <w:p w14:paraId="7B3EBAC6" w14:textId="77777777" w:rsidR="00613FF1" w:rsidRPr="0049410B" w:rsidRDefault="00613FF1" w:rsidP="00591F3A">
            <w:pPr>
              <w:pStyle w:val="08-Tabelageral"/>
            </w:pPr>
          </w:p>
        </w:tc>
        <w:tc>
          <w:tcPr>
            <w:tcW w:w="401" w:type="dxa"/>
            <w:shd w:val="clear" w:color="auto" w:fill="auto"/>
          </w:tcPr>
          <w:p w14:paraId="30902A34" w14:textId="77777777" w:rsidR="00613FF1" w:rsidRPr="0049410B" w:rsidRDefault="00613FF1" w:rsidP="00591F3A">
            <w:pPr>
              <w:pStyle w:val="08-Tabelageral"/>
            </w:pPr>
          </w:p>
        </w:tc>
        <w:tc>
          <w:tcPr>
            <w:tcW w:w="2008" w:type="dxa"/>
            <w:shd w:val="clear" w:color="auto" w:fill="auto"/>
          </w:tcPr>
          <w:p w14:paraId="25AFD280" w14:textId="77777777" w:rsidR="00613FF1" w:rsidRPr="00FE0AFD" w:rsidRDefault="00613FF1" w:rsidP="00591F3A">
            <w:pPr>
              <w:pStyle w:val="08-Tabelageral"/>
            </w:pPr>
            <w:r>
              <w:t>103,560</w:t>
            </w:r>
          </w:p>
        </w:tc>
        <w:tc>
          <w:tcPr>
            <w:tcW w:w="2009" w:type="dxa"/>
            <w:shd w:val="clear" w:color="auto" w:fill="auto"/>
          </w:tcPr>
          <w:p w14:paraId="652B4885" w14:textId="77777777" w:rsidR="00613FF1" w:rsidRPr="00FE0AFD" w:rsidRDefault="00613FF1" w:rsidP="00591F3A">
            <w:pPr>
              <w:pStyle w:val="08-Tabelageral"/>
            </w:pPr>
            <w:r w:rsidRPr="00ED6F9A">
              <w:t>51</w:t>
            </w:r>
            <w:r>
              <w:t>,</w:t>
            </w:r>
            <w:r w:rsidRPr="00ED6F9A">
              <w:t>939</w:t>
            </w:r>
          </w:p>
        </w:tc>
      </w:tr>
      <w:tr w:rsidR="00613FF1" w:rsidRPr="0049410B" w14:paraId="39AD9AD2" w14:textId="77777777" w:rsidTr="002F7A43">
        <w:trPr>
          <w:trHeight w:val="238"/>
        </w:trPr>
        <w:tc>
          <w:tcPr>
            <w:tcW w:w="4384" w:type="dxa"/>
            <w:shd w:val="clear" w:color="auto" w:fill="auto"/>
            <w:vAlign w:val="center"/>
          </w:tcPr>
          <w:p w14:paraId="74833E81" w14:textId="77777777" w:rsidR="00613FF1" w:rsidRPr="002547FE" w:rsidRDefault="00613FF1" w:rsidP="00591F3A">
            <w:pPr>
              <w:pStyle w:val="08-Tabelageral"/>
              <w:ind w:left="113"/>
              <w:jc w:val="left"/>
              <w:rPr>
                <w:rFonts w:cs="Arial"/>
                <w:b/>
                <w:szCs w:val="14"/>
                <w:lang w:val="en-US"/>
              </w:rPr>
            </w:pPr>
            <w:r>
              <w:rPr>
                <w:rFonts w:cs="Arial"/>
                <w:szCs w:val="14"/>
                <w:lang w:val="en-US"/>
              </w:rPr>
              <w:t>Others</w:t>
            </w:r>
          </w:p>
        </w:tc>
        <w:tc>
          <w:tcPr>
            <w:tcW w:w="856" w:type="dxa"/>
            <w:shd w:val="clear" w:color="auto" w:fill="auto"/>
          </w:tcPr>
          <w:p w14:paraId="6A01C4BC" w14:textId="77777777" w:rsidR="00613FF1" w:rsidRPr="0049410B" w:rsidRDefault="00613FF1" w:rsidP="00591F3A">
            <w:pPr>
              <w:pStyle w:val="08-Tabelageral"/>
            </w:pPr>
          </w:p>
        </w:tc>
        <w:tc>
          <w:tcPr>
            <w:tcW w:w="401" w:type="dxa"/>
            <w:shd w:val="clear" w:color="auto" w:fill="auto"/>
          </w:tcPr>
          <w:p w14:paraId="60E55376" w14:textId="77777777" w:rsidR="00613FF1" w:rsidRPr="0049410B" w:rsidRDefault="00613FF1" w:rsidP="00591F3A">
            <w:pPr>
              <w:pStyle w:val="08-Tabelageral"/>
            </w:pPr>
          </w:p>
        </w:tc>
        <w:tc>
          <w:tcPr>
            <w:tcW w:w="2008" w:type="dxa"/>
            <w:shd w:val="clear" w:color="auto" w:fill="auto"/>
          </w:tcPr>
          <w:p w14:paraId="58BFB6AC" w14:textId="77777777" w:rsidR="00613FF1" w:rsidRDefault="00613FF1" w:rsidP="00591F3A">
            <w:pPr>
              <w:pStyle w:val="08-Tabelageral"/>
            </w:pPr>
            <w:r>
              <w:t>236</w:t>
            </w:r>
          </w:p>
        </w:tc>
        <w:tc>
          <w:tcPr>
            <w:tcW w:w="2009" w:type="dxa"/>
            <w:shd w:val="clear" w:color="auto" w:fill="auto"/>
          </w:tcPr>
          <w:p w14:paraId="4DCFD866" w14:textId="77777777" w:rsidR="00613FF1" w:rsidRDefault="00613FF1" w:rsidP="00591F3A">
            <w:pPr>
              <w:pStyle w:val="08-Tabelageral"/>
            </w:pPr>
            <w:r w:rsidRPr="00ED6F9A">
              <w:t>396</w:t>
            </w:r>
          </w:p>
        </w:tc>
      </w:tr>
      <w:tr w:rsidR="00613FF1" w:rsidRPr="00FB1814" w14:paraId="558B3832" w14:textId="77777777" w:rsidTr="002F7A43">
        <w:trPr>
          <w:trHeight w:val="238"/>
        </w:trPr>
        <w:tc>
          <w:tcPr>
            <w:tcW w:w="4384" w:type="dxa"/>
            <w:shd w:val="clear" w:color="auto" w:fill="auto"/>
            <w:vAlign w:val="center"/>
          </w:tcPr>
          <w:p w14:paraId="541934FE" w14:textId="77777777" w:rsidR="00613FF1" w:rsidRPr="00FB1814" w:rsidRDefault="00613FF1" w:rsidP="00591F3A">
            <w:pPr>
              <w:pStyle w:val="08-Tabelageral"/>
              <w:jc w:val="left"/>
              <w:rPr>
                <w:rFonts w:cs="Arial"/>
                <w:b/>
                <w:lang w:val="en-US"/>
              </w:rPr>
            </w:pPr>
            <w:r w:rsidRPr="00FB1814">
              <w:rPr>
                <w:rFonts w:cs="Arial"/>
                <w:b/>
                <w:lang w:val="en-US"/>
              </w:rPr>
              <w:t>Non-Current Liabilities</w:t>
            </w:r>
          </w:p>
        </w:tc>
        <w:tc>
          <w:tcPr>
            <w:tcW w:w="856" w:type="dxa"/>
            <w:shd w:val="clear" w:color="auto" w:fill="auto"/>
          </w:tcPr>
          <w:p w14:paraId="6612D1C8" w14:textId="77777777" w:rsidR="00613FF1" w:rsidRPr="00FB1814" w:rsidRDefault="00613FF1" w:rsidP="00591F3A">
            <w:pPr>
              <w:pStyle w:val="08-Tabelageral"/>
              <w:rPr>
                <w:b/>
              </w:rPr>
            </w:pPr>
          </w:p>
        </w:tc>
        <w:tc>
          <w:tcPr>
            <w:tcW w:w="401" w:type="dxa"/>
            <w:shd w:val="clear" w:color="auto" w:fill="auto"/>
          </w:tcPr>
          <w:p w14:paraId="7B06D9DE" w14:textId="77777777" w:rsidR="00613FF1" w:rsidRPr="00FB1814" w:rsidRDefault="00613FF1" w:rsidP="00591F3A">
            <w:pPr>
              <w:pStyle w:val="08-Tabelageral"/>
              <w:rPr>
                <w:b/>
              </w:rPr>
            </w:pPr>
          </w:p>
        </w:tc>
        <w:tc>
          <w:tcPr>
            <w:tcW w:w="2008" w:type="dxa"/>
            <w:shd w:val="clear" w:color="auto" w:fill="auto"/>
          </w:tcPr>
          <w:p w14:paraId="50E10F49" w14:textId="77777777" w:rsidR="00613FF1" w:rsidRPr="00FB1814" w:rsidRDefault="00613FF1" w:rsidP="00591F3A">
            <w:pPr>
              <w:pStyle w:val="08-Tabelageral"/>
              <w:rPr>
                <w:b/>
              </w:rPr>
            </w:pPr>
            <w:r>
              <w:rPr>
                <w:b/>
                <w:bCs/>
              </w:rPr>
              <w:t>1,787,547</w:t>
            </w:r>
          </w:p>
        </w:tc>
        <w:tc>
          <w:tcPr>
            <w:tcW w:w="2009" w:type="dxa"/>
            <w:shd w:val="clear" w:color="auto" w:fill="auto"/>
          </w:tcPr>
          <w:p w14:paraId="65144440" w14:textId="77777777" w:rsidR="00613FF1" w:rsidRPr="00FB1814" w:rsidRDefault="00613FF1" w:rsidP="00591F3A">
            <w:pPr>
              <w:pStyle w:val="08-Tabelageral"/>
              <w:rPr>
                <w:b/>
              </w:rPr>
            </w:pPr>
            <w:r w:rsidRPr="00CE4414">
              <w:rPr>
                <w:b/>
                <w:bCs/>
              </w:rPr>
              <w:t>1</w:t>
            </w:r>
            <w:r>
              <w:rPr>
                <w:b/>
                <w:bCs/>
              </w:rPr>
              <w:t>,</w:t>
            </w:r>
            <w:r w:rsidRPr="00CE4414">
              <w:rPr>
                <w:b/>
                <w:bCs/>
              </w:rPr>
              <w:t>794</w:t>
            </w:r>
            <w:r>
              <w:rPr>
                <w:b/>
                <w:bCs/>
              </w:rPr>
              <w:t>,</w:t>
            </w:r>
            <w:r w:rsidRPr="00CE4414">
              <w:rPr>
                <w:b/>
                <w:bCs/>
              </w:rPr>
              <w:t>544</w:t>
            </w:r>
          </w:p>
        </w:tc>
      </w:tr>
      <w:tr w:rsidR="00613FF1" w:rsidRPr="0049410B" w14:paraId="472ABEE1" w14:textId="77777777" w:rsidTr="002F7A43">
        <w:trPr>
          <w:trHeight w:val="238"/>
        </w:trPr>
        <w:tc>
          <w:tcPr>
            <w:tcW w:w="4384" w:type="dxa"/>
            <w:shd w:val="clear" w:color="auto" w:fill="auto"/>
            <w:vAlign w:val="center"/>
          </w:tcPr>
          <w:p w14:paraId="58F7B40C" w14:textId="77777777" w:rsidR="00613FF1" w:rsidRPr="002547FE" w:rsidRDefault="00613FF1" w:rsidP="00591F3A">
            <w:pPr>
              <w:pStyle w:val="08-Tabelageral"/>
              <w:ind w:left="113"/>
              <w:jc w:val="left"/>
              <w:rPr>
                <w:rFonts w:cs="Arial"/>
                <w:b/>
                <w:highlight w:val="yellow"/>
                <w:lang w:val="en-US"/>
              </w:rPr>
            </w:pPr>
            <w:r>
              <w:rPr>
                <w:rFonts w:cs="Arial"/>
                <w:lang w:val="en-US"/>
              </w:rPr>
              <w:t>BB MAPFRE</w:t>
            </w:r>
          </w:p>
        </w:tc>
        <w:tc>
          <w:tcPr>
            <w:tcW w:w="856" w:type="dxa"/>
            <w:shd w:val="clear" w:color="auto" w:fill="auto"/>
          </w:tcPr>
          <w:p w14:paraId="31C3210D" w14:textId="77777777" w:rsidR="00613FF1" w:rsidRPr="0049410B" w:rsidRDefault="00613FF1" w:rsidP="00591F3A">
            <w:pPr>
              <w:pStyle w:val="08-Tabelageral"/>
            </w:pPr>
          </w:p>
        </w:tc>
        <w:tc>
          <w:tcPr>
            <w:tcW w:w="401" w:type="dxa"/>
            <w:shd w:val="clear" w:color="auto" w:fill="auto"/>
          </w:tcPr>
          <w:p w14:paraId="25D7D0C2" w14:textId="77777777" w:rsidR="00613FF1" w:rsidRPr="0049410B" w:rsidRDefault="00613FF1" w:rsidP="00591F3A">
            <w:pPr>
              <w:pStyle w:val="08-Tabelageral"/>
            </w:pPr>
          </w:p>
        </w:tc>
        <w:tc>
          <w:tcPr>
            <w:tcW w:w="2008" w:type="dxa"/>
            <w:shd w:val="clear" w:color="auto" w:fill="auto"/>
          </w:tcPr>
          <w:p w14:paraId="63705E91" w14:textId="77777777" w:rsidR="00613FF1" w:rsidRDefault="00613FF1" w:rsidP="00591F3A">
            <w:pPr>
              <w:pStyle w:val="08-Tabelageral"/>
            </w:pPr>
            <w:r>
              <w:t>1,761,161</w:t>
            </w:r>
          </w:p>
        </w:tc>
        <w:tc>
          <w:tcPr>
            <w:tcW w:w="2009" w:type="dxa"/>
            <w:shd w:val="clear" w:color="auto" w:fill="auto"/>
          </w:tcPr>
          <w:p w14:paraId="68E8D470" w14:textId="77777777" w:rsidR="00613FF1" w:rsidRDefault="00613FF1" w:rsidP="00591F3A">
            <w:pPr>
              <w:pStyle w:val="08-Tabelageral"/>
            </w:pPr>
            <w:r w:rsidRPr="00ED6F9A">
              <w:t>1</w:t>
            </w:r>
            <w:r>
              <w:t>,</w:t>
            </w:r>
            <w:r w:rsidRPr="00ED6F9A">
              <w:t>735</w:t>
            </w:r>
            <w:r>
              <w:t>,</w:t>
            </w:r>
            <w:r w:rsidRPr="00ED6F9A">
              <w:t>439</w:t>
            </w:r>
          </w:p>
        </w:tc>
      </w:tr>
      <w:tr w:rsidR="00613FF1" w:rsidRPr="0049410B" w14:paraId="1FC5EDA1" w14:textId="77777777" w:rsidTr="002F7A43">
        <w:trPr>
          <w:trHeight w:val="238"/>
        </w:trPr>
        <w:tc>
          <w:tcPr>
            <w:tcW w:w="4384" w:type="dxa"/>
            <w:shd w:val="clear" w:color="auto" w:fill="auto"/>
            <w:vAlign w:val="center"/>
          </w:tcPr>
          <w:p w14:paraId="4DE990AF" w14:textId="77777777" w:rsidR="00613FF1" w:rsidRPr="002547FE" w:rsidRDefault="00613FF1" w:rsidP="00591F3A">
            <w:pPr>
              <w:pStyle w:val="08-Tabelageral"/>
              <w:ind w:left="113"/>
              <w:jc w:val="left"/>
              <w:rPr>
                <w:rFonts w:cs="Arial"/>
                <w:b/>
                <w:highlight w:val="yellow"/>
                <w:vertAlign w:val="superscript"/>
                <w:lang w:val="en-US"/>
              </w:rPr>
            </w:pPr>
            <w:r>
              <w:rPr>
                <w:rFonts w:cs="Arial"/>
                <w:lang w:val="en-US"/>
              </w:rPr>
              <w:t>MAPFRE Seguros Gerais</w:t>
            </w:r>
          </w:p>
        </w:tc>
        <w:tc>
          <w:tcPr>
            <w:tcW w:w="856" w:type="dxa"/>
            <w:shd w:val="clear" w:color="auto" w:fill="auto"/>
          </w:tcPr>
          <w:p w14:paraId="14606657" w14:textId="77777777" w:rsidR="00613FF1" w:rsidRPr="0049410B" w:rsidRDefault="00613FF1" w:rsidP="00591F3A">
            <w:pPr>
              <w:pStyle w:val="08-Tabelageral"/>
            </w:pPr>
          </w:p>
        </w:tc>
        <w:tc>
          <w:tcPr>
            <w:tcW w:w="401" w:type="dxa"/>
            <w:shd w:val="clear" w:color="auto" w:fill="auto"/>
          </w:tcPr>
          <w:p w14:paraId="5142C623" w14:textId="77777777" w:rsidR="00613FF1" w:rsidRPr="0049410B" w:rsidRDefault="00613FF1" w:rsidP="00591F3A">
            <w:pPr>
              <w:pStyle w:val="08-Tabelageral"/>
            </w:pPr>
          </w:p>
        </w:tc>
        <w:tc>
          <w:tcPr>
            <w:tcW w:w="2008" w:type="dxa"/>
            <w:shd w:val="clear" w:color="auto" w:fill="auto"/>
          </w:tcPr>
          <w:p w14:paraId="09B7FED7" w14:textId="77777777" w:rsidR="00613FF1" w:rsidRDefault="00613FF1" w:rsidP="00591F3A">
            <w:pPr>
              <w:pStyle w:val="08-Tabelageral"/>
            </w:pPr>
            <w:r>
              <w:t>26,386</w:t>
            </w:r>
          </w:p>
        </w:tc>
        <w:tc>
          <w:tcPr>
            <w:tcW w:w="2009" w:type="dxa"/>
            <w:shd w:val="clear" w:color="auto" w:fill="auto"/>
          </w:tcPr>
          <w:p w14:paraId="72B83493" w14:textId="77777777" w:rsidR="00613FF1" w:rsidRDefault="00613FF1" w:rsidP="00591F3A">
            <w:pPr>
              <w:pStyle w:val="08-Tabelageral"/>
            </w:pPr>
            <w:r w:rsidRPr="00ED6F9A">
              <w:t>59</w:t>
            </w:r>
            <w:r>
              <w:t>,</w:t>
            </w:r>
            <w:r w:rsidRPr="00ED6F9A">
              <w:t>103</w:t>
            </w:r>
          </w:p>
        </w:tc>
      </w:tr>
      <w:tr w:rsidR="00613FF1" w:rsidRPr="00880B68" w14:paraId="0D18C45E" w14:textId="77777777" w:rsidTr="002F7A43">
        <w:trPr>
          <w:trHeight w:val="238"/>
        </w:trPr>
        <w:tc>
          <w:tcPr>
            <w:tcW w:w="4384" w:type="dxa"/>
            <w:shd w:val="clear" w:color="auto" w:fill="auto"/>
            <w:vAlign w:val="center"/>
          </w:tcPr>
          <w:p w14:paraId="073A07A4" w14:textId="77777777" w:rsidR="00613FF1" w:rsidRPr="002547FE" w:rsidRDefault="00613FF1" w:rsidP="00591F3A">
            <w:pPr>
              <w:pStyle w:val="08-Tabelageral"/>
              <w:ind w:left="113"/>
              <w:jc w:val="left"/>
              <w:rPr>
                <w:rFonts w:cs="Arial"/>
                <w:b/>
                <w:szCs w:val="14"/>
                <w:lang w:val="en-US"/>
              </w:rPr>
            </w:pPr>
            <w:r>
              <w:rPr>
                <w:rFonts w:cs="Arial"/>
                <w:szCs w:val="14"/>
                <w:lang w:val="en-US"/>
              </w:rPr>
              <w:t>Others</w:t>
            </w:r>
          </w:p>
        </w:tc>
        <w:tc>
          <w:tcPr>
            <w:tcW w:w="856" w:type="dxa"/>
            <w:shd w:val="clear" w:color="auto" w:fill="auto"/>
          </w:tcPr>
          <w:p w14:paraId="5843E35C" w14:textId="77777777" w:rsidR="00613FF1" w:rsidRPr="00880B68" w:rsidRDefault="00613FF1" w:rsidP="00591F3A">
            <w:pPr>
              <w:pStyle w:val="08-Tabelageral"/>
              <w:rPr>
                <w:b/>
                <w:szCs w:val="14"/>
              </w:rPr>
            </w:pPr>
          </w:p>
        </w:tc>
        <w:tc>
          <w:tcPr>
            <w:tcW w:w="401" w:type="dxa"/>
            <w:shd w:val="clear" w:color="auto" w:fill="auto"/>
          </w:tcPr>
          <w:p w14:paraId="3F7636E2" w14:textId="77777777" w:rsidR="00613FF1" w:rsidRPr="00880B68" w:rsidRDefault="00613FF1" w:rsidP="00591F3A">
            <w:pPr>
              <w:pStyle w:val="08-Tabelageral"/>
              <w:rPr>
                <w:b/>
                <w:szCs w:val="14"/>
              </w:rPr>
            </w:pPr>
          </w:p>
        </w:tc>
        <w:tc>
          <w:tcPr>
            <w:tcW w:w="2008" w:type="dxa"/>
            <w:shd w:val="clear" w:color="auto" w:fill="auto"/>
          </w:tcPr>
          <w:p w14:paraId="35245C9C" w14:textId="77777777" w:rsidR="00613FF1" w:rsidRPr="006E1D9B" w:rsidRDefault="00613FF1" w:rsidP="00591F3A">
            <w:pPr>
              <w:pStyle w:val="08-Tabelageral"/>
            </w:pPr>
            <w:r>
              <w:t>-</w:t>
            </w:r>
          </w:p>
        </w:tc>
        <w:tc>
          <w:tcPr>
            <w:tcW w:w="2009" w:type="dxa"/>
            <w:shd w:val="clear" w:color="auto" w:fill="auto"/>
          </w:tcPr>
          <w:p w14:paraId="4F01A4B6" w14:textId="77777777" w:rsidR="00613FF1" w:rsidRPr="006E1D9B" w:rsidRDefault="00613FF1" w:rsidP="00591F3A">
            <w:pPr>
              <w:pStyle w:val="08-Tabelageral"/>
            </w:pPr>
            <w:r w:rsidRPr="00ED6F9A">
              <w:t>2</w:t>
            </w:r>
          </w:p>
        </w:tc>
      </w:tr>
      <w:tr w:rsidR="00613FF1" w:rsidRPr="00FB1814" w14:paraId="0A7D0D00" w14:textId="77777777" w:rsidTr="00F5122C">
        <w:trPr>
          <w:trHeight w:val="238"/>
        </w:trPr>
        <w:tc>
          <w:tcPr>
            <w:tcW w:w="4384" w:type="dxa"/>
            <w:tcBorders>
              <w:bottom w:val="single" w:sz="2" w:space="0" w:color="1F4E79" w:themeColor="accent1" w:themeShade="80"/>
            </w:tcBorders>
            <w:shd w:val="clear" w:color="auto" w:fill="auto"/>
            <w:vAlign w:val="center"/>
          </w:tcPr>
          <w:p w14:paraId="0A32135B" w14:textId="77777777" w:rsidR="00613FF1" w:rsidRPr="00FB1814" w:rsidRDefault="00613FF1" w:rsidP="00591F3A">
            <w:pPr>
              <w:pStyle w:val="08-Tabelageral"/>
              <w:jc w:val="left"/>
              <w:rPr>
                <w:rFonts w:cs="Arial"/>
                <w:b/>
                <w:bCs/>
                <w:szCs w:val="14"/>
                <w:lang w:val="en-US"/>
              </w:rPr>
            </w:pPr>
            <w:r w:rsidRPr="00FB1814">
              <w:rPr>
                <w:rFonts w:cs="Arial"/>
                <w:b/>
                <w:lang w:val="en-US"/>
              </w:rPr>
              <w:t>Total</w:t>
            </w:r>
          </w:p>
        </w:tc>
        <w:tc>
          <w:tcPr>
            <w:tcW w:w="856" w:type="dxa"/>
            <w:tcBorders>
              <w:bottom w:val="single" w:sz="2" w:space="0" w:color="1F4E79" w:themeColor="accent1" w:themeShade="80"/>
            </w:tcBorders>
            <w:shd w:val="clear" w:color="auto" w:fill="auto"/>
          </w:tcPr>
          <w:p w14:paraId="3E1D4F4B" w14:textId="77777777" w:rsidR="00613FF1" w:rsidRPr="00FB1814" w:rsidRDefault="00613FF1" w:rsidP="00591F3A">
            <w:pPr>
              <w:pStyle w:val="08-Tabelageral"/>
              <w:rPr>
                <w:b/>
                <w:szCs w:val="14"/>
              </w:rPr>
            </w:pPr>
          </w:p>
        </w:tc>
        <w:tc>
          <w:tcPr>
            <w:tcW w:w="401" w:type="dxa"/>
            <w:tcBorders>
              <w:bottom w:val="single" w:sz="2" w:space="0" w:color="1F4E79" w:themeColor="accent1" w:themeShade="80"/>
            </w:tcBorders>
            <w:shd w:val="clear" w:color="auto" w:fill="auto"/>
          </w:tcPr>
          <w:p w14:paraId="0577C3CC" w14:textId="77777777" w:rsidR="00613FF1" w:rsidRPr="00FB1814" w:rsidRDefault="00613FF1" w:rsidP="00591F3A">
            <w:pPr>
              <w:pStyle w:val="08-Tabelageral"/>
              <w:rPr>
                <w:b/>
                <w:szCs w:val="14"/>
              </w:rPr>
            </w:pPr>
          </w:p>
        </w:tc>
        <w:tc>
          <w:tcPr>
            <w:tcW w:w="2008" w:type="dxa"/>
            <w:tcBorders>
              <w:bottom w:val="single" w:sz="2" w:space="0" w:color="1F4E79" w:themeColor="accent1" w:themeShade="80"/>
            </w:tcBorders>
            <w:shd w:val="clear" w:color="auto" w:fill="auto"/>
          </w:tcPr>
          <w:p w14:paraId="5E9F0A87" w14:textId="77777777" w:rsidR="00613FF1" w:rsidRPr="00FB1814" w:rsidRDefault="00613FF1" w:rsidP="00591F3A">
            <w:pPr>
              <w:pStyle w:val="08-Tabelageral"/>
              <w:rPr>
                <w:b/>
              </w:rPr>
            </w:pPr>
            <w:r>
              <w:rPr>
                <w:b/>
                <w:bCs/>
              </w:rPr>
              <w:t>3,548,020</w:t>
            </w:r>
          </w:p>
        </w:tc>
        <w:tc>
          <w:tcPr>
            <w:tcW w:w="2009" w:type="dxa"/>
            <w:tcBorders>
              <w:bottom w:val="single" w:sz="2" w:space="0" w:color="1F4E79" w:themeColor="accent1" w:themeShade="80"/>
            </w:tcBorders>
            <w:shd w:val="clear" w:color="auto" w:fill="auto"/>
            <w:vAlign w:val="center"/>
          </w:tcPr>
          <w:p w14:paraId="1663B756" w14:textId="77777777" w:rsidR="00613FF1" w:rsidRPr="00FB1814" w:rsidRDefault="00613FF1" w:rsidP="00591F3A">
            <w:pPr>
              <w:pStyle w:val="08-Tabelageral"/>
              <w:rPr>
                <w:b/>
              </w:rPr>
            </w:pPr>
            <w:r w:rsidRPr="00CE4414">
              <w:rPr>
                <w:b/>
                <w:bCs/>
              </w:rPr>
              <w:t>2</w:t>
            </w:r>
            <w:r>
              <w:rPr>
                <w:b/>
                <w:bCs/>
              </w:rPr>
              <w:t>,</w:t>
            </w:r>
            <w:r w:rsidRPr="00CE4414">
              <w:rPr>
                <w:b/>
                <w:bCs/>
              </w:rPr>
              <w:t>967</w:t>
            </w:r>
            <w:r>
              <w:rPr>
                <w:b/>
                <w:bCs/>
              </w:rPr>
              <w:t>,</w:t>
            </w:r>
            <w:r w:rsidRPr="00CE4414">
              <w:rPr>
                <w:b/>
                <w:bCs/>
              </w:rPr>
              <w:t>027</w:t>
            </w:r>
          </w:p>
        </w:tc>
      </w:tr>
    </w:tbl>
    <w:p w14:paraId="7A6879A9" w14:textId="77777777" w:rsidR="00613FF1" w:rsidRPr="006E1D9B" w:rsidRDefault="00613FF1" w:rsidP="006E1D9B">
      <w:pPr>
        <w:keepLines/>
        <w:tabs>
          <w:tab w:val="left" w:pos="284"/>
        </w:tabs>
        <w:spacing w:before="40" w:after="0" w:line="240" w:lineRule="auto"/>
        <w:ind w:left="284" w:hanging="284"/>
        <w:jc w:val="both"/>
        <w:rPr>
          <w:rFonts w:eastAsia="Times New Roman" w:cs="Arial"/>
          <w:spacing w:val="-2"/>
          <w:sz w:val="14"/>
          <w:szCs w:val="14"/>
        </w:rPr>
      </w:pPr>
    </w:p>
    <w:p w14:paraId="15103F3C" w14:textId="77777777" w:rsidR="00613FF1" w:rsidRPr="001E4F71" w:rsidRDefault="00613FF1" w:rsidP="00A07B3F">
      <w:pPr>
        <w:pStyle w:val="07-Legenda"/>
        <w:spacing w:before="120" w:after="120" w:line="276" w:lineRule="auto"/>
        <w:ind w:left="0" w:firstLine="0"/>
        <w:rPr>
          <w:sz w:val="18"/>
          <w:lang w:val="en-US" w:eastAsia="en-US"/>
        </w:rPr>
      </w:pPr>
      <w:r w:rsidRPr="00226C47">
        <w:rPr>
          <w:sz w:val="18"/>
          <w:lang w:val="en-US" w:eastAsia="en-US"/>
        </w:rPr>
        <w:t xml:space="preserve">There are no amount of unearned commissions </w:t>
      </w:r>
      <w:r>
        <w:rPr>
          <w:sz w:val="18"/>
          <w:lang w:val="en-US" w:eastAsia="en-US"/>
        </w:rPr>
        <w:t>i</w:t>
      </w:r>
      <w:r w:rsidRPr="00226C47">
        <w:rPr>
          <w:sz w:val="18"/>
          <w:lang w:val="en-US" w:eastAsia="en-US"/>
        </w:rPr>
        <w:t>n parent</w:t>
      </w:r>
      <w:r w:rsidRPr="001E4F71">
        <w:rPr>
          <w:sz w:val="18"/>
          <w:lang w:val="en-US" w:eastAsia="en-US"/>
        </w:rPr>
        <w:t>.</w:t>
      </w:r>
    </w:p>
    <w:p w14:paraId="55A4DF53" w14:textId="1E53B365" w:rsidR="00FC4475" w:rsidRDefault="00FC4475" w:rsidP="00FC4475">
      <w:pPr>
        <w:pStyle w:val="Ttulo1"/>
      </w:pPr>
    </w:p>
    <w:p w14:paraId="0C208005" w14:textId="77777777" w:rsidR="00FC4475" w:rsidRDefault="00FC4475" w:rsidP="00FC4475">
      <w:pPr>
        <w:pStyle w:val="Ttulo1"/>
      </w:pPr>
    </w:p>
    <w:p w14:paraId="70622950" w14:textId="77777777" w:rsidR="00FC4475" w:rsidRDefault="00FC4475" w:rsidP="00FC4475">
      <w:pPr>
        <w:pStyle w:val="Ttulo1"/>
      </w:pPr>
    </w:p>
    <w:p w14:paraId="75A595B9" w14:textId="77777777" w:rsidR="00FC4475" w:rsidRDefault="00FC4475" w:rsidP="00FC4475">
      <w:pPr>
        <w:pStyle w:val="Ttulo1"/>
      </w:pPr>
    </w:p>
    <w:p w14:paraId="4AFC86E7" w14:textId="77777777" w:rsidR="00FC4475" w:rsidRDefault="00FC4475" w:rsidP="00FC4475">
      <w:pPr>
        <w:pStyle w:val="Ttulo1"/>
      </w:pPr>
    </w:p>
    <w:p w14:paraId="4F5F5F7E" w14:textId="77777777" w:rsidR="00FC4475" w:rsidRDefault="00FC4475" w:rsidP="00FC4475">
      <w:pPr>
        <w:pStyle w:val="Ttulo1"/>
      </w:pPr>
    </w:p>
    <w:p w14:paraId="4ACA782B" w14:textId="77777777" w:rsidR="00FC4475" w:rsidRDefault="00FC4475" w:rsidP="00FC4475">
      <w:pPr>
        <w:pStyle w:val="Ttulo1"/>
      </w:pPr>
    </w:p>
    <w:p w14:paraId="5A7F5580" w14:textId="4361E9D0" w:rsidR="00613FF1" w:rsidRPr="00FC4475" w:rsidRDefault="00613FF1" w:rsidP="00FC4475">
      <w:pPr>
        <w:pStyle w:val="Ttulo1"/>
      </w:pPr>
      <w:bookmarkStart w:id="62" w:name="_Toc126781115"/>
      <w:bookmarkStart w:id="63" w:name="OLE_LINK19"/>
      <w:r w:rsidRPr="00FC4475">
        <w:lastRenderedPageBreak/>
        <w:t>24 – OTHER LIABILITIES</w:t>
      </w:r>
      <w:bookmarkEnd w:id="62"/>
    </w:p>
    <w:p w14:paraId="61FFFE51" w14:textId="77777777" w:rsidR="00613FF1" w:rsidRPr="00FF3D4B" w:rsidRDefault="00613FF1" w:rsidP="003527EA">
      <w:pPr>
        <w:spacing w:after="0" w:line="240" w:lineRule="auto"/>
        <w:jc w:val="right"/>
        <w:rPr>
          <w:rFonts w:cs="Arial"/>
          <w:b/>
          <w:sz w:val="14"/>
          <w:lang w:eastAsia="pt-BR"/>
        </w:rPr>
      </w:pPr>
      <w:r w:rsidRPr="00FF3D4B">
        <w:rPr>
          <w:rFonts w:cs="Arial"/>
          <w:b/>
          <w:sz w:val="14"/>
          <w:lang w:eastAsia="pt-BR"/>
        </w:rPr>
        <w:t xml:space="preserve">R$ </w:t>
      </w:r>
      <w:r>
        <w:rPr>
          <w:rFonts w:cs="Arial"/>
          <w:b/>
          <w:sz w:val="14"/>
          <w:lang w:eastAsia="pt-BR"/>
        </w:rPr>
        <w:t>thousand</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47"/>
        <w:gridCol w:w="595"/>
        <w:gridCol w:w="1399"/>
        <w:gridCol w:w="1400"/>
        <w:gridCol w:w="282"/>
        <w:gridCol w:w="1405"/>
        <w:gridCol w:w="1511"/>
      </w:tblGrid>
      <w:tr w:rsidR="00613FF1" w:rsidRPr="001A1E07" w14:paraId="584CACFD" w14:textId="77777777" w:rsidTr="002D333D">
        <w:trPr>
          <w:trHeight w:hRule="exact" w:val="283"/>
          <w:jc w:val="center"/>
        </w:trPr>
        <w:tc>
          <w:tcPr>
            <w:tcW w:w="3047" w:type="dxa"/>
            <w:tcBorders>
              <w:top w:val="single" w:sz="2" w:space="0" w:color="1F4E79" w:themeColor="accent1" w:themeShade="80"/>
              <w:bottom w:val="nil"/>
            </w:tcBorders>
            <w:shd w:val="clear" w:color="auto" w:fill="auto"/>
          </w:tcPr>
          <w:p w14:paraId="34CC5C11" w14:textId="77777777" w:rsidR="00613FF1" w:rsidRPr="001A1E07" w:rsidRDefault="00613FF1" w:rsidP="001D6BE8">
            <w:pPr>
              <w:spacing w:after="0"/>
              <w:jc w:val="center"/>
              <w:rPr>
                <w:rFonts w:cs="Arial"/>
                <w:b/>
                <w:szCs w:val="18"/>
              </w:rPr>
            </w:pPr>
          </w:p>
        </w:tc>
        <w:tc>
          <w:tcPr>
            <w:tcW w:w="595" w:type="dxa"/>
            <w:tcBorders>
              <w:top w:val="single" w:sz="2" w:space="0" w:color="1F4E79" w:themeColor="accent1" w:themeShade="80"/>
              <w:bottom w:val="nil"/>
            </w:tcBorders>
            <w:shd w:val="clear" w:color="auto" w:fill="auto"/>
          </w:tcPr>
          <w:p w14:paraId="1EF4CE92" w14:textId="77777777" w:rsidR="00613FF1" w:rsidRPr="001A1E07" w:rsidRDefault="00613FF1" w:rsidP="001D6BE8">
            <w:pPr>
              <w:spacing w:after="0"/>
              <w:jc w:val="center"/>
              <w:rPr>
                <w:rFonts w:cs="Arial"/>
                <w:b/>
                <w:szCs w:val="18"/>
              </w:rPr>
            </w:pPr>
          </w:p>
        </w:tc>
        <w:tc>
          <w:tcPr>
            <w:tcW w:w="2799" w:type="dxa"/>
            <w:gridSpan w:val="2"/>
            <w:tcBorders>
              <w:top w:val="single" w:sz="2" w:space="0" w:color="1F4E79" w:themeColor="accent1" w:themeShade="80"/>
              <w:bottom w:val="single" w:sz="2" w:space="0" w:color="1F4E79" w:themeColor="accent1" w:themeShade="80"/>
            </w:tcBorders>
            <w:shd w:val="clear" w:color="auto" w:fill="auto"/>
            <w:vAlign w:val="center"/>
          </w:tcPr>
          <w:p w14:paraId="30A57B13" w14:textId="77777777" w:rsidR="00613FF1" w:rsidRPr="001A1E07" w:rsidRDefault="00613FF1" w:rsidP="00317B78">
            <w:pPr>
              <w:spacing w:after="0"/>
              <w:jc w:val="center"/>
              <w:rPr>
                <w:rFonts w:cs="Arial"/>
                <w:b/>
                <w:sz w:val="14"/>
                <w:szCs w:val="18"/>
              </w:rPr>
            </w:pPr>
            <w:r>
              <w:rPr>
                <w:rFonts w:cs="Arial"/>
                <w:b/>
                <w:sz w:val="14"/>
                <w:szCs w:val="18"/>
              </w:rPr>
              <w:t>Parent</w:t>
            </w:r>
          </w:p>
        </w:tc>
        <w:tc>
          <w:tcPr>
            <w:tcW w:w="282" w:type="dxa"/>
            <w:tcBorders>
              <w:top w:val="single" w:sz="2" w:space="0" w:color="1F4E79" w:themeColor="accent1" w:themeShade="80"/>
              <w:bottom w:val="nil"/>
            </w:tcBorders>
            <w:shd w:val="clear" w:color="auto" w:fill="auto"/>
            <w:vAlign w:val="center"/>
          </w:tcPr>
          <w:p w14:paraId="576F5F0B" w14:textId="77777777" w:rsidR="00613FF1" w:rsidRPr="001A1E07" w:rsidRDefault="00613FF1" w:rsidP="001A1E07">
            <w:pPr>
              <w:spacing w:after="0"/>
              <w:jc w:val="center"/>
              <w:rPr>
                <w:rFonts w:cs="Arial"/>
                <w:b/>
                <w:szCs w:val="18"/>
              </w:rPr>
            </w:pPr>
          </w:p>
        </w:tc>
        <w:tc>
          <w:tcPr>
            <w:tcW w:w="2916" w:type="dxa"/>
            <w:gridSpan w:val="2"/>
            <w:tcBorders>
              <w:top w:val="single" w:sz="2" w:space="0" w:color="1F4E79" w:themeColor="accent1" w:themeShade="80"/>
              <w:bottom w:val="single" w:sz="2" w:space="0" w:color="1F4E79" w:themeColor="accent1" w:themeShade="80"/>
            </w:tcBorders>
            <w:shd w:val="clear" w:color="auto" w:fill="auto"/>
            <w:vAlign w:val="center"/>
          </w:tcPr>
          <w:p w14:paraId="669E0C59" w14:textId="77777777" w:rsidR="00613FF1" w:rsidRPr="001A1E07" w:rsidRDefault="00613FF1" w:rsidP="00317B78">
            <w:pPr>
              <w:spacing w:after="0"/>
              <w:jc w:val="center"/>
              <w:rPr>
                <w:rFonts w:cs="Arial"/>
                <w:b/>
                <w:szCs w:val="18"/>
              </w:rPr>
            </w:pPr>
            <w:r w:rsidRPr="001A1E07">
              <w:rPr>
                <w:rFonts w:cs="Arial"/>
                <w:b/>
                <w:sz w:val="14"/>
                <w:szCs w:val="18"/>
              </w:rPr>
              <w:t>Consolida</w:t>
            </w:r>
            <w:r>
              <w:rPr>
                <w:rFonts w:cs="Arial"/>
                <w:b/>
                <w:sz w:val="14"/>
                <w:szCs w:val="18"/>
              </w:rPr>
              <w:t>ted</w:t>
            </w:r>
          </w:p>
        </w:tc>
      </w:tr>
      <w:tr w:rsidR="00613FF1" w:rsidRPr="001A1E07" w14:paraId="4AB137B2" w14:textId="77777777" w:rsidTr="002D333D">
        <w:trPr>
          <w:trHeight w:hRule="exact" w:val="238"/>
          <w:jc w:val="center"/>
        </w:trPr>
        <w:tc>
          <w:tcPr>
            <w:tcW w:w="3047" w:type="dxa"/>
            <w:tcBorders>
              <w:top w:val="nil"/>
              <w:bottom w:val="single" w:sz="2" w:space="0" w:color="1F4E79" w:themeColor="accent1" w:themeShade="80"/>
            </w:tcBorders>
            <w:shd w:val="clear" w:color="auto" w:fill="auto"/>
          </w:tcPr>
          <w:p w14:paraId="10954D04" w14:textId="77777777" w:rsidR="00613FF1" w:rsidRPr="001A1E07" w:rsidRDefault="00613FF1" w:rsidP="007540FC">
            <w:pPr>
              <w:pStyle w:val="08-Tabelageral"/>
              <w:rPr>
                <w:rFonts w:cs="Arial"/>
                <w:b/>
              </w:rPr>
            </w:pPr>
          </w:p>
        </w:tc>
        <w:tc>
          <w:tcPr>
            <w:tcW w:w="595" w:type="dxa"/>
            <w:tcBorders>
              <w:top w:val="nil"/>
              <w:bottom w:val="single" w:sz="2" w:space="0" w:color="1F4E79" w:themeColor="accent1" w:themeShade="80"/>
            </w:tcBorders>
            <w:shd w:val="clear" w:color="auto" w:fill="auto"/>
          </w:tcPr>
          <w:p w14:paraId="4AB84388" w14:textId="77777777" w:rsidR="00613FF1" w:rsidRPr="001A1E07" w:rsidRDefault="00613FF1" w:rsidP="007540FC">
            <w:pPr>
              <w:pStyle w:val="08-Tabelageral"/>
              <w:rPr>
                <w:rFonts w:cs="Arial"/>
                <w:b/>
              </w:rPr>
            </w:pPr>
          </w:p>
        </w:tc>
        <w:tc>
          <w:tcPr>
            <w:tcW w:w="1399" w:type="dxa"/>
            <w:tcBorders>
              <w:top w:val="single" w:sz="2" w:space="0" w:color="1F4E79" w:themeColor="accent1" w:themeShade="80"/>
              <w:bottom w:val="single" w:sz="2" w:space="0" w:color="1F4E79" w:themeColor="accent1" w:themeShade="80"/>
            </w:tcBorders>
            <w:shd w:val="clear" w:color="auto" w:fill="auto"/>
            <w:vAlign w:val="center"/>
          </w:tcPr>
          <w:p w14:paraId="1A039146" w14:textId="77777777" w:rsidR="00613FF1" w:rsidRPr="0068592A" w:rsidRDefault="00613FF1" w:rsidP="00A4450B">
            <w:pPr>
              <w:pStyle w:val="08-Tabelageral"/>
              <w:rPr>
                <w:rFonts w:cs="Arial"/>
                <w:b/>
              </w:rPr>
            </w:pPr>
            <w:r>
              <w:rPr>
                <w:rFonts w:cs="Arial"/>
                <w:b/>
              </w:rPr>
              <w:t>Dec 31, 2022</w:t>
            </w:r>
          </w:p>
        </w:tc>
        <w:tc>
          <w:tcPr>
            <w:tcW w:w="1400" w:type="dxa"/>
            <w:tcBorders>
              <w:top w:val="single" w:sz="2" w:space="0" w:color="1F4E79" w:themeColor="accent1" w:themeShade="80"/>
              <w:bottom w:val="single" w:sz="2" w:space="0" w:color="1F4E79" w:themeColor="accent1" w:themeShade="80"/>
            </w:tcBorders>
            <w:shd w:val="clear" w:color="auto" w:fill="auto"/>
            <w:vAlign w:val="center"/>
          </w:tcPr>
          <w:p w14:paraId="15E8EE3E" w14:textId="77777777" w:rsidR="00613FF1" w:rsidRPr="0068592A" w:rsidRDefault="00613FF1" w:rsidP="00132EAF">
            <w:pPr>
              <w:pStyle w:val="08-Tabelageral"/>
              <w:rPr>
                <w:rFonts w:cs="Arial"/>
                <w:b/>
              </w:rPr>
            </w:pPr>
            <w:r>
              <w:rPr>
                <w:rFonts w:cs="Arial"/>
                <w:b/>
              </w:rPr>
              <w:t>Dec 31, 2021</w:t>
            </w:r>
          </w:p>
        </w:tc>
        <w:tc>
          <w:tcPr>
            <w:tcW w:w="282" w:type="dxa"/>
            <w:tcBorders>
              <w:bottom w:val="single" w:sz="2" w:space="0" w:color="1F4E79" w:themeColor="accent1" w:themeShade="80"/>
            </w:tcBorders>
            <w:shd w:val="clear" w:color="auto" w:fill="auto"/>
            <w:vAlign w:val="center"/>
          </w:tcPr>
          <w:p w14:paraId="240882C3" w14:textId="77777777" w:rsidR="00613FF1" w:rsidRPr="0068592A" w:rsidRDefault="00613FF1" w:rsidP="007540FC">
            <w:pPr>
              <w:pStyle w:val="08-Tabelageral"/>
              <w:rPr>
                <w:rFonts w:cs="Arial"/>
                <w:b/>
              </w:rPr>
            </w:pPr>
          </w:p>
        </w:tc>
        <w:tc>
          <w:tcPr>
            <w:tcW w:w="1405" w:type="dxa"/>
            <w:tcBorders>
              <w:top w:val="single" w:sz="2" w:space="0" w:color="1F4E79" w:themeColor="accent1" w:themeShade="80"/>
              <w:bottom w:val="single" w:sz="2" w:space="0" w:color="1F4E79" w:themeColor="accent1" w:themeShade="80"/>
            </w:tcBorders>
            <w:shd w:val="clear" w:color="auto" w:fill="auto"/>
            <w:vAlign w:val="center"/>
          </w:tcPr>
          <w:p w14:paraId="758D3C31" w14:textId="77777777" w:rsidR="00613FF1" w:rsidRPr="0068592A" w:rsidRDefault="00613FF1" w:rsidP="00A4450B">
            <w:pPr>
              <w:pStyle w:val="08-Tabelageral"/>
              <w:rPr>
                <w:rFonts w:cs="Arial"/>
                <w:b/>
              </w:rPr>
            </w:pPr>
            <w:r>
              <w:rPr>
                <w:rFonts w:cs="Arial"/>
                <w:b/>
              </w:rPr>
              <w:t>Dec 31, 2022</w:t>
            </w:r>
          </w:p>
        </w:tc>
        <w:tc>
          <w:tcPr>
            <w:tcW w:w="1511" w:type="dxa"/>
            <w:tcBorders>
              <w:top w:val="single" w:sz="2" w:space="0" w:color="1F4E79" w:themeColor="accent1" w:themeShade="80"/>
              <w:bottom w:val="single" w:sz="2" w:space="0" w:color="1F4E79" w:themeColor="accent1" w:themeShade="80"/>
            </w:tcBorders>
            <w:shd w:val="clear" w:color="auto" w:fill="auto"/>
            <w:vAlign w:val="center"/>
          </w:tcPr>
          <w:p w14:paraId="464B1D56" w14:textId="77777777" w:rsidR="00613FF1" w:rsidRPr="0068592A" w:rsidRDefault="00613FF1" w:rsidP="00132EAF">
            <w:pPr>
              <w:pStyle w:val="08-Tabelageral"/>
              <w:rPr>
                <w:rFonts w:cs="Arial"/>
                <w:b/>
              </w:rPr>
            </w:pPr>
            <w:r>
              <w:rPr>
                <w:rFonts w:cs="Arial"/>
                <w:b/>
              </w:rPr>
              <w:t>Dec 31, 2021</w:t>
            </w:r>
          </w:p>
        </w:tc>
      </w:tr>
      <w:tr w:rsidR="00613FF1" w:rsidRPr="001A1E07" w14:paraId="1D4A3673" w14:textId="77777777" w:rsidTr="002D333D">
        <w:trPr>
          <w:trHeight w:val="238"/>
          <w:jc w:val="center"/>
        </w:trPr>
        <w:tc>
          <w:tcPr>
            <w:tcW w:w="3047" w:type="dxa"/>
            <w:tcBorders>
              <w:top w:val="single" w:sz="2" w:space="0" w:color="1F4E79" w:themeColor="accent1" w:themeShade="80"/>
            </w:tcBorders>
            <w:shd w:val="clear" w:color="auto" w:fill="auto"/>
          </w:tcPr>
          <w:p w14:paraId="0BB27E23" w14:textId="77777777" w:rsidR="00613FF1" w:rsidRPr="001A1E07" w:rsidRDefault="00613FF1" w:rsidP="00317B78">
            <w:pPr>
              <w:pStyle w:val="08-Tabelageral"/>
              <w:jc w:val="left"/>
              <w:rPr>
                <w:rFonts w:cs="Arial"/>
                <w:b/>
                <w:bCs/>
                <w:szCs w:val="14"/>
              </w:rPr>
            </w:pPr>
            <w:r>
              <w:rPr>
                <w:rFonts w:cs="Arial"/>
                <w:b/>
                <w:szCs w:val="14"/>
              </w:rPr>
              <w:t>Current Liabilities</w:t>
            </w:r>
          </w:p>
        </w:tc>
        <w:tc>
          <w:tcPr>
            <w:tcW w:w="595" w:type="dxa"/>
            <w:tcBorders>
              <w:top w:val="single" w:sz="2" w:space="0" w:color="1F4E79" w:themeColor="accent1" w:themeShade="80"/>
            </w:tcBorders>
            <w:shd w:val="clear" w:color="auto" w:fill="auto"/>
          </w:tcPr>
          <w:p w14:paraId="599DA95B" w14:textId="77777777" w:rsidR="00613FF1" w:rsidRPr="001A1E07" w:rsidRDefault="00613FF1" w:rsidP="00F52020">
            <w:pPr>
              <w:pStyle w:val="08-Tabelageral"/>
              <w:ind w:left="113"/>
              <w:jc w:val="center"/>
              <w:rPr>
                <w:rFonts w:cs="Arial"/>
                <w:b/>
                <w:szCs w:val="14"/>
              </w:rPr>
            </w:pPr>
          </w:p>
        </w:tc>
        <w:tc>
          <w:tcPr>
            <w:tcW w:w="1399" w:type="dxa"/>
            <w:tcBorders>
              <w:top w:val="single" w:sz="2" w:space="0" w:color="1F4E79" w:themeColor="accent1" w:themeShade="80"/>
            </w:tcBorders>
            <w:shd w:val="clear" w:color="auto" w:fill="auto"/>
            <w:vAlign w:val="center"/>
          </w:tcPr>
          <w:p w14:paraId="1076DB15" w14:textId="77777777" w:rsidR="00613FF1" w:rsidRPr="001A1E07" w:rsidRDefault="00613FF1" w:rsidP="001A1E07">
            <w:pPr>
              <w:pStyle w:val="08-Tabelageral"/>
              <w:ind w:left="113"/>
              <w:rPr>
                <w:rFonts w:cs="Arial"/>
                <w:b/>
                <w:szCs w:val="14"/>
              </w:rPr>
            </w:pPr>
          </w:p>
        </w:tc>
        <w:tc>
          <w:tcPr>
            <w:tcW w:w="1400" w:type="dxa"/>
            <w:tcBorders>
              <w:top w:val="single" w:sz="2" w:space="0" w:color="1F4E79" w:themeColor="accent1" w:themeShade="80"/>
            </w:tcBorders>
            <w:shd w:val="clear" w:color="auto" w:fill="auto"/>
            <w:vAlign w:val="center"/>
          </w:tcPr>
          <w:p w14:paraId="3ABF71FF" w14:textId="77777777" w:rsidR="00613FF1" w:rsidRPr="001A1E07" w:rsidRDefault="00613FF1" w:rsidP="001A1E07">
            <w:pPr>
              <w:pStyle w:val="08-Tabelageral"/>
              <w:ind w:left="113"/>
              <w:rPr>
                <w:rFonts w:cs="Arial"/>
                <w:b/>
                <w:szCs w:val="14"/>
              </w:rPr>
            </w:pPr>
          </w:p>
        </w:tc>
        <w:tc>
          <w:tcPr>
            <w:tcW w:w="282" w:type="dxa"/>
            <w:tcBorders>
              <w:top w:val="single" w:sz="2" w:space="0" w:color="1F4E79" w:themeColor="accent1" w:themeShade="80"/>
            </w:tcBorders>
            <w:shd w:val="clear" w:color="auto" w:fill="auto"/>
            <w:vAlign w:val="center"/>
          </w:tcPr>
          <w:p w14:paraId="5D851468" w14:textId="77777777" w:rsidR="00613FF1" w:rsidRPr="001A1E07" w:rsidRDefault="00613FF1" w:rsidP="001A1E07">
            <w:pPr>
              <w:pStyle w:val="08-Tabelageral"/>
              <w:ind w:left="113"/>
              <w:rPr>
                <w:rFonts w:cs="Arial"/>
                <w:b/>
                <w:szCs w:val="14"/>
              </w:rPr>
            </w:pPr>
          </w:p>
        </w:tc>
        <w:tc>
          <w:tcPr>
            <w:tcW w:w="1405" w:type="dxa"/>
            <w:tcBorders>
              <w:top w:val="single" w:sz="2" w:space="0" w:color="1F4E79" w:themeColor="accent1" w:themeShade="80"/>
            </w:tcBorders>
            <w:shd w:val="clear" w:color="auto" w:fill="auto"/>
            <w:vAlign w:val="center"/>
          </w:tcPr>
          <w:p w14:paraId="556CD2A4" w14:textId="77777777" w:rsidR="00613FF1" w:rsidRPr="001A1E07" w:rsidRDefault="00613FF1" w:rsidP="001A1E07">
            <w:pPr>
              <w:pStyle w:val="08-Tabelageral"/>
              <w:ind w:left="113"/>
              <w:rPr>
                <w:rFonts w:cs="Arial"/>
                <w:b/>
                <w:szCs w:val="14"/>
              </w:rPr>
            </w:pPr>
          </w:p>
        </w:tc>
        <w:tc>
          <w:tcPr>
            <w:tcW w:w="1511" w:type="dxa"/>
            <w:tcBorders>
              <w:top w:val="single" w:sz="2" w:space="0" w:color="1F4E79" w:themeColor="accent1" w:themeShade="80"/>
            </w:tcBorders>
            <w:shd w:val="clear" w:color="auto" w:fill="auto"/>
            <w:vAlign w:val="center"/>
          </w:tcPr>
          <w:p w14:paraId="4AD9B6E4" w14:textId="77777777" w:rsidR="00613FF1" w:rsidRPr="001A1E07" w:rsidRDefault="00613FF1" w:rsidP="001A1E07">
            <w:pPr>
              <w:pStyle w:val="08-Tabelageral"/>
              <w:ind w:left="113"/>
              <w:rPr>
                <w:rFonts w:cs="Arial"/>
                <w:b/>
                <w:szCs w:val="14"/>
              </w:rPr>
            </w:pPr>
          </w:p>
        </w:tc>
      </w:tr>
      <w:tr w:rsidR="00613FF1" w:rsidRPr="001A1E07" w14:paraId="492AD498" w14:textId="77777777" w:rsidTr="002D333D">
        <w:trPr>
          <w:trHeight w:val="238"/>
          <w:jc w:val="center"/>
        </w:trPr>
        <w:tc>
          <w:tcPr>
            <w:tcW w:w="3047" w:type="dxa"/>
            <w:shd w:val="clear" w:color="auto" w:fill="auto"/>
          </w:tcPr>
          <w:p w14:paraId="4317A9A7" w14:textId="77777777" w:rsidR="00613FF1" w:rsidRPr="00194FE1" w:rsidRDefault="00613FF1" w:rsidP="00EC1149">
            <w:pPr>
              <w:pStyle w:val="08-Tabelageral"/>
              <w:ind w:left="113"/>
              <w:jc w:val="left"/>
              <w:rPr>
                <w:rFonts w:cs="Arial"/>
                <w:szCs w:val="14"/>
                <w:vertAlign w:val="superscript"/>
                <w:lang w:val="en-US"/>
              </w:rPr>
            </w:pPr>
            <w:r w:rsidRPr="00194FE1">
              <w:rPr>
                <w:rFonts w:cs="Arial"/>
                <w:szCs w:val="14"/>
                <w:lang w:val="en-US"/>
              </w:rPr>
              <w:t xml:space="preserve">Amounts payable to related companies </w:t>
            </w:r>
            <w:r w:rsidRPr="00194FE1">
              <w:rPr>
                <w:rFonts w:cs="Arial"/>
                <w:szCs w:val="14"/>
                <w:vertAlign w:val="superscript"/>
                <w:lang w:val="en-US"/>
              </w:rPr>
              <w:t>(1)</w:t>
            </w:r>
          </w:p>
        </w:tc>
        <w:tc>
          <w:tcPr>
            <w:tcW w:w="595" w:type="dxa"/>
            <w:shd w:val="clear" w:color="auto" w:fill="auto"/>
          </w:tcPr>
          <w:p w14:paraId="7DD43744" w14:textId="77777777" w:rsidR="00613FF1" w:rsidRPr="00194FE1" w:rsidRDefault="00613FF1" w:rsidP="00EC1149">
            <w:pPr>
              <w:pStyle w:val="08-Tabelageral"/>
              <w:ind w:left="113"/>
              <w:jc w:val="center"/>
              <w:rPr>
                <w:rFonts w:cs="Arial"/>
                <w:szCs w:val="14"/>
                <w:lang w:val="en-US"/>
              </w:rPr>
            </w:pPr>
          </w:p>
        </w:tc>
        <w:tc>
          <w:tcPr>
            <w:tcW w:w="1399" w:type="dxa"/>
            <w:shd w:val="clear" w:color="auto" w:fill="auto"/>
            <w:vAlign w:val="center"/>
          </w:tcPr>
          <w:p w14:paraId="51593678" w14:textId="77777777" w:rsidR="00613FF1" w:rsidRPr="001A1E07" w:rsidRDefault="00613FF1" w:rsidP="00EC1149">
            <w:pPr>
              <w:pStyle w:val="08-Tabelageral"/>
              <w:ind w:left="113"/>
              <w:rPr>
                <w:rFonts w:cs="Arial"/>
                <w:szCs w:val="14"/>
              </w:rPr>
            </w:pPr>
            <w:r>
              <w:rPr>
                <w:rFonts w:cs="Arial"/>
                <w:szCs w:val="14"/>
              </w:rPr>
              <w:t>8,054</w:t>
            </w:r>
          </w:p>
        </w:tc>
        <w:tc>
          <w:tcPr>
            <w:tcW w:w="1400" w:type="dxa"/>
            <w:shd w:val="clear" w:color="auto" w:fill="auto"/>
            <w:vAlign w:val="center"/>
          </w:tcPr>
          <w:p w14:paraId="668B82B7" w14:textId="77777777" w:rsidR="00613FF1" w:rsidRPr="001A1E07" w:rsidRDefault="00613FF1" w:rsidP="00EC1149">
            <w:pPr>
              <w:pStyle w:val="08-Tabelageral"/>
              <w:ind w:left="113"/>
              <w:rPr>
                <w:rFonts w:cs="Arial"/>
                <w:szCs w:val="14"/>
              </w:rPr>
            </w:pPr>
            <w:r>
              <w:rPr>
                <w:rFonts w:cs="Arial"/>
                <w:szCs w:val="14"/>
              </w:rPr>
              <w:t>6,709</w:t>
            </w:r>
          </w:p>
        </w:tc>
        <w:tc>
          <w:tcPr>
            <w:tcW w:w="282" w:type="dxa"/>
            <w:shd w:val="clear" w:color="auto" w:fill="auto"/>
            <w:vAlign w:val="center"/>
          </w:tcPr>
          <w:p w14:paraId="1122A09E" w14:textId="77777777" w:rsidR="00613FF1" w:rsidRPr="001A1E07" w:rsidRDefault="00613FF1" w:rsidP="00EC1149">
            <w:pPr>
              <w:pStyle w:val="08-Tabelageral"/>
              <w:ind w:left="113"/>
              <w:rPr>
                <w:rFonts w:cs="Arial"/>
                <w:szCs w:val="14"/>
              </w:rPr>
            </w:pPr>
          </w:p>
        </w:tc>
        <w:tc>
          <w:tcPr>
            <w:tcW w:w="1405" w:type="dxa"/>
            <w:shd w:val="clear" w:color="auto" w:fill="auto"/>
            <w:vAlign w:val="center"/>
          </w:tcPr>
          <w:p w14:paraId="787883B8" w14:textId="77777777" w:rsidR="00613FF1" w:rsidRPr="001A1E07" w:rsidRDefault="00613FF1" w:rsidP="00EC1149">
            <w:pPr>
              <w:pStyle w:val="08-Tabelageral"/>
              <w:ind w:left="113"/>
              <w:rPr>
                <w:rFonts w:cs="Arial"/>
                <w:szCs w:val="14"/>
              </w:rPr>
            </w:pPr>
            <w:r>
              <w:rPr>
                <w:rFonts w:cs="Arial"/>
                <w:szCs w:val="14"/>
              </w:rPr>
              <w:t>99,353</w:t>
            </w:r>
          </w:p>
        </w:tc>
        <w:tc>
          <w:tcPr>
            <w:tcW w:w="1511" w:type="dxa"/>
            <w:shd w:val="clear" w:color="auto" w:fill="auto"/>
            <w:vAlign w:val="center"/>
          </w:tcPr>
          <w:p w14:paraId="42621E22" w14:textId="77777777" w:rsidR="00613FF1" w:rsidRPr="001A1E07" w:rsidRDefault="00613FF1" w:rsidP="00EC1149">
            <w:pPr>
              <w:pStyle w:val="08-Tabelageral"/>
              <w:ind w:left="113"/>
              <w:rPr>
                <w:rFonts w:cs="Arial"/>
                <w:szCs w:val="14"/>
              </w:rPr>
            </w:pPr>
            <w:r>
              <w:rPr>
                <w:rFonts w:cs="Arial"/>
                <w:szCs w:val="14"/>
              </w:rPr>
              <w:t>222,879</w:t>
            </w:r>
          </w:p>
        </w:tc>
      </w:tr>
      <w:tr w:rsidR="00613FF1" w:rsidRPr="001A1E07" w14:paraId="1F03FCF2" w14:textId="77777777" w:rsidTr="002D333D">
        <w:trPr>
          <w:trHeight w:val="238"/>
          <w:jc w:val="center"/>
        </w:trPr>
        <w:tc>
          <w:tcPr>
            <w:tcW w:w="3047" w:type="dxa"/>
            <w:shd w:val="clear" w:color="auto" w:fill="auto"/>
          </w:tcPr>
          <w:p w14:paraId="0B2AA7AF" w14:textId="77777777" w:rsidR="00613FF1" w:rsidRPr="00194FE1" w:rsidRDefault="00613FF1" w:rsidP="00EC1149">
            <w:pPr>
              <w:pStyle w:val="08-Tabelageral"/>
              <w:ind w:left="113"/>
              <w:jc w:val="left"/>
              <w:rPr>
                <w:rFonts w:cs="Arial"/>
                <w:szCs w:val="14"/>
                <w:lang w:val="en-US"/>
              </w:rPr>
            </w:pPr>
            <w:r w:rsidRPr="00194FE1">
              <w:rPr>
                <w:rFonts w:cs="Arial"/>
                <w:szCs w:val="14"/>
                <w:lang w:val="en-US"/>
              </w:rPr>
              <w:t>Annual variable remuneration program of the Executive Board</w:t>
            </w:r>
          </w:p>
        </w:tc>
        <w:tc>
          <w:tcPr>
            <w:tcW w:w="595" w:type="dxa"/>
            <w:shd w:val="clear" w:color="auto" w:fill="auto"/>
          </w:tcPr>
          <w:p w14:paraId="7E6F9D97" w14:textId="77777777" w:rsidR="00613FF1" w:rsidRPr="00194FE1" w:rsidRDefault="00613FF1" w:rsidP="00EC1149">
            <w:pPr>
              <w:pStyle w:val="08-Tabelageral"/>
              <w:ind w:left="113"/>
              <w:jc w:val="center"/>
              <w:rPr>
                <w:rFonts w:cs="Arial"/>
                <w:szCs w:val="14"/>
                <w:lang w:val="en-US"/>
              </w:rPr>
            </w:pPr>
          </w:p>
        </w:tc>
        <w:tc>
          <w:tcPr>
            <w:tcW w:w="1399" w:type="dxa"/>
            <w:shd w:val="clear" w:color="auto" w:fill="auto"/>
            <w:vAlign w:val="center"/>
          </w:tcPr>
          <w:p w14:paraId="1AFDB2D4" w14:textId="77777777" w:rsidR="00613FF1" w:rsidRPr="001A1E07" w:rsidRDefault="00613FF1" w:rsidP="00EC1149">
            <w:pPr>
              <w:pStyle w:val="08-Tabelageral"/>
              <w:ind w:left="113"/>
              <w:rPr>
                <w:rFonts w:cs="Arial"/>
                <w:szCs w:val="14"/>
              </w:rPr>
            </w:pPr>
            <w:r>
              <w:rPr>
                <w:rFonts w:cs="Arial"/>
                <w:szCs w:val="14"/>
              </w:rPr>
              <w:t>3,929</w:t>
            </w:r>
          </w:p>
        </w:tc>
        <w:tc>
          <w:tcPr>
            <w:tcW w:w="1400" w:type="dxa"/>
            <w:shd w:val="clear" w:color="auto" w:fill="auto"/>
            <w:vAlign w:val="center"/>
          </w:tcPr>
          <w:p w14:paraId="11C223FE" w14:textId="77777777" w:rsidR="00613FF1" w:rsidRPr="001A1E07" w:rsidRDefault="00613FF1" w:rsidP="00EC1149">
            <w:pPr>
              <w:pStyle w:val="08-Tabelageral"/>
              <w:ind w:left="113"/>
              <w:rPr>
                <w:rFonts w:cs="Arial"/>
                <w:szCs w:val="14"/>
              </w:rPr>
            </w:pPr>
            <w:r>
              <w:rPr>
                <w:rFonts w:cs="Arial"/>
                <w:szCs w:val="14"/>
              </w:rPr>
              <w:t>3,433</w:t>
            </w:r>
          </w:p>
        </w:tc>
        <w:tc>
          <w:tcPr>
            <w:tcW w:w="282" w:type="dxa"/>
            <w:shd w:val="clear" w:color="auto" w:fill="auto"/>
            <w:vAlign w:val="center"/>
          </w:tcPr>
          <w:p w14:paraId="5FEB8ADB" w14:textId="77777777" w:rsidR="00613FF1" w:rsidRPr="001A1E07" w:rsidRDefault="00613FF1" w:rsidP="00EC1149">
            <w:pPr>
              <w:pStyle w:val="08-Tabelageral"/>
              <w:ind w:left="113"/>
              <w:rPr>
                <w:rFonts w:cs="Arial"/>
                <w:szCs w:val="14"/>
              </w:rPr>
            </w:pPr>
          </w:p>
        </w:tc>
        <w:tc>
          <w:tcPr>
            <w:tcW w:w="1405" w:type="dxa"/>
            <w:shd w:val="clear" w:color="auto" w:fill="auto"/>
            <w:vAlign w:val="center"/>
          </w:tcPr>
          <w:p w14:paraId="6A3AED9D" w14:textId="77777777" w:rsidR="00613FF1" w:rsidRPr="001A1E07" w:rsidRDefault="00613FF1" w:rsidP="00EC1149">
            <w:pPr>
              <w:pStyle w:val="08-Tabelageral"/>
              <w:ind w:left="113"/>
              <w:rPr>
                <w:rFonts w:cs="Arial"/>
                <w:szCs w:val="14"/>
              </w:rPr>
            </w:pPr>
            <w:r>
              <w:rPr>
                <w:rFonts w:cs="Arial"/>
                <w:szCs w:val="14"/>
              </w:rPr>
              <w:t>3,929</w:t>
            </w:r>
          </w:p>
        </w:tc>
        <w:tc>
          <w:tcPr>
            <w:tcW w:w="1511" w:type="dxa"/>
            <w:shd w:val="clear" w:color="auto" w:fill="auto"/>
            <w:vAlign w:val="center"/>
          </w:tcPr>
          <w:p w14:paraId="71BA9C1D" w14:textId="77777777" w:rsidR="00613FF1" w:rsidRPr="001A1E07" w:rsidRDefault="00613FF1" w:rsidP="00EC1149">
            <w:pPr>
              <w:pStyle w:val="08-Tabelageral"/>
              <w:ind w:left="113"/>
              <w:rPr>
                <w:rFonts w:cs="Arial"/>
                <w:szCs w:val="14"/>
              </w:rPr>
            </w:pPr>
            <w:r>
              <w:rPr>
                <w:rFonts w:cs="Arial"/>
                <w:szCs w:val="14"/>
              </w:rPr>
              <w:t>3,433</w:t>
            </w:r>
          </w:p>
        </w:tc>
      </w:tr>
      <w:tr w:rsidR="00613FF1" w:rsidRPr="001A1E07" w14:paraId="58FDAF74" w14:textId="77777777" w:rsidTr="002D333D">
        <w:trPr>
          <w:trHeight w:val="238"/>
          <w:jc w:val="center"/>
        </w:trPr>
        <w:tc>
          <w:tcPr>
            <w:tcW w:w="3047" w:type="dxa"/>
            <w:shd w:val="clear" w:color="auto" w:fill="auto"/>
          </w:tcPr>
          <w:p w14:paraId="770BA5DB" w14:textId="77777777" w:rsidR="00613FF1" w:rsidRPr="001A1E07" w:rsidRDefault="00613FF1" w:rsidP="00EC1149">
            <w:pPr>
              <w:pStyle w:val="08-Tabelageral"/>
              <w:ind w:left="113"/>
              <w:jc w:val="left"/>
              <w:rPr>
                <w:rFonts w:cs="Arial"/>
                <w:szCs w:val="14"/>
              </w:rPr>
            </w:pPr>
            <w:r w:rsidRPr="00E15D16">
              <w:rPr>
                <w:rFonts w:cs="Arial"/>
                <w:szCs w:val="14"/>
              </w:rPr>
              <w:t>Annual program for results</w:t>
            </w:r>
          </w:p>
        </w:tc>
        <w:tc>
          <w:tcPr>
            <w:tcW w:w="595" w:type="dxa"/>
            <w:shd w:val="clear" w:color="auto" w:fill="auto"/>
          </w:tcPr>
          <w:p w14:paraId="14E6A983" w14:textId="77777777" w:rsidR="00613FF1" w:rsidRPr="001A1E07" w:rsidRDefault="00613FF1" w:rsidP="00EC1149">
            <w:pPr>
              <w:pStyle w:val="08-Tabelageral"/>
              <w:ind w:left="113"/>
              <w:jc w:val="center"/>
              <w:rPr>
                <w:rFonts w:cs="Arial"/>
                <w:szCs w:val="14"/>
              </w:rPr>
            </w:pPr>
          </w:p>
        </w:tc>
        <w:tc>
          <w:tcPr>
            <w:tcW w:w="1399" w:type="dxa"/>
            <w:shd w:val="clear" w:color="auto" w:fill="auto"/>
            <w:vAlign w:val="center"/>
          </w:tcPr>
          <w:p w14:paraId="7001D03E" w14:textId="77777777" w:rsidR="00613FF1" w:rsidRPr="001A1E07" w:rsidRDefault="00613FF1" w:rsidP="00EC1149">
            <w:pPr>
              <w:pStyle w:val="08-Tabelageral"/>
              <w:ind w:left="113"/>
              <w:rPr>
                <w:rFonts w:cs="Arial"/>
                <w:szCs w:val="14"/>
              </w:rPr>
            </w:pPr>
            <w:r>
              <w:rPr>
                <w:rFonts w:cs="Arial"/>
                <w:szCs w:val="14"/>
              </w:rPr>
              <w:t>--</w:t>
            </w:r>
          </w:p>
        </w:tc>
        <w:tc>
          <w:tcPr>
            <w:tcW w:w="1400" w:type="dxa"/>
            <w:shd w:val="clear" w:color="auto" w:fill="auto"/>
            <w:vAlign w:val="center"/>
          </w:tcPr>
          <w:p w14:paraId="109EC992" w14:textId="77777777" w:rsidR="00613FF1" w:rsidRPr="001A1E07" w:rsidRDefault="00613FF1" w:rsidP="00EC1149">
            <w:pPr>
              <w:pStyle w:val="08-Tabelageral"/>
              <w:ind w:left="113"/>
              <w:rPr>
                <w:rFonts w:cs="Arial"/>
                <w:szCs w:val="14"/>
              </w:rPr>
            </w:pPr>
            <w:r>
              <w:rPr>
                <w:rFonts w:cs="Arial"/>
                <w:szCs w:val="14"/>
              </w:rPr>
              <w:t>580</w:t>
            </w:r>
          </w:p>
        </w:tc>
        <w:tc>
          <w:tcPr>
            <w:tcW w:w="282" w:type="dxa"/>
            <w:shd w:val="clear" w:color="auto" w:fill="auto"/>
            <w:vAlign w:val="center"/>
          </w:tcPr>
          <w:p w14:paraId="36A7A102" w14:textId="77777777" w:rsidR="00613FF1" w:rsidRPr="001A1E07" w:rsidRDefault="00613FF1" w:rsidP="00EC1149">
            <w:pPr>
              <w:pStyle w:val="08-Tabelageral"/>
              <w:ind w:left="113"/>
              <w:rPr>
                <w:rFonts w:cs="Arial"/>
                <w:szCs w:val="14"/>
              </w:rPr>
            </w:pPr>
          </w:p>
        </w:tc>
        <w:tc>
          <w:tcPr>
            <w:tcW w:w="1405" w:type="dxa"/>
            <w:shd w:val="clear" w:color="auto" w:fill="auto"/>
            <w:vAlign w:val="center"/>
          </w:tcPr>
          <w:p w14:paraId="57D8A1B1" w14:textId="77777777" w:rsidR="00613FF1" w:rsidRPr="001A1E07" w:rsidRDefault="00613FF1" w:rsidP="00EC1149">
            <w:pPr>
              <w:pStyle w:val="08-Tabelageral"/>
              <w:ind w:left="113"/>
              <w:rPr>
                <w:rFonts w:cs="Arial"/>
                <w:szCs w:val="14"/>
              </w:rPr>
            </w:pPr>
            <w:r>
              <w:rPr>
                <w:rFonts w:cs="Arial"/>
                <w:szCs w:val="14"/>
              </w:rPr>
              <w:t>--</w:t>
            </w:r>
          </w:p>
        </w:tc>
        <w:tc>
          <w:tcPr>
            <w:tcW w:w="1511" w:type="dxa"/>
            <w:shd w:val="clear" w:color="auto" w:fill="auto"/>
            <w:vAlign w:val="center"/>
          </w:tcPr>
          <w:p w14:paraId="2CBFE695" w14:textId="77777777" w:rsidR="00613FF1" w:rsidRPr="001A1E07" w:rsidRDefault="00613FF1" w:rsidP="00EC1149">
            <w:pPr>
              <w:pStyle w:val="08-Tabelageral"/>
              <w:ind w:left="113"/>
              <w:rPr>
                <w:rFonts w:cs="Arial"/>
                <w:szCs w:val="14"/>
              </w:rPr>
            </w:pPr>
            <w:r>
              <w:rPr>
                <w:rFonts w:cs="Arial"/>
                <w:szCs w:val="14"/>
              </w:rPr>
              <w:t>580</w:t>
            </w:r>
          </w:p>
        </w:tc>
      </w:tr>
      <w:tr w:rsidR="00613FF1" w:rsidRPr="001A1E07" w14:paraId="78D55328" w14:textId="77777777" w:rsidTr="002D333D">
        <w:trPr>
          <w:trHeight w:val="238"/>
          <w:jc w:val="center"/>
        </w:trPr>
        <w:tc>
          <w:tcPr>
            <w:tcW w:w="3047" w:type="dxa"/>
            <w:tcBorders>
              <w:bottom w:val="nil"/>
            </w:tcBorders>
            <w:shd w:val="clear" w:color="auto" w:fill="auto"/>
          </w:tcPr>
          <w:p w14:paraId="1740E05E" w14:textId="77777777" w:rsidR="00613FF1" w:rsidRPr="001A1E07" w:rsidRDefault="00613FF1" w:rsidP="00EC1149">
            <w:pPr>
              <w:pStyle w:val="08-Tabelageral"/>
              <w:ind w:left="113"/>
              <w:jc w:val="left"/>
              <w:rPr>
                <w:rFonts w:cs="Arial"/>
                <w:szCs w:val="14"/>
              </w:rPr>
            </w:pPr>
            <w:r>
              <w:rPr>
                <w:rFonts w:cs="Arial"/>
                <w:szCs w:val="14"/>
              </w:rPr>
              <w:t>Other</w:t>
            </w:r>
          </w:p>
        </w:tc>
        <w:tc>
          <w:tcPr>
            <w:tcW w:w="595" w:type="dxa"/>
            <w:tcBorders>
              <w:bottom w:val="nil"/>
            </w:tcBorders>
            <w:shd w:val="clear" w:color="auto" w:fill="auto"/>
          </w:tcPr>
          <w:p w14:paraId="2EEC26DA" w14:textId="77777777" w:rsidR="00613FF1" w:rsidRPr="001A1E07" w:rsidRDefault="00613FF1" w:rsidP="00EC1149">
            <w:pPr>
              <w:pStyle w:val="08-Tabelageral"/>
              <w:ind w:left="113"/>
              <w:jc w:val="center"/>
              <w:rPr>
                <w:rFonts w:cs="Arial"/>
                <w:szCs w:val="14"/>
              </w:rPr>
            </w:pPr>
          </w:p>
        </w:tc>
        <w:tc>
          <w:tcPr>
            <w:tcW w:w="1399" w:type="dxa"/>
            <w:tcBorders>
              <w:bottom w:val="nil"/>
            </w:tcBorders>
            <w:shd w:val="clear" w:color="auto" w:fill="auto"/>
            <w:vAlign w:val="center"/>
          </w:tcPr>
          <w:p w14:paraId="349B5595" w14:textId="77777777" w:rsidR="00613FF1" w:rsidRPr="001A1E07" w:rsidRDefault="00613FF1" w:rsidP="00EC1149">
            <w:pPr>
              <w:pStyle w:val="08-Tabelageral"/>
              <w:ind w:left="113"/>
              <w:rPr>
                <w:rFonts w:cs="Arial"/>
                <w:szCs w:val="14"/>
              </w:rPr>
            </w:pPr>
            <w:r>
              <w:rPr>
                <w:rFonts w:cs="Arial"/>
                <w:szCs w:val="14"/>
              </w:rPr>
              <w:t>201</w:t>
            </w:r>
          </w:p>
        </w:tc>
        <w:tc>
          <w:tcPr>
            <w:tcW w:w="1400" w:type="dxa"/>
            <w:tcBorders>
              <w:bottom w:val="nil"/>
            </w:tcBorders>
            <w:shd w:val="clear" w:color="auto" w:fill="auto"/>
            <w:vAlign w:val="center"/>
          </w:tcPr>
          <w:p w14:paraId="462F0D8B" w14:textId="77777777" w:rsidR="00613FF1" w:rsidRPr="001A1E07" w:rsidRDefault="00613FF1" w:rsidP="00EC1149">
            <w:pPr>
              <w:pStyle w:val="08-Tabelageral"/>
              <w:ind w:left="113"/>
              <w:rPr>
                <w:rFonts w:cs="Arial"/>
                <w:szCs w:val="14"/>
              </w:rPr>
            </w:pPr>
            <w:r>
              <w:rPr>
                <w:rFonts w:cs="Arial"/>
                <w:szCs w:val="14"/>
              </w:rPr>
              <w:t>117</w:t>
            </w:r>
          </w:p>
        </w:tc>
        <w:tc>
          <w:tcPr>
            <w:tcW w:w="282" w:type="dxa"/>
            <w:tcBorders>
              <w:bottom w:val="nil"/>
            </w:tcBorders>
            <w:shd w:val="clear" w:color="auto" w:fill="auto"/>
            <w:vAlign w:val="center"/>
          </w:tcPr>
          <w:p w14:paraId="1627743A" w14:textId="77777777" w:rsidR="00613FF1" w:rsidRPr="001A1E07" w:rsidRDefault="00613FF1" w:rsidP="00EC1149">
            <w:pPr>
              <w:pStyle w:val="08-Tabelageral"/>
              <w:ind w:left="113"/>
              <w:rPr>
                <w:rFonts w:cs="Arial"/>
                <w:szCs w:val="14"/>
              </w:rPr>
            </w:pPr>
          </w:p>
        </w:tc>
        <w:tc>
          <w:tcPr>
            <w:tcW w:w="1405" w:type="dxa"/>
            <w:tcBorders>
              <w:bottom w:val="nil"/>
            </w:tcBorders>
            <w:shd w:val="clear" w:color="auto" w:fill="auto"/>
            <w:vAlign w:val="center"/>
          </w:tcPr>
          <w:p w14:paraId="02A289AD" w14:textId="77777777" w:rsidR="00613FF1" w:rsidRPr="001A1E07" w:rsidRDefault="00613FF1" w:rsidP="00EC1149">
            <w:pPr>
              <w:pStyle w:val="08-Tabelageral"/>
              <w:ind w:left="113"/>
              <w:rPr>
                <w:rFonts w:cs="Arial"/>
                <w:szCs w:val="14"/>
              </w:rPr>
            </w:pPr>
            <w:r>
              <w:rPr>
                <w:rFonts w:cs="Arial"/>
                <w:szCs w:val="14"/>
              </w:rPr>
              <w:t>2,081</w:t>
            </w:r>
          </w:p>
        </w:tc>
        <w:tc>
          <w:tcPr>
            <w:tcW w:w="1511" w:type="dxa"/>
            <w:tcBorders>
              <w:bottom w:val="nil"/>
            </w:tcBorders>
            <w:shd w:val="clear" w:color="auto" w:fill="auto"/>
            <w:vAlign w:val="center"/>
          </w:tcPr>
          <w:p w14:paraId="30885298" w14:textId="77777777" w:rsidR="00613FF1" w:rsidRPr="001A1E07" w:rsidRDefault="00613FF1" w:rsidP="00EC1149">
            <w:pPr>
              <w:pStyle w:val="08-Tabelageral"/>
              <w:ind w:left="113"/>
              <w:rPr>
                <w:rFonts w:cs="Arial"/>
                <w:szCs w:val="14"/>
              </w:rPr>
            </w:pPr>
            <w:r>
              <w:rPr>
                <w:rFonts w:cs="Arial"/>
                <w:szCs w:val="14"/>
              </w:rPr>
              <w:t>696</w:t>
            </w:r>
          </w:p>
        </w:tc>
      </w:tr>
      <w:tr w:rsidR="00613FF1" w:rsidRPr="001A1E07" w14:paraId="56A9625F" w14:textId="77777777" w:rsidTr="002D333D">
        <w:trPr>
          <w:trHeight w:val="238"/>
          <w:jc w:val="center"/>
        </w:trPr>
        <w:tc>
          <w:tcPr>
            <w:tcW w:w="3047" w:type="dxa"/>
            <w:tcBorders>
              <w:top w:val="nil"/>
              <w:bottom w:val="single" w:sz="2" w:space="0" w:color="1F4E79" w:themeColor="accent1" w:themeShade="80"/>
            </w:tcBorders>
            <w:shd w:val="clear" w:color="auto" w:fill="auto"/>
          </w:tcPr>
          <w:p w14:paraId="2AE41061" w14:textId="77777777" w:rsidR="00613FF1" w:rsidRPr="001A1E07" w:rsidRDefault="00613FF1" w:rsidP="00EC1149">
            <w:pPr>
              <w:pStyle w:val="08-Tabelageral"/>
              <w:jc w:val="left"/>
              <w:rPr>
                <w:rFonts w:cs="Arial"/>
                <w:b/>
                <w:szCs w:val="14"/>
              </w:rPr>
            </w:pPr>
            <w:r w:rsidRPr="001A1E07">
              <w:rPr>
                <w:rFonts w:cs="Arial"/>
                <w:b/>
              </w:rPr>
              <w:t xml:space="preserve">Total </w:t>
            </w:r>
          </w:p>
        </w:tc>
        <w:tc>
          <w:tcPr>
            <w:tcW w:w="595" w:type="dxa"/>
            <w:tcBorders>
              <w:top w:val="nil"/>
              <w:bottom w:val="single" w:sz="2" w:space="0" w:color="1F4E79" w:themeColor="accent1" w:themeShade="80"/>
            </w:tcBorders>
            <w:shd w:val="clear" w:color="auto" w:fill="auto"/>
          </w:tcPr>
          <w:p w14:paraId="0A5533FB" w14:textId="77777777" w:rsidR="00613FF1" w:rsidRPr="001A1E07" w:rsidRDefault="00613FF1" w:rsidP="00EC1149">
            <w:pPr>
              <w:pStyle w:val="08-Tabelageral"/>
              <w:jc w:val="center"/>
              <w:rPr>
                <w:rFonts w:cs="Arial"/>
                <w:b/>
                <w:szCs w:val="14"/>
              </w:rPr>
            </w:pPr>
          </w:p>
        </w:tc>
        <w:tc>
          <w:tcPr>
            <w:tcW w:w="1399" w:type="dxa"/>
            <w:tcBorders>
              <w:top w:val="nil"/>
              <w:bottom w:val="single" w:sz="2" w:space="0" w:color="1F4E79" w:themeColor="accent1" w:themeShade="80"/>
            </w:tcBorders>
            <w:shd w:val="clear" w:color="auto" w:fill="auto"/>
            <w:vAlign w:val="center"/>
          </w:tcPr>
          <w:p w14:paraId="01B7D664" w14:textId="77777777" w:rsidR="00613FF1" w:rsidRPr="001A1E07" w:rsidRDefault="00613FF1" w:rsidP="00EC1149">
            <w:pPr>
              <w:pStyle w:val="08-Tabelageral"/>
              <w:rPr>
                <w:rFonts w:cs="Arial"/>
                <w:b/>
                <w:szCs w:val="14"/>
              </w:rPr>
            </w:pPr>
            <w:r>
              <w:rPr>
                <w:rFonts w:cs="Arial"/>
                <w:b/>
                <w:szCs w:val="14"/>
              </w:rPr>
              <w:t>12,184</w:t>
            </w:r>
          </w:p>
        </w:tc>
        <w:tc>
          <w:tcPr>
            <w:tcW w:w="1400" w:type="dxa"/>
            <w:tcBorders>
              <w:top w:val="nil"/>
              <w:bottom w:val="single" w:sz="2" w:space="0" w:color="1F4E79" w:themeColor="accent1" w:themeShade="80"/>
            </w:tcBorders>
            <w:shd w:val="clear" w:color="auto" w:fill="auto"/>
            <w:vAlign w:val="center"/>
          </w:tcPr>
          <w:p w14:paraId="04A86245" w14:textId="77777777" w:rsidR="00613FF1" w:rsidRPr="001A1E07" w:rsidRDefault="00613FF1" w:rsidP="00EC1149">
            <w:pPr>
              <w:pStyle w:val="08-Tabelageral"/>
              <w:rPr>
                <w:rFonts w:cs="Arial"/>
                <w:b/>
                <w:szCs w:val="14"/>
              </w:rPr>
            </w:pPr>
            <w:r>
              <w:rPr>
                <w:rFonts w:cs="Arial"/>
                <w:b/>
                <w:szCs w:val="14"/>
              </w:rPr>
              <w:t>10,839</w:t>
            </w:r>
          </w:p>
        </w:tc>
        <w:tc>
          <w:tcPr>
            <w:tcW w:w="282" w:type="dxa"/>
            <w:tcBorders>
              <w:top w:val="nil"/>
              <w:bottom w:val="single" w:sz="2" w:space="0" w:color="1F4E79" w:themeColor="accent1" w:themeShade="80"/>
            </w:tcBorders>
            <w:shd w:val="clear" w:color="auto" w:fill="auto"/>
            <w:vAlign w:val="center"/>
          </w:tcPr>
          <w:p w14:paraId="4ACE9D6D" w14:textId="77777777" w:rsidR="00613FF1" w:rsidRPr="001A1E07" w:rsidRDefault="00613FF1" w:rsidP="00EC1149">
            <w:pPr>
              <w:pStyle w:val="08-Tabelageral"/>
              <w:rPr>
                <w:rFonts w:cs="Arial"/>
                <w:b/>
                <w:szCs w:val="14"/>
              </w:rPr>
            </w:pPr>
          </w:p>
        </w:tc>
        <w:tc>
          <w:tcPr>
            <w:tcW w:w="1405" w:type="dxa"/>
            <w:tcBorders>
              <w:top w:val="nil"/>
              <w:bottom w:val="single" w:sz="2" w:space="0" w:color="1F4E79" w:themeColor="accent1" w:themeShade="80"/>
            </w:tcBorders>
            <w:shd w:val="clear" w:color="auto" w:fill="auto"/>
            <w:vAlign w:val="center"/>
          </w:tcPr>
          <w:p w14:paraId="737A3D72" w14:textId="77777777" w:rsidR="00613FF1" w:rsidRPr="001A1E07" w:rsidRDefault="00613FF1" w:rsidP="00EC1149">
            <w:pPr>
              <w:pStyle w:val="08-Tabelageral"/>
              <w:rPr>
                <w:rFonts w:cs="Arial"/>
                <w:b/>
                <w:szCs w:val="14"/>
              </w:rPr>
            </w:pPr>
            <w:r>
              <w:rPr>
                <w:rFonts w:cs="Arial"/>
                <w:b/>
                <w:szCs w:val="14"/>
              </w:rPr>
              <w:t>105,363</w:t>
            </w:r>
          </w:p>
        </w:tc>
        <w:tc>
          <w:tcPr>
            <w:tcW w:w="1511" w:type="dxa"/>
            <w:tcBorders>
              <w:top w:val="nil"/>
              <w:bottom w:val="single" w:sz="2" w:space="0" w:color="1F4E79" w:themeColor="accent1" w:themeShade="80"/>
            </w:tcBorders>
            <w:shd w:val="clear" w:color="auto" w:fill="auto"/>
            <w:vAlign w:val="center"/>
          </w:tcPr>
          <w:p w14:paraId="33942DAF" w14:textId="77777777" w:rsidR="00613FF1" w:rsidRPr="001A1E07" w:rsidRDefault="00613FF1" w:rsidP="00EC1149">
            <w:pPr>
              <w:pStyle w:val="08-Tabelageral"/>
              <w:rPr>
                <w:rFonts w:cs="Arial"/>
                <w:b/>
                <w:szCs w:val="14"/>
              </w:rPr>
            </w:pPr>
            <w:r>
              <w:rPr>
                <w:rFonts w:cs="Arial"/>
                <w:b/>
                <w:szCs w:val="14"/>
              </w:rPr>
              <w:t>227,588</w:t>
            </w:r>
          </w:p>
        </w:tc>
      </w:tr>
    </w:tbl>
    <w:bookmarkEnd w:id="63"/>
    <w:p w14:paraId="3B2FC183" w14:textId="77777777" w:rsidR="00613FF1" w:rsidRDefault="00613FF1" w:rsidP="00613FF1">
      <w:pPr>
        <w:pStyle w:val="PargrafodaLista"/>
        <w:numPr>
          <w:ilvl w:val="0"/>
          <w:numId w:val="11"/>
        </w:numPr>
        <w:jc w:val="both"/>
        <w:rPr>
          <w:rFonts w:ascii="Arial" w:hAnsi="Arial" w:cs="Arial"/>
          <w:sz w:val="14"/>
          <w:szCs w:val="14"/>
          <w:lang w:val="en-US"/>
        </w:rPr>
      </w:pPr>
      <w:r w:rsidRPr="00B244B0">
        <w:rPr>
          <w:rFonts w:ascii="Arial" w:hAnsi="Arial" w:cs="Arial"/>
          <w:sz w:val="14"/>
          <w:szCs w:val="14"/>
          <w:lang w:val="en-US"/>
        </w:rPr>
        <w:t>Refers to the apportionment of expenses calculated in accordance with the contract for sharing customer data, use of staff, distribution network and technological and administrative material resources, entered into between Banco do Brasil, BB Seguridade , BB Corretora and BB Seguros. In the Consolidated, it also includes amounts payable, in the amount of R$ 26,878 thousand, referring to the price adjustment mechanism of the assets of Brasilveículos (currently M</w:t>
      </w:r>
      <w:r>
        <w:rPr>
          <w:rFonts w:ascii="Arial" w:hAnsi="Arial" w:cs="Arial"/>
          <w:sz w:val="14"/>
          <w:szCs w:val="14"/>
          <w:lang w:val="en-US"/>
        </w:rPr>
        <w:t>APFRE</w:t>
      </w:r>
      <w:r w:rsidRPr="00B244B0">
        <w:rPr>
          <w:rFonts w:ascii="Arial" w:hAnsi="Arial" w:cs="Arial"/>
          <w:sz w:val="14"/>
          <w:szCs w:val="14"/>
          <w:lang w:val="en-US"/>
        </w:rPr>
        <w:t xml:space="preserve"> Seguros Gerais) sold to MAPFRE Brasil on 11.30.2018 and amounts payable to related companies, arising from of brokerage commissions to be returned. In 2022, consolidated, there was a return of brokerage fees to Brasilprev in the amount of R$ 133,020 thousand, and, as of December/2022, returns are processed automatically, with no need to recognize a provision anymore.</w:t>
      </w:r>
    </w:p>
    <w:p w14:paraId="321F80C1" w14:textId="77777777" w:rsidR="00613FF1" w:rsidRPr="00427E8D" w:rsidRDefault="00613FF1" w:rsidP="00B244B0">
      <w:pPr>
        <w:rPr>
          <w:rFonts w:cs="Arial"/>
          <w:szCs w:val="18"/>
          <w:lang w:val="en-US"/>
        </w:rPr>
      </w:pPr>
      <w:r w:rsidRPr="00427E8D">
        <w:rPr>
          <w:rFonts w:cs="Arial"/>
          <w:szCs w:val="18"/>
          <w:lang w:val="en-US"/>
        </w:rPr>
        <w:t>On 12/29/2022, the 1st Amendment to the Partnership Restructuring Agreement was signed, providing for the elimination of the price adjustment mechanism, effective for three years, renewable successively, starting in 2023.</w:t>
      </w:r>
    </w:p>
    <w:p w14:paraId="7D9B2E7F" w14:textId="77777777" w:rsidR="00613FF1" w:rsidRPr="00057594" w:rsidRDefault="00613FF1" w:rsidP="00B244B0">
      <w:pPr>
        <w:pStyle w:val="PargrafodaLista"/>
        <w:spacing w:before="40" w:after="0" w:line="240" w:lineRule="auto"/>
        <w:ind w:left="284"/>
        <w:jc w:val="both"/>
        <w:rPr>
          <w:rFonts w:ascii="Arial" w:hAnsi="Arial" w:cs="Arial"/>
          <w:sz w:val="14"/>
          <w:szCs w:val="14"/>
          <w:lang w:val="en-US"/>
        </w:rPr>
      </w:pPr>
    </w:p>
    <w:p w14:paraId="60745DA3" w14:textId="7B3BE234" w:rsidR="00613FF1" w:rsidRPr="00E2299D" w:rsidRDefault="00613FF1" w:rsidP="00C209A5">
      <w:pPr>
        <w:pStyle w:val="02-TtulodeNota"/>
        <w:rPr>
          <w:color w:val="1F4E79" w:themeColor="accent1" w:themeShade="80"/>
          <w:lang w:val="en-US"/>
        </w:rPr>
      </w:pPr>
      <w:bookmarkStart w:id="64" w:name="_Toc126781116"/>
      <w:r w:rsidRPr="00E2299D">
        <w:rPr>
          <w:color w:val="1F4E79" w:themeColor="accent1" w:themeShade="80"/>
          <w:lang w:val="en-US"/>
        </w:rPr>
        <w:t>25 – EQUITY</w:t>
      </w:r>
      <w:bookmarkEnd w:id="64"/>
    </w:p>
    <w:p w14:paraId="6B3924CF" w14:textId="77777777" w:rsidR="00613FF1" w:rsidRPr="00E2299D" w:rsidRDefault="00613FF1" w:rsidP="00F55DD0">
      <w:pPr>
        <w:pStyle w:val="01-Textonormal"/>
        <w:rPr>
          <w:b/>
          <w:color w:val="1F4E79" w:themeColor="accent1" w:themeShade="80"/>
          <w:lang w:val="en-US"/>
        </w:rPr>
      </w:pPr>
      <w:r w:rsidRPr="00E2299D">
        <w:rPr>
          <w:b/>
          <w:color w:val="1F4E79" w:themeColor="accent1" w:themeShade="80"/>
          <w:lang w:val="en-US"/>
        </w:rPr>
        <w:t xml:space="preserve">a) Capital </w:t>
      </w:r>
    </w:p>
    <w:p w14:paraId="0A45F6F0" w14:textId="77777777" w:rsidR="00613FF1" w:rsidRPr="00E2299D" w:rsidRDefault="00613FF1" w:rsidP="00B35D98">
      <w:pPr>
        <w:pStyle w:val="05-Textonormal2"/>
        <w:rPr>
          <w:rFonts w:cs="Arial"/>
          <w:lang w:val="en-US"/>
        </w:rPr>
      </w:pPr>
      <w:r w:rsidRPr="00E2299D">
        <w:rPr>
          <w:rFonts w:cs="Arial"/>
          <w:lang w:val="en-US"/>
        </w:rPr>
        <w:t xml:space="preserve">The capital, fully subscribed and paid in,amounted to R$ </w:t>
      </w:r>
      <w:r w:rsidRPr="00E2299D">
        <w:rPr>
          <w:lang w:val="en-US"/>
        </w:rPr>
        <w:t>6,269,692</w:t>
      </w:r>
      <w:r w:rsidRPr="00E2299D">
        <w:rPr>
          <w:rFonts w:cs="Arial"/>
          <w:color w:val="000000"/>
          <w:szCs w:val="14"/>
          <w:lang w:val="en-US"/>
        </w:rPr>
        <w:t xml:space="preserve"> </w:t>
      </w:r>
      <w:r w:rsidRPr="00E2299D">
        <w:rPr>
          <w:rFonts w:cs="Arial"/>
          <w:lang w:val="en-US"/>
        </w:rPr>
        <w:t xml:space="preserve">thousand as of December 31, 2022 ( </w:t>
      </w:r>
      <w:r w:rsidRPr="00E2299D">
        <w:rPr>
          <w:lang w:val="en-US"/>
        </w:rPr>
        <w:t>R$ 3,396,767 thousand of December 31, 2021)</w:t>
      </w:r>
      <w:r w:rsidRPr="00E2299D">
        <w:rPr>
          <w:rFonts w:cs="Arial"/>
          <w:lang w:val="en-US"/>
        </w:rPr>
        <w:t>, it is divided into 2,000,000,000 (two billion) shares, represented in book-entry form and without par value.</w:t>
      </w:r>
    </w:p>
    <w:p w14:paraId="391F11A8" w14:textId="77777777" w:rsidR="00613FF1" w:rsidRPr="00E2299D" w:rsidRDefault="00613FF1" w:rsidP="00B35D98">
      <w:pPr>
        <w:pStyle w:val="05-Textonormal2"/>
        <w:rPr>
          <w:rFonts w:cs="Arial"/>
          <w:lang w:val="en-US"/>
        </w:rPr>
      </w:pPr>
      <w:r w:rsidRPr="00E2299D">
        <w:rPr>
          <w:rFonts w:cs="Arial"/>
          <w:lang w:val="en-US"/>
        </w:rPr>
        <w:t xml:space="preserve">The shareholders’ equity amounted </w:t>
      </w:r>
      <w:r w:rsidRPr="00E2299D">
        <w:rPr>
          <w:lang w:val="en-US"/>
        </w:rPr>
        <w:t>R$ 7,596,101</w:t>
      </w:r>
      <w:r w:rsidRPr="00E2299D">
        <w:rPr>
          <w:rFonts w:cs="Arial"/>
          <w:b/>
          <w:bCs/>
          <w:szCs w:val="14"/>
          <w:lang w:val="en-US"/>
        </w:rPr>
        <w:t xml:space="preserve"> </w:t>
      </w:r>
      <w:r w:rsidRPr="00E2299D">
        <w:rPr>
          <w:lang w:val="en-US"/>
        </w:rPr>
        <w:t xml:space="preserve">mil </w:t>
      </w:r>
      <w:r w:rsidRPr="00E2299D">
        <w:rPr>
          <w:rFonts w:cs="Arial"/>
          <w:lang w:val="en-US"/>
        </w:rPr>
        <w:t xml:space="preserve">thousand in December 31, 2022 (R$ </w:t>
      </w:r>
      <w:r w:rsidRPr="00E2299D">
        <w:rPr>
          <w:lang w:val="en-US"/>
        </w:rPr>
        <w:t xml:space="preserve">7,281,416 </w:t>
      </w:r>
      <w:r w:rsidRPr="00E2299D">
        <w:rPr>
          <w:rFonts w:cs="Arial"/>
          <w:lang w:val="en-US"/>
        </w:rPr>
        <w:t xml:space="preserve">thousand as of December 31, 2021), corresponding a book value per share of R$ </w:t>
      </w:r>
      <w:r w:rsidRPr="00E2299D">
        <w:rPr>
          <w:lang w:val="en-US"/>
        </w:rPr>
        <w:t xml:space="preserve">3.80 </w:t>
      </w:r>
      <w:r w:rsidRPr="00E2299D">
        <w:rPr>
          <w:rFonts w:cs="Arial"/>
          <w:lang w:val="en-US"/>
        </w:rPr>
        <w:t xml:space="preserve">per share in December 31, 2022 (R$ 3.64 per share as of December 31, 2021). </w:t>
      </w:r>
    </w:p>
    <w:p w14:paraId="77F523E8" w14:textId="77777777" w:rsidR="00613FF1" w:rsidRPr="00E2299D" w:rsidRDefault="00613FF1" w:rsidP="00F55DD0">
      <w:pPr>
        <w:pStyle w:val="01-Textonormal"/>
        <w:rPr>
          <w:b/>
          <w:color w:val="1F4E79" w:themeColor="accent1" w:themeShade="80"/>
          <w:lang w:val="en-US"/>
        </w:rPr>
      </w:pPr>
      <w:r w:rsidRPr="00E2299D">
        <w:rPr>
          <w:b/>
          <w:color w:val="1F4E79" w:themeColor="accent1" w:themeShade="80"/>
          <w:lang w:val="en-US"/>
        </w:rPr>
        <w:t xml:space="preserve">b) Capital and Profit Reserves </w:t>
      </w:r>
    </w:p>
    <w:p w14:paraId="126F7F3C" w14:textId="77777777" w:rsidR="00613FF1" w:rsidRPr="009E41F1" w:rsidRDefault="00613FF1" w:rsidP="00BE198A">
      <w:pPr>
        <w:pStyle w:val="06-Rmil"/>
        <w:rPr>
          <w:lang w:val="en-US"/>
        </w:rPr>
      </w:pPr>
      <w:r w:rsidRPr="009E41F1">
        <w:rPr>
          <w:lang w:val="en-US"/>
        </w:rPr>
        <w:t>R$ thousand</w:t>
      </w:r>
    </w:p>
    <w:tbl>
      <w:tblPr>
        <w:tblStyle w:val="TabeladeLista6Colorida-nfase5"/>
        <w:tblW w:w="9639" w:type="dxa"/>
        <w:jc w:val="center"/>
        <w:tblLook w:val="04A0" w:firstRow="1" w:lastRow="0" w:firstColumn="1" w:lastColumn="0" w:noHBand="0" w:noVBand="1"/>
      </w:tblPr>
      <w:tblGrid>
        <w:gridCol w:w="7088"/>
        <w:gridCol w:w="1276"/>
        <w:gridCol w:w="1275"/>
      </w:tblGrid>
      <w:tr w:rsidR="00613FF1" w14:paraId="7535990C" w14:textId="77777777" w:rsidTr="007E09C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7088" w:type="dxa"/>
            <w:tcBorders>
              <w:top w:val="single" w:sz="2" w:space="0" w:color="1F4E79" w:themeColor="accent1" w:themeShade="80"/>
              <w:bottom w:val="nil"/>
            </w:tcBorders>
            <w:shd w:val="clear" w:color="auto" w:fill="auto"/>
            <w:vAlign w:val="center"/>
          </w:tcPr>
          <w:p w14:paraId="5A70CF53" w14:textId="77777777" w:rsidR="00613FF1" w:rsidRPr="00E2299D" w:rsidRDefault="00613FF1" w:rsidP="00884F16">
            <w:pPr>
              <w:jc w:val="center"/>
              <w:rPr>
                <w:rFonts w:cs="Arial"/>
                <w:b w:val="0"/>
                <w:sz w:val="14"/>
                <w:szCs w:val="14"/>
                <w:lang w:val="en-US"/>
              </w:rPr>
            </w:pPr>
          </w:p>
        </w:tc>
        <w:tc>
          <w:tcPr>
            <w:tcW w:w="2551" w:type="dxa"/>
            <w:gridSpan w:val="2"/>
            <w:tcBorders>
              <w:top w:val="single" w:sz="2" w:space="0" w:color="1F4E79" w:themeColor="accent1" w:themeShade="80"/>
              <w:bottom w:val="single" w:sz="2" w:space="0" w:color="1F4E79" w:themeColor="accent1" w:themeShade="80"/>
            </w:tcBorders>
            <w:shd w:val="clear" w:color="auto" w:fill="auto"/>
            <w:vAlign w:val="center"/>
          </w:tcPr>
          <w:p w14:paraId="34CE9BA3" w14:textId="77777777" w:rsidR="00613FF1" w:rsidRPr="007E09C9" w:rsidRDefault="00613FF1" w:rsidP="00884F16">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7E09C9">
              <w:rPr>
                <w:rFonts w:cs="Arial"/>
                <w:sz w:val="14"/>
                <w:szCs w:val="14"/>
                <w:lang w:val="en-US"/>
              </w:rPr>
              <w:t>Parent and Consolidated</w:t>
            </w:r>
          </w:p>
        </w:tc>
      </w:tr>
      <w:tr w:rsidR="00613FF1" w:rsidRPr="001D6BE8" w14:paraId="5EE1ECAB" w14:textId="77777777" w:rsidTr="007E09C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4E79" w:themeColor="accent1" w:themeShade="80"/>
            </w:tcBorders>
            <w:shd w:val="clear" w:color="auto" w:fill="auto"/>
          </w:tcPr>
          <w:p w14:paraId="243D6396" w14:textId="77777777" w:rsidR="00613FF1" w:rsidRPr="007E09C9" w:rsidRDefault="00613FF1" w:rsidP="004935A8">
            <w:pPr>
              <w:pStyle w:val="08-Tabelageral"/>
              <w:rPr>
                <w:rFonts w:cs="Arial"/>
                <w:b w:val="0"/>
                <w:szCs w:val="14"/>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62223FA4" w14:textId="77777777" w:rsidR="00613FF1" w:rsidRPr="007E09C9" w:rsidRDefault="00613FF1" w:rsidP="008E79AB">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 xml:space="preserve">Dec </w:t>
            </w:r>
            <w:r w:rsidRPr="007E09C9">
              <w:rPr>
                <w:rFonts w:cs="Arial"/>
                <w:b/>
                <w:szCs w:val="14"/>
              </w:rPr>
              <w:t>3</w:t>
            </w:r>
            <w:r>
              <w:rPr>
                <w:rFonts w:cs="Arial"/>
                <w:b/>
                <w:szCs w:val="14"/>
              </w:rPr>
              <w:t xml:space="preserve">1, </w:t>
            </w:r>
            <w:r w:rsidRPr="007E09C9">
              <w:rPr>
                <w:rFonts w:cs="Arial"/>
                <w:b/>
                <w:szCs w:val="14"/>
              </w:rPr>
              <w:t>202</w:t>
            </w:r>
            <w:r>
              <w:rPr>
                <w:rFonts w:cs="Arial"/>
                <w:b/>
                <w:szCs w:val="14"/>
              </w:rPr>
              <w:t>2</w:t>
            </w:r>
          </w:p>
        </w:tc>
        <w:tc>
          <w:tcPr>
            <w:tcW w:w="1275" w:type="dxa"/>
            <w:tcBorders>
              <w:top w:val="single" w:sz="2" w:space="0" w:color="1F4E79" w:themeColor="accent1" w:themeShade="80"/>
              <w:bottom w:val="single" w:sz="2" w:space="0" w:color="1F4E79" w:themeColor="accent1" w:themeShade="80"/>
            </w:tcBorders>
            <w:shd w:val="clear" w:color="auto" w:fill="auto"/>
            <w:vAlign w:val="center"/>
          </w:tcPr>
          <w:p w14:paraId="56F061B9" w14:textId="77777777" w:rsidR="00613FF1" w:rsidRPr="007E09C9" w:rsidRDefault="00613FF1" w:rsidP="004B5AB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 xml:space="preserve">Dec </w:t>
            </w:r>
            <w:r w:rsidRPr="007E09C9">
              <w:rPr>
                <w:rFonts w:cs="Arial"/>
                <w:b/>
                <w:szCs w:val="14"/>
              </w:rPr>
              <w:t>3</w:t>
            </w:r>
            <w:r>
              <w:rPr>
                <w:rFonts w:cs="Arial"/>
                <w:b/>
                <w:szCs w:val="14"/>
              </w:rPr>
              <w:t xml:space="preserve">1, </w:t>
            </w:r>
            <w:r w:rsidRPr="007E09C9">
              <w:rPr>
                <w:rFonts w:cs="Arial"/>
                <w:b/>
                <w:szCs w:val="14"/>
              </w:rPr>
              <w:t>2021</w:t>
            </w:r>
          </w:p>
        </w:tc>
      </w:tr>
      <w:tr w:rsidR="00613FF1" w:rsidRPr="002F79A6" w14:paraId="7CE55B73" w14:textId="77777777" w:rsidTr="007E09C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7088" w:type="dxa"/>
            <w:tcBorders>
              <w:top w:val="single" w:sz="2" w:space="0" w:color="1F4E79" w:themeColor="accent1" w:themeShade="80"/>
              <w:bottom w:val="nil"/>
            </w:tcBorders>
            <w:shd w:val="clear" w:color="auto" w:fill="auto"/>
            <w:vAlign w:val="center"/>
          </w:tcPr>
          <w:p w14:paraId="1C413CA2" w14:textId="77777777" w:rsidR="00613FF1" w:rsidRPr="007E09C9" w:rsidRDefault="00613FF1" w:rsidP="008E79AB">
            <w:pPr>
              <w:pStyle w:val="08-Tabelageral"/>
              <w:ind w:left="113" w:hanging="222"/>
              <w:jc w:val="left"/>
              <w:rPr>
                <w:rFonts w:cs="Arial"/>
                <w:szCs w:val="14"/>
              </w:rPr>
            </w:pPr>
            <w:r w:rsidRPr="007E09C9">
              <w:rPr>
                <w:rFonts w:cs="Arial"/>
                <w:szCs w:val="14"/>
              </w:rPr>
              <w:t>Capital Reserves</w:t>
            </w:r>
          </w:p>
        </w:tc>
        <w:tc>
          <w:tcPr>
            <w:tcW w:w="1276" w:type="dxa"/>
            <w:tcBorders>
              <w:top w:val="single" w:sz="2" w:space="0" w:color="1F4E79" w:themeColor="accent1" w:themeShade="80"/>
              <w:bottom w:val="nil"/>
            </w:tcBorders>
            <w:shd w:val="clear" w:color="auto" w:fill="auto"/>
            <w:vAlign w:val="center"/>
          </w:tcPr>
          <w:p w14:paraId="0DBFC488" w14:textId="77777777" w:rsidR="00613FF1" w:rsidRPr="007E09C9" w:rsidRDefault="00613FF1" w:rsidP="008E79AB">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EC1997">
              <w:rPr>
                <w:rFonts w:cs="Arial"/>
                <w:b/>
                <w:bCs/>
                <w:szCs w:val="14"/>
              </w:rPr>
              <w:t>1</w:t>
            </w:r>
            <w:r>
              <w:rPr>
                <w:rFonts w:cs="Arial"/>
                <w:b/>
                <w:bCs/>
                <w:szCs w:val="14"/>
              </w:rPr>
              <w:t>,</w:t>
            </w:r>
            <w:r w:rsidRPr="00EC1997">
              <w:rPr>
                <w:rFonts w:cs="Arial"/>
                <w:b/>
                <w:bCs/>
                <w:szCs w:val="14"/>
              </w:rPr>
              <w:t>571</w:t>
            </w:r>
          </w:p>
        </w:tc>
        <w:tc>
          <w:tcPr>
            <w:tcW w:w="1275" w:type="dxa"/>
            <w:tcBorders>
              <w:top w:val="single" w:sz="2" w:space="0" w:color="1F4E79" w:themeColor="accent1" w:themeShade="80"/>
              <w:bottom w:val="nil"/>
            </w:tcBorders>
            <w:shd w:val="clear" w:color="auto" w:fill="auto"/>
            <w:vAlign w:val="center"/>
          </w:tcPr>
          <w:p w14:paraId="10E3594B" w14:textId="77777777" w:rsidR="00613FF1" w:rsidRPr="007E09C9" w:rsidRDefault="00613FF1" w:rsidP="008E79AB">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7E09C9">
              <w:rPr>
                <w:rFonts w:cs="Arial"/>
                <w:b/>
                <w:szCs w:val="14"/>
              </w:rPr>
              <w:t>1,508</w:t>
            </w:r>
          </w:p>
        </w:tc>
      </w:tr>
      <w:tr w:rsidR="00613FF1" w:rsidRPr="002F79A6" w14:paraId="4463A2BE" w14:textId="77777777" w:rsidTr="007E09C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shd w:val="clear" w:color="auto" w:fill="auto"/>
            <w:vAlign w:val="center"/>
          </w:tcPr>
          <w:p w14:paraId="05F23661" w14:textId="77777777" w:rsidR="00613FF1" w:rsidRPr="007E09C9" w:rsidRDefault="00613FF1" w:rsidP="008E79AB">
            <w:pPr>
              <w:pStyle w:val="08-Tabelageral"/>
              <w:ind w:left="113" w:hanging="222"/>
              <w:jc w:val="left"/>
              <w:rPr>
                <w:rFonts w:cs="Arial"/>
                <w:szCs w:val="14"/>
              </w:rPr>
            </w:pPr>
            <w:r w:rsidRPr="007E09C9">
              <w:rPr>
                <w:rFonts w:cs="Arial"/>
                <w:szCs w:val="14"/>
              </w:rPr>
              <w:t>Profit Reserves</w:t>
            </w:r>
            <w:r>
              <w:rPr>
                <w:rFonts w:cs="Arial"/>
                <w:szCs w:val="14"/>
              </w:rPr>
              <w:t xml:space="preserve"> </w:t>
            </w:r>
            <w:r w:rsidRPr="00F9188E">
              <w:rPr>
                <w:rFonts w:cs="Arial"/>
                <w:szCs w:val="14"/>
                <w:vertAlign w:val="superscript"/>
              </w:rPr>
              <w:t>(1)</w:t>
            </w:r>
          </w:p>
        </w:tc>
        <w:tc>
          <w:tcPr>
            <w:tcW w:w="1276" w:type="dxa"/>
            <w:tcBorders>
              <w:top w:val="nil"/>
              <w:bottom w:val="nil"/>
            </w:tcBorders>
            <w:shd w:val="clear" w:color="auto" w:fill="auto"/>
            <w:vAlign w:val="center"/>
          </w:tcPr>
          <w:p w14:paraId="381CD46C" w14:textId="77777777" w:rsidR="00613FF1" w:rsidRPr="007E09C9" w:rsidRDefault="00613FF1" w:rsidP="008E79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EC1997">
              <w:rPr>
                <w:rFonts w:cs="Arial"/>
                <w:b/>
                <w:szCs w:val="14"/>
              </w:rPr>
              <w:t>1</w:t>
            </w:r>
            <w:r>
              <w:rPr>
                <w:rFonts w:cs="Arial"/>
                <w:b/>
                <w:szCs w:val="14"/>
              </w:rPr>
              <w:t>,</w:t>
            </w:r>
            <w:r w:rsidRPr="00EC1997">
              <w:rPr>
                <w:rFonts w:cs="Arial"/>
                <w:b/>
                <w:szCs w:val="14"/>
              </w:rPr>
              <w:t>552</w:t>
            </w:r>
            <w:r>
              <w:rPr>
                <w:rFonts w:cs="Arial"/>
                <w:b/>
                <w:szCs w:val="14"/>
              </w:rPr>
              <w:t>,</w:t>
            </w:r>
            <w:r w:rsidRPr="00EC1997">
              <w:rPr>
                <w:rFonts w:cs="Arial"/>
                <w:b/>
                <w:szCs w:val="14"/>
              </w:rPr>
              <w:t>229</w:t>
            </w:r>
          </w:p>
        </w:tc>
        <w:tc>
          <w:tcPr>
            <w:tcW w:w="1275" w:type="dxa"/>
            <w:tcBorders>
              <w:top w:val="nil"/>
              <w:bottom w:val="nil"/>
            </w:tcBorders>
            <w:shd w:val="clear" w:color="auto" w:fill="auto"/>
            <w:vAlign w:val="center"/>
          </w:tcPr>
          <w:p w14:paraId="450DFB04" w14:textId="77777777" w:rsidR="00613FF1" w:rsidRPr="007E09C9" w:rsidRDefault="00613FF1" w:rsidP="008E79AB">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4,122,925</w:t>
            </w:r>
          </w:p>
        </w:tc>
      </w:tr>
      <w:tr w:rsidR="00613FF1" w:rsidRPr="001D6BE8" w14:paraId="2A9D0725" w14:textId="77777777" w:rsidTr="007E09C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shd w:val="clear" w:color="auto" w:fill="auto"/>
            <w:vAlign w:val="center"/>
          </w:tcPr>
          <w:p w14:paraId="3D672824" w14:textId="77777777" w:rsidR="00613FF1" w:rsidRPr="007E09C9" w:rsidRDefault="00613FF1" w:rsidP="008E79AB">
            <w:pPr>
              <w:pStyle w:val="08-Tabelageral"/>
              <w:ind w:firstLine="176"/>
              <w:jc w:val="left"/>
              <w:rPr>
                <w:rFonts w:cs="Arial"/>
                <w:b w:val="0"/>
                <w:szCs w:val="14"/>
              </w:rPr>
            </w:pPr>
            <w:r w:rsidRPr="007E09C9">
              <w:rPr>
                <w:rFonts w:cs="Arial"/>
                <w:b w:val="0"/>
                <w:szCs w:val="14"/>
              </w:rPr>
              <w:t>Legal Reserve</w:t>
            </w:r>
          </w:p>
        </w:tc>
        <w:tc>
          <w:tcPr>
            <w:tcW w:w="1276" w:type="dxa"/>
            <w:tcBorders>
              <w:top w:val="nil"/>
              <w:bottom w:val="nil"/>
            </w:tcBorders>
            <w:shd w:val="clear" w:color="auto" w:fill="auto"/>
            <w:vAlign w:val="center"/>
          </w:tcPr>
          <w:p w14:paraId="397BD41B" w14:textId="77777777" w:rsidR="00613FF1" w:rsidRPr="007E09C9" w:rsidRDefault="00613FF1" w:rsidP="008E79AB">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bCs/>
                <w:szCs w:val="14"/>
              </w:rPr>
              <w:t>302,229</w:t>
            </w:r>
          </w:p>
        </w:tc>
        <w:tc>
          <w:tcPr>
            <w:tcW w:w="1275" w:type="dxa"/>
            <w:tcBorders>
              <w:top w:val="nil"/>
              <w:bottom w:val="nil"/>
            </w:tcBorders>
            <w:shd w:val="clear" w:color="auto" w:fill="auto"/>
            <w:vAlign w:val="center"/>
          </w:tcPr>
          <w:p w14:paraId="5E84E048" w14:textId="77777777" w:rsidR="00613FF1" w:rsidRPr="007E09C9" w:rsidRDefault="00613FF1" w:rsidP="008E79AB">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679,354</w:t>
            </w:r>
          </w:p>
        </w:tc>
      </w:tr>
      <w:tr w:rsidR="00613FF1" w:rsidRPr="00EB16D4" w14:paraId="14E38062" w14:textId="77777777" w:rsidTr="007E09C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4E79" w:themeColor="accent1" w:themeShade="80"/>
            </w:tcBorders>
            <w:shd w:val="clear" w:color="auto" w:fill="auto"/>
            <w:vAlign w:val="center"/>
          </w:tcPr>
          <w:p w14:paraId="6527D9E0" w14:textId="77777777" w:rsidR="00613FF1" w:rsidRPr="007E09C9" w:rsidRDefault="00613FF1" w:rsidP="008E79AB">
            <w:pPr>
              <w:pStyle w:val="08-Tabelageral"/>
              <w:ind w:firstLine="176"/>
              <w:jc w:val="left"/>
              <w:rPr>
                <w:rFonts w:cs="Arial"/>
                <w:b w:val="0"/>
                <w:szCs w:val="14"/>
              </w:rPr>
            </w:pPr>
            <w:r w:rsidRPr="007E09C9">
              <w:rPr>
                <w:rFonts w:cs="Arial"/>
                <w:b w:val="0"/>
                <w:szCs w:val="14"/>
              </w:rPr>
              <w:t>Statutory Reserve</w:t>
            </w:r>
          </w:p>
        </w:tc>
        <w:tc>
          <w:tcPr>
            <w:tcW w:w="1276" w:type="dxa"/>
            <w:tcBorders>
              <w:top w:val="nil"/>
              <w:bottom w:val="single" w:sz="2" w:space="0" w:color="1F4E79" w:themeColor="accent1" w:themeShade="80"/>
            </w:tcBorders>
            <w:shd w:val="clear" w:color="auto" w:fill="auto"/>
            <w:vAlign w:val="center"/>
          </w:tcPr>
          <w:p w14:paraId="44DE527F" w14:textId="77777777" w:rsidR="00613FF1" w:rsidRPr="007E09C9" w:rsidRDefault="00613FF1" w:rsidP="008E79AB">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bCs/>
                <w:szCs w:val="14"/>
              </w:rPr>
              <w:t>1,250,000</w:t>
            </w:r>
          </w:p>
        </w:tc>
        <w:tc>
          <w:tcPr>
            <w:tcW w:w="1275" w:type="dxa"/>
            <w:tcBorders>
              <w:top w:val="nil"/>
              <w:bottom w:val="single" w:sz="2" w:space="0" w:color="1F4E79" w:themeColor="accent1" w:themeShade="80"/>
            </w:tcBorders>
            <w:shd w:val="clear" w:color="auto" w:fill="auto"/>
            <w:vAlign w:val="center"/>
          </w:tcPr>
          <w:p w14:paraId="200FB019" w14:textId="77777777" w:rsidR="00613FF1" w:rsidRPr="007E09C9" w:rsidRDefault="00613FF1" w:rsidP="008E79AB">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3,443,571</w:t>
            </w:r>
          </w:p>
        </w:tc>
      </w:tr>
    </w:tbl>
    <w:p w14:paraId="76C0E625" w14:textId="77777777" w:rsidR="00613FF1" w:rsidRPr="00E2299D" w:rsidRDefault="00613FF1" w:rsidP="007F5BEB">
      <w:pPr>
        <w:pStyle w:val="PargrafodaLista"/>
        <w:autoSpaceDE w:val="0"/>
        <w:autoSpaceDN w:val="0"/>
        <w:adjustRightInd w:val="0"/>
        <w:spacing w:after="0" w:line="240" w:lineRule="auto"/>
        <w:ind w:left="284" w:hanging="284"/>
        <w:jc w:val="both"/>
        <w:rPr>
          <w:rFonts w:ascii="Arial" w:eastAsia="Times New Roman" w:hAnsi="Arial" w:cs="Times New Roman"/>
          <w:spacing w:val="-2"/>
          <w:sz w:val="14"/>
          <w:szCs w:val="18"/>
          <w:lang w:val="en-US" w:eastAsia="pt-BR"/>
        </w:rPr>
      </w:pPr>
      <w:r w:rsidRPr="00E2299D">
        <w:rPr>
          <w:rFonts w:ascii="Arial" w:eastAsia="Times New Roman" w:hAnsi="Arial" w:cs="Times New Roman"/>
          <w:spacing w:val="-2"/>
          <w:sz w:val="14"/>
          <w:szCs w:val="18"/>
          <w:lang w:val="en-US" w:eastAsia="pt-BR"/>
        </w:rPr>
        <w:t>(1) The balance of Profit Reserves, on December 31, 2021, exceeded the share capital. At the General Meeting of BB Seguridade, on April 29, 2022, the capitalization of Legal Reserve and Statutory Reserve was approved, in the amounts of R$ 679,354 thousand and R$ 2,193,571 thousand, respectively, to settle the excess.</w:t>
      </w:r>
    </w:p>
    <w:p w14:paraId="614A22A2" w14:textId="77777777" w:rsidR="00613FF1" w:rsidRPr="006C4BB5" w:rsidRDefault="00613FF1" w:rsidP="006C4BB5">
      <w:pPr>
        <w:pStyle w:val="05-Textonormal"/>
        <w:rPr>
          <w:lang w:val="en-US"/>
        </w:rPr>
      </w:pPr>
      <w:r w:rsidRPr="00762DC5">
        <w:rPr>
          <w:lang w:val="en-US"/>
        </w:rPr>
        <w:t xml:space="preserve">The Capital Reserve is made up of the amounts relating to transactions with payment based on shares, as well as the gain </w:t>
      </w:r>
      <w:r>
        <w:rPr>
          <w:lang w:val="en-US"/>
        </w:rPr>
        <w:t>or</w:t>
      </w:r>
      <w:r w:rsidRPr="00762DC5">
        <w:rPr>
          <w:lang w:val="en-US"/>
        </w:rPr>
        <w:t xml:space="preserve"> loss on the sale of treasury shares.</w:t>
      </w:r>
    </w:p>
    <w:p w14:paraId="741F912B" w14:textId="77777777" w:rsidR="00613FF1" w:rsidRPr="00762DC5" w:rsidRDefault="00613FF1" w:rsidP="00762DC5">
      <w:pPr>
        <w:pStyle w:val="03-SubttulodeNota"/>
        <w:keepNext/>
        <w:keepLines/>
        <w:spacing w:before="40"/>
        <w:ind w:left="36"/>
        <w:rPr>
          <w:b w:val="0"/>
          <w:sz w:val="18"/>
          <w:szCs w:val="18"/>
          <w:lang w:val="en-US"/>
        </w:rPr>
      </w:pPr>
      <w:r w:rsidRPr="00762DC5">
        <w:rPr>
          <w:b w:val="0"/>
          <w:sz w:val="18"/>
          <w:szCs w:val="18"/>
          <w:lang w:val="en-US"/>
        </w:rPr>
        <w:t>The purpose of the Legal Reserve is to ensure the integrity of the capital stock and may only be used to offset losses or increase the capital stock. Of the net income for the period, 5% is invested, before any other allocation, in the constitution of the legal reserve, which will not exceed 20% of the share capital and the balance of the legal reserve plus the amounts of capital reserves that will not exceed 30% of the capital stock.</w:t>
      </w:r>
    </w:p>
    <w:p w14:paraId="7A11032C" w14:textId="77777777" w:rsidR="00613FF1" w:rsidRDefault="00613FF1" w:rsidP="001E307D">
      <w:pPr>
        <w:pStyle w:val="01-TtulodeNota"/>
        <w:rPr>
          <w:b w:val="0"/>
          <w:sz w:val="18"/>
          <w:szCs w:val="18"/>
          <w:lang w:val="en-US"/>
        </w:rPr>
      </w:pPr>
      <w:r w:rsidRPr="001E307D">
        <w:rPr>
          <w:b w:val="0"/>
          <w:sz w:val="18"/>
          <w:szCs w:val="18"/>
          <w:lang w:val="en-US"/>
        </w:rPr>
        <w:t xml:space="preserve">The Statutory Reserve for Equalization of Capital Remuneration has the purpose of guaranteeing resources for the payment of dividends, including in the form of interest on own capital or its prepayments, limited to 80% of the capital stock value, being formed with resources: equivalent to up to 50% of the net income for the year and </w:t>
      </w:r>
      <w:r w:rsidRPr="006D2129">
        <w:rPr>
          <w:b w:val="0"/>
          <w:sz w:val="18"/>
          <w:szCs w:val="18"/>
          <w:lang w:val="en-US"/>
        </w:rPr>
        <w:t>arising from the anticipation of dividends.</w:t>
      </w:r>
    </w:p>
    <w:p w14:paraId="79B3A631" w14:textId="77777777" w:rsidR="00613FF1" w:rsidRDefault="00613FF1" w:rsidP="001E307D">
      <w:pPr>
        <w:pStyle w:val="01-TtulodeNota"/>
        <w:rPr>
          <w:b w:val="0"/>
          <w:sz w:val="18"/>
          <w:szCs w:val="18"/>
          <w:lang w:val="en-US"/>
        </w:rPr>
      </w:pPr>
      <w:r w:rsidRPr="001E307D">
        <w:rPr>
          <w:b w:val="0"/>
          <w:sz w:val="18"/>
          <w:szCs w:val="18"/>
          <w:lang w:val="en-US"/>
        </w:rPr>
        <w:t>The Statutory Reserve for Capital Reinforcement aims to guarantee financial means for the operation of the company, including for capital increase in the companies in which it participates as a shareholder and the acquisition of companies covered by Art. 3 of these Bylaws, limited to 80% of the value capital and being formed with resources equivalent to up to 50% of the net profit for the year.</w:t>
      </w:r>
    </w:p>
    <w:p w14:paraId="55B4B665" w14:textId="77777777" w:rsidR="00F12587" w:rsidRPr="001A2EC3" w:rsidRDefault="00F12587" w:rsidP="00F55DD0">
      <w:pPr>
        <w:pStyle w:val="01-Textonormal"/>
        <w:rPr>
          <w:b/>
          <w:color w:val="1F4E79" w:themeColor="accent1" w:themeShade="80"/>
          <w:lang w:val="en-US"/>
        </w:rPr>
      </w:pPr>
    </w:p>
    <w:p w14:paraId="1F0AF601" w14:textId="77777777" w:rsidR="00F12587" w:rsidRPr="001A2EC3" w:rsidRDefault="00F12587" w:rsidP="00F55DD0">
      <w:pPr>
        <w:pStyle w:val="01-Textonormal"/>
        <w:rPr>
          <w:b/>
          <w:color w:val="1F4E79" w:themeColor="accent1" w:themeShade="80"/>
          <w:lang w:val="en-US"/>
        </w:rPr>
      </w:pPr>
    </w:p>
    <w:p w14:paraId="5D600A10" w14:textId="77777777" w:rsidR="00F12587" w:rsidRPr="001A2EC3" w:rsidRDefault="00F12587" w:rsidP="00F55DD0">
      <w:pPr>
        <w:pStyle w:val="01-Textonormal"/>
        <w:rPr>
          <w:b/>
          <w:color w:val="1F4E79" w:themeColor="accent1" w:themeShade="80"/>
          <w:lang w:val="en-US"/>
        </w:rPr>
      </w:pPr>
    </w:p>
    <w:p w14:paraId="62159DDB" w14:textId="77777777" w:rsidR="00F12587" w:rsidRPr="001A2EC3" w:rsidRDefault="00F12587" w:rsidP="00F55DD0">
      <w:pPr>
        <w:pStyle w:val="01-Textonormal"/>
        <w:rPr>
          <w:b/>
          <w:color w:val="1F4E79" w:themeColor="accent1" w:themeShade="80"/>
          <w:lang w:val="en-US"/>
        </w:rPr>
      </w:pPr>
    </w:p>
    <w:p w14:paraId="7BFBA5B3" w14:textId="486EEA0C" w:rsidR="00613FF1" w:rsidRPr="00F55DD0" w:rsidRDefault="00613FF1" w:rsidP="00F55DD0">
      <w:pPr>
        <w:pStyle w:val="01-Textonormal"/>
        <w:rPr>
          <w:rFonts w:cs="Arial"/>
          <w:b/>
          <w:color w:val="1F4E79" w:themeColor="accent1" w:themeShade="80"/>
        </w:rPr>
      </w:pPr>
      <w:r w:rsidRPr="00F55DD0">
        <w:rPr>
          <w:b/>
          <w:color w:val="1F4E79" w:themeColor="accent1" w:themeShade="80"/>
        </w:rPr>
        <w:lastRenderedPageBreak/>
        <w:t>c) Earnings per Share</w:t>
      </w:r>
    </w:p>
    <w:tbl>
      <w:tblPr>
        <w:tblStyle w:val="TabeladeLista6Colorida-nfase5"/>
        <w:tblW w:w="9639" w:type="dxa"/>
        <w:tblLook w:val="04A0" w:firstRow="1" w:lastRow="0" w:firstColumn="1" w:lastColumn="0" w:noHBand="0" w:noVBand="1"/>
      </w:tblPr>
      <w:tblGrid>
        <w:gridCol w:w="6471"/>
        <w:gridCol w:w="1582"/>
        <w:gridCol w:w="1586"/>
      </w:tblGrid>
      <w:tr w:rsidR="00613FF1" w14:paraId="1BB34A93" w14:textId="77777777" w:rsidTr="00F77354">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6471" w:type="dxa"/>
            <w:tcBorders>
              <w:top w:val="single" w:sz="2" w:space="0" w:color="1F4E79" w:themeColor="accent1" w:themeShade="80"/>
              <w:bottom w:val="nil"/>
            </w:tcBorders>
            <w:shd w:val="clear" w:color="auto" w:fill="auto"/>
            <w:vAlign w:val="center"/>
          </w:tcPr>
          <w:p w14:paraId="0010C6A2" w14:textId="77777777" w:rsidR="00613FF1" w:rsidRPr="001D6BE8" w:rsidRDefault="00613FF1" w:rsidP="00884F16">
            <w:pPr>
              <w:jc w:val="center"/>
              <w:rPr>
                <w:rFonts w:cs="Arial"/>
                <w:b w:val="0"/>
                <w:szCs w:val="18"/>
              </w:rPr>
            </w:pPr>
          </w:p>
        </w:tc>
        <w:tc>
          <w:tcPr>
            <w:tcW w:w="3168" w:type="dxa"/>
            <w:gridSpan w:val="2"/>
            <w:tcBorders>
              <w:top w:val="single" w:sz="2" w:space="0" w:color="1F4E79" w:themeColor="accent1" w:themeShade="80"/>
              <w:bottom w:val="single" w:sz="2" w:space="0" w:color="1F4E79" w:themeColor="accent1" w:themeShade="80"/>
            </w:tcBorders>
            <w:shd w:val="clear" w:color="auto" w:fill="auto"/>
            <w:vAlign w:val="center"/>
          </w:tcPr>
          <w:p w14:paraId="1EA0D90B" w14:textId="77777777" w:rsidR="00613FF1" w:rsidRPr="0038031F" w:rsidRDefault="00613FF1" w:rsidP="00884F16">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BE198A">
              <w:rPr>
                <w:rFonts w:cs="Arial"/>
                <w:sz w:val="14"/>
                <w:szCs w:val="14"/>
                <w:lang w:val="en-US"/>
              </w:rPr>
              <w:t>Parent and Consolidated</w:t>
            </w:r>
          </w:p>
        </w:tc>
      </w:tr>
      <w:tr w:rsidR="00613FF1" w:rsidRPr="001D6BE8" w14:paraId="46CC6ED6" w14:textId="77777777" w:rsidTr="00F773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471" w:type="dxa"/>
            <w:tcBorders>
              <w:top w:val="nil"/>
              <w:bottom w:val="single" w:sz="2" w:space="0" w:color="1F4E79" w:themeColor="accent1" w:themeShade="80"/>
            </w:tcBorders>
            <w:shd w:val="clear" w:color="auto" w:fill="auto"/>
          </w:tcPr>
          <w:p w14:paraId="4840A6C5" w14:textId="77777777" w:rsidR="00613FF1" w:rsidRPr="001D6BE8" w:rsidRDefault="00613FF1" w:rsidP="00E441F9">
            <w:pPr>
              <w:pStyle w:val="08-Tabelageral"/>
              <w:rPr>
                <w:rFonts w:cs="Arial"/>
                <w:b w:val="0"/>
              </w:rPr>
            </w:pPr>
          </w:p>
        </w:tc>
        <w:tc>
          <w:tcPr>
            <w:tcW w:w="1582" w:type="dxa"/>
            <w:tcBorders>
              <w:top w:val="single" w:sz="2" w:space="0" w:color="1F4E79" w:themeColor="accent1" w:themeShade="80"/>
              <w:bottom w:val="single" w:sz="2" w:space="0" w:color="1F4E79" w:themeColor="accent1" w:themeShade="80"/>
            </w:tcBorders>
            <w:shd w:val="clear" w:color="auto" w:fill="auto"/>
            <w:vAlign w:val="center"/>
          </w:tcPr>
          <w:p w14:paraId="734AA456" w14:textId="77777777" w:rsidR="00613FF1" w:rsidRPr="008F5291" w:rsidRDefault="00613FF1" w:rsidP="00E441F9">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bCs/>
                <w:szCs w:val="14"/>
              </w:rPr>
              <w:t>2022</w:t>
            </w:r>
          </w:p>
        </w:tc>
        <w:tc>
          <w:tcPr>
            <w:tcW w:w="1586" w:type="dxa"/>
            <w:tcBorders>
              <w:top w:val="single" w:sz="2" w:space="0" w:color="1F4E79" w:themeColor="accent1" w:themeShade="80"/>
              <w:bottom w:val="single" w:sz="2" w:space="0" w:color="1F4E79" w:themeColor="accent1" w:themeShade="80"/>
            </w:tcBorders>
            <w:shd w:val="clear" w:color="auto" w:fill="auto"/>
            <w:vAlign w:val="center"/>
          </w:tcPr>
          <w:p w14:paraId="118F701B" w14:textId="77777777" w:rsidR="00613FF1" w:rsidRPr="00EE2F15" w:rsidRDefault="00613FF1" w:rsidP="00E441F9">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szCs w:val="14"/>
              </w:rPr>
              <w:t>2021</w:t>
            </w:r>
          </w:p>
        </w:tc>
      </w:tr>
      <w:tr w:rsidR="00613FF1" w:rsidRPr="002F79A6" w14:paraId="6BDC7C14" w14:textId="77777777" w:rsidTr="00F77354">
        <w:trPr>
          <w:trHeight w:hRule="exact" w:val="238"/>
        </w:trPr>
        <w:tc>
          <w:tcPr>
            <w:cnfStyle w:val="001000000000" w:firstRow="0" w:lastRow="0" w:firstColumn="1" w:lastColumn="0" w:oddVBand="0" w:evenVBand="0" w:oddHBand="0" w:evenHBand="0" w:firstRowFirstColumn="0" w:firstRowLastColumn="0" w:lastRowFirstColumn="0" w:lastRowLastColumn="0"/>
            <w:tcW w:w="6471" w:type="dxa"/>
            <w:tcBorders>
              <w:top w:val="single" w:sz="2" w:space="0" w:color="1F4E79" w:themeColor="accent1" w:themeShade="80"/>
              <w:bottom w:val="nil"/>
            </w:tcBorders>
            <w:shd w:val="clear" w:color="auto" w:fill="auto"/>
            <w:vAlign w:val="center"/>
          </w:tcPr>
          <w:p w14:paraId="2BC4D5F8" w14:textId="77777777" w:rsidR="00613FF1" w:rsidRPr="00BE198A" w:rsidRDefault="00613FF1" w:rsidP="008E79AB">
            <w:pPr>
              <w:pStyle w:val="08-Tabelageral"/>
              <w:jc w:val="left"/>
              <w:rPr>
                <w:b w:val="0"/>
                <w:bCs w:val="0"/>
                <w:color w:val="auto"/>
                <w:lang w:val="en-US"/>
              </w:rPr>
            </w:pPr>
            <w:r w:rsidRPr="00BE198A">
              <w:rPr>
                <w:b w:val="0"/>
                <w:bCs w:val="0"/>
                <w:color w:val="auto"/>
                <w:lang w:val="en-US"/>
              </w:rPr>
              <w:t>Net income attributable to shareholders of the Bank (R$ thousand)</w:t>
            </w:r>
          </w:p>
        </w:tc>
        <w:tc>
          <w:tcPr>
            <w:tcW w:w="1582" w:type="dxa"/>
            <w:tcBorders>
              <w:top w:val="single" w:sz="2" w:space="0" w:color="1F4E79" w:themeColor="accent1" w:themeShade="80"/>
              <w:bottom w:val="nil"/>
            </w:tcBorders>
            <w:shd w:val="clear" w:color="auto" w:fill="auto"/>
            <w:vAlign w:val="center"/>
          </w:tcPr>
          <w:p w14:paraId="395156D9" w14:textId="77777777" w:rsidR="00613FF1" w:rsidRPr="006221E1" w:rsidRDefault="00613FF1" w:rsidP="008E79AB">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bCs/>
              </w:rPr>
              <w:t>6,044,571</w:t>
            </w:r>
          </w:p>
        </w:tc>
        <w:tc>
          <w:tcPr>
            <w:tcW w:w="1586" w:type="dxa"/>
            <w:tcBorders>
              <w:top w:val="single" w:sz="2" w:space="0" w:color="1F4E79" w:themeColor="accent1" w:themeShade="80"/>
              <w:bottom w:val="nil"/>
            </w:tcBorders>
            <w:shd w:val="clear" w:color="auto" w:fill="auto"/>
            <w:vAlign w:val="center"/>
          </w:tcPr>
          <w:p w14:paraId="007D8ED0" w14:textId="77777777" w:rsidR="00613FF1" w:rsidRPr="00831BF4" w:rsidRDefault="00613FF1" w:rsidP="008E79AB">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bCs/>
              </w:rPr>
              <w:t>3,933,217</w:t>
            </w:r>
          </w:p>
        </w:tc>
      </w:tr>
      <w:tr w:rsidR="00613FF1" w:rsidRPr="002F79A6" w14:paraId="3E11A9B6" w14:textId="77777777" w:rsidTr="007919FC">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471" w:type="dxa"/>
            <w:tcBorders>
              <w:top w:val="nil"/>
              <w:bottom w:val="nil"/>
            </w:tcBorders>
            <w:shd w:val="clear" w:color="auto" w:fill="auto"/>
            <w:vAlign w:val="center"/>
          </w:tcPr>
          <w:p w14:paraId="04910627" w14:textId="77777777" w:rsidR="00613FF1" w:rsidRPr="00BE198A" w:rsidRDefault="00613FF1" w:rsidP="008E79AB">
            <w:pPr>
              <w:rPr>
                <w:rFonts w:eastAsia="Times New Roman" w:cs="Times New Roman"/>
                <w:b w:val="0"/>
                <w:bCs w:val="0"/>
                <w:color w:val="auto"/>
                <w:spacing w:val="-2"/>
                <w:sz w:val="14"/>
                <w:szCs w:val="18"/>
                <w:lang w:val="en-US" w:eastAsia="pt-BR"/>
              </w:rPr>
            </w:pPr>
            <w:r w:rsidRPr="00BE198A">
              <w:rPr>
                <w:rFonts w:eastAsia="Times New Roman" w:cs="Times New Roman"/>
                <w:b w:val="0"/>
                <w:bCs w:val="0"/>
                <w:color w:val="auto"/>
                <w:spacing w:val="-2"/>
                <w:sz w:val="14"/>
                <w:szCs w:val="18"/>
                <w:lang w:val="en-US" w:eastAsia="pt-BR"/>
              </w:rPr>
              <w:t>Weighted average of ordinary and dilutive potencial ordinary shares outstanding</w:t>
            </w:r>
          </w:p>
        </w:tc>
        <w:tc>
          <w:tcPr>
            <w:tcW w:w="1582" w:type="dxa"/>
            <w:tcBorders>
              <w:top w:val="nil"/>
              <w:bottom w:val="nil"/>
            </w:tcBorders>
            <w:shd w:val="clear" w:color="auto" w:fill="auto"/>
          </w:tcPr>
          <w:p w14:paraId="4AA5C0FD" w14:textId="77777777" w:rsidR="00613FF1" w:rsidRPr="006221E1" w:rsidRDefault="00613FF1" w:rsidP="008E79AB">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E2299D">
              <w:rPr>
                <w:rFonts w:cs="Arial"/>
                <w:szCs w:val="14"/>
                <w:lang w:val="en-US" w:eastAsia="en-US"/>
              </w:rPr>
              <w:t xml:space="preserve">        </w:t>
            </w:r>
            <w:r w:rsidRPr="00597C80">
              <w:rPr>
                <w:rFonts w:cs="Arial"/>
                <w:szCs w:val="14"/>
                <w:lang w:eastAsia="en-US"/>
              </w:rPr>
              <w:t>1</w:t>
            </w:r>
            <w:r>
              <w:rPr>
                <w:rFonts w:cs="Arial"/>
                <w:szCs w:val="14"/>
                <w:lang w:eastAsia="en-US"/>
              </w:rPr>
              <w:t>,</w:t>
            </w:r>
            <w:r w:rsidRPr="00597C80">
              <w:rPr>
                <w:rFonts w:cs="Arial"/>
                <w:szCs w:val="14"/>
                <w:lang w:eastAsia="en-US"/>
              </w:rPr>
              <w:t>996</w:t>
            </w:r>
            <w:r>
              <w:rPr>
                <w:rFonts w:cs="Arial"/>
                <w:szCs w:val="14"/>
                <w:lang w:eastAsia="en-US"/>
              </w:rPr>
              <w:t>,</w:t>
            </w:r>
            <w:r w:rsidRPr="00597C80">
              <w:rPr>
                <w:rFonts w:cs="Arial"/>
                <w:szCs w:val="14"/>
                <w:lang w:eastAsia="en-US"/>
              </w:rPr>
              <w:t>713</w:t>
            </w:r>
            <w:r>
              <w:rPr>
                <w:rFonts w:cs="Arial"/>
                <w:szCs w:val="14"/>
                <w:lang w:eastAsia="en-US"/>
              </w:rPr>
              <w:t>,</w:t>
            </w:r>
            <w:r w:rsidRPr="00597C80">
              <w:rPr>
                <w:rFonts w:cs="Arial"/>
                <w:szCs w:val="14"/>
                <w:lang w:eastAsia="en-US"/>
              </w:rPr>
              <w:t>502</w:t>
            </w:r>
          </w:p>
        </w:tc>
        <w:tc>
          <w:tcPr>
            <w:tcW w:w="1586" w:type="dxa"/>
            <w:tcBorders>
              <w:top w:val="nil"/>
              <w:bottom w:val="nil"/>
            </w:tcBorders>
            <w:shd w:val="clear" w:color="auto" w:fill="auto"/>
          </w:tcPr>
          <w:p w14:paraId="53E973F0" w14:textId="77777777" w:rsidR="00613FF1" w:rsidRPr="00831BF4" w:rsidRDefault="00613FF1" w:rsidP="008E79AB">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8646BC">
              <w:rPr>
                <w:rFonts w:cs="Arial"/>
                <w:szCs w:val="14"/>
                <w:lang w:eastAsia="en-US"/>
              </w:rPr>
              <w:t xml:space="preserve">        1</w:t>
            </w:r>
            <w:r>
              <w:rPr>
                <w:rFonts w:cs="Arial"/>
                <w:szCs w:val="14"/>
                <w:lang w:eastAsia="en-US"/>
              </w:rPr>
              <w:t>,</w:t>
            </w:r>
            <w:r w:rsidRPr="008646BC">
              <w:rPr>
                <w:rFonts w:cs="Arial"/>
                <w:szCs w:val="14"/>
                <w:lang w:eastAsia="en-US"/>
              </w:rPr>
              <w:t>996</w:t>
            </w:r>
            <w:r>
              <w:rPr>
                <w:rFonts w:cs="Arial"/>
                <w:szCs w:val="14"/>
                <w:lang w:eastAsia="en-US"/>
              </w:rPr>
              <w:t>,</w:t>
            </w:r>
            <w:r w:rsidRPr="008646BC">
              <w:rPr>
                <w:rFonts w:cs="Arial"/>
                <w:szCs w:val="14"/>
                <w:lang w:eastAsia="en-US"/>
              </w:rPr>
              <w:t>672</w:t>
            </w:r>
            <w:r>
              <w:rPr>
                <w:rFonts w:cs="Arial"/>
                <w:szCs w:val="14"/>
                <w:lang w:eastAsia="en-US"/>
              </w:rPr>
              <w:t>,</w:t>
            </w:r>
            <w:r w:rsidRPr="008646BC">
              <w:rPr>
                <w:rFonts w:cs="Arial"/>
                <w:szCs w:val="14"/>
                <w:lang w:eastAsia="en-US"/>
              </w:rPr>
              <w:t>230</w:t>
            </w:r>
          </w:p>
        </w:tc>
      </w:tr>
      <w:tr w:rsidR="00613FF1" w:rsidRPr="00EB16D4" w14:paraId="2982C87F" w14:textId="77777777" w:rsidTr="00604F64">
        <w:trPr>
          <w:trHeight w:hRule="exact" w:val="238"/>
        </w:trPr>
        <w:tc>
          <w:tcPr>
            <w:cnfStyle w:val="001000000000" w:firstRow="0" w:lastRow="0" w:firstColumn="1" w:lastColumn="0" w:oddVBand="0" w:evenVBand="0" w:oddHBand="0" w:evenHBand="0" w:firstRowFirstColumn="0" w:firstRowLastColumn="0" w:lastRowFirstColumn="0" w:lastRowLastColumn="0"/>
            <w:tcW w:w="6471" w:type="dxa"/>
            <w:tcBorders>
              <w:top w:val="nil"/>
              <w:bottom w:val="single" w:sz="2" w:space="0" w:color="1F4E79" w:themeColor="accent1" w:themeShade="80"/>
            </w:tcBorders>
            <w:shd w:val="clear" w:color="auto" w:fill="auto"/>
            <w:vAlign w:val="center"/>
          </w:tcPr>
          <w:p w14:paraId="46A877B2" w14:textId="77777777" w:rsidR="00613FF1" w:rsidRPr="00BE198A" w:rsidRDefault="00613FF1" w:rsidP="008E79AB">
            <w:pPr>
              <w:rPr>
                <w:rFonts w:eastAsia="Times New Roman" w:cs="Times New Roman"/>
                <w:b w:val="0"/>
                <w:bCs w:val="0"/>
                <w:color w:val="auto"/>
                <w:spacing w:val="-2"/>
                <w:sz w:val="14"/>
                <w:szCs w:val="18"/>
                <w:lang w:val="en-US" w:eastAsia="pt-BR"/>
              </w:rPr>
            </w:pPr>
            <w:r w:rsidRPr="00BE198A">
              <w:rPr>
                <w:rFonts w:eastAsia="Times New Roman" w:cs="Times New Roman"/>
                <w:b w:val="0"/>
                <w:bCs w:val="0"/>
                <w:color w:val="auto"/>
                <w:spacing w:val="-2"/>
                <w:sz w:val="14"/>
                <w:szCs w:val="18"/>
                <w:lang w:val="en-US" w:eastAsia="pt-BR"/>
              </w:rPr>
              <w:t>Earnings per share – basic and diluted (R$)</w:t>
            </w:r>
          </w:p>
        </w:tc>
        <w:tc>
          <w:tcPr>
            <w:tcW w:w="1582" w:type="dxa"/>
            <w:tcBorders>
              <w:top w:val="nil"/>
              <w:bottom w:val="single" w:sz="2" w:space="0" w:color="1F4E79" w:themeColor="accent1" w:themeShade="80"/>
            </w:tcBorders>
            <w:shd w:val="clear" w:color="auto" w:fill="auto"/>
          </w:tcPr>
          <w:p w14:paraId="4804B391" w14:textId="77777777" w:rsidR="00613FF1" w:rsidRPr="006221E1" w:rsidRDefault="00613FF1" w:rsidP="008E79AB">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3.</w:t>
            </w:r>
            <w:r w:rsidRPr="008E79AB">
              <w:rPr>
                <w:rFonts w:cs="Arial"/>
                <w:szCs w:val="14"/>
              </w:rPr>
              <w:t>03</w:t>
            </w:r>
          </w:p>
        </w:tc>
        <w:tc>
          <w:tcPr>
            <w:tcW w:w="1586" w:type="dxa"/>
            <w:tcBorders>
              <w:top w:val="nil"/>
              <w:bottom w:val="single" w:sz="2" w:space="0" w:color="1F4E79" w:themeColor="accent1" w:themeShade="80"/>
            </w:tcBorders>
            <w:shd w:val="clear" w:color="auto" w:fill="auto"/>
          </w:tcPr>
          <w:p w14:paraId="77699B96" w14:textId="77777777" w:rsidR="00613FF1" w:rsidRPr="00831BF4" w:rsidRDefault="00613FF1" w:rsidP="008E79AB">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1.97</w:t>
            </w:r>
          </w:p>
        </w:tc>
      </w:tr>
    </w:tbl>
    <w:p w14:paraId="1952857C" w14:textId="77777777" w:rsidR="00613FF1" w:rsidRPr="002610C9" w:rsidRDefault="00613FF1" w:rsidP="00BE198A">
      <w:pPr>
        <w:pStyle w:val="05-Textonormal"/>
        <w:rPr>
          <w:lang w:val="en-US"/>
        </w:rPr>
      </w:pPr>
      <w:r w:rsidRPr="002610C9">
        <w:rPr>
          <w:lang w:val="en-US"/>
        </w:rPr>
        <w:t>The basic earnings per share</w:t>
      </w:r>
      <w:r w:rsidRPr="00D21457">
        <w:rPr>
          <w:lang w:val="en-US"/>
        </w:rPr>
        <w:t xml:space="preserve"> </w:t>
      </w:r>
      <w:r w:rsidRPr="002610C9">
        <w:rPr>
          <w:lang w:val="en-US"/>
        </w:rPr>
        <w:t>is calculated by dividing net income attributable to shareholders of the B</w:t>
      </w:r>
      <w:r>
        <w:rPr>
          <w:lang w:val="en-US"/>
        </w:rPr>
        <w:t>B Seguridade</w:t>
      </w:r>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in each of the periods presented. </w:t>
      </w:r>
    </w:p>
    <w:p w14:paraId="0DD79541" w14:textId="77777777" w:rsidR="00613FF1" w:rsidRPr="002610C9" w:rsidRDefault="00613FF1" w:rsidP="00BE198A">
      <w:pPr>
        <w:pStyle w:val="05-Textonormal"/>
        <w:rPr>
          <w:lang w:val="en-US"/>
        </w:rPr>
      </w:pPr>
      <w:r w:rsidRPr="002610C9">
        <w:rPr>
          <w:lang w:val="en-US"/>
        </w:rPr>
        <w:t>The diluted earnings per share</w:t>
      </w:r>
      <w:r w:rsidRPr="00D21457">
        <w:rPr>
          <w:lang w:val="en-US"/>
        </w:rPr>
        <w:t xml:space="preserve"> </w:t>
      </w:r>
      <w:r w:rsidRPr="002610C9">
        <w:rPr>
          <w:lang w:val="en-US"/>
        </w:rPr>
        <w:t>is calculated by dividing net income attributable to shareholders of the B</w:t>
      </w:r>
      <w:r>
        <w:rPr>
          <w:lang w:val="en-US"/>
        </w:rPr>
        <w:t>B Seguridade</w:t>
      </w:r>
      <w:r w:rsidRPr="002610C9">
        <w:rPr>
          <w:lang w:val="en-US"/>
        </w:rPr>
        <w:t xml:space="preserve"> by the weighted average number of common shares outstanding</w:t>
      </w:r>
      <w:r>
        <w:rPr>
          <w:lang w:val="en-US"/>
        </w:rPr>
        <w:t xml:space="preserve"> (</w:t>
      </w:r>
      <w:r w:rsidRPr="00E311FA">
        <w:rPr>
          <w:lang w:val="en-US"/>
        </w:rPr>
        <w:t>not considered treasury shares</w:t>
      </w:r>
      <w:r>
        <w:rPr>
          <w:lang w:val="en-US"/>
        </w:rPr>
        <w:t>)</w:t>
      </w:r>
      <w:r w:rsidRPr="002610C9">
        <w:rPr>
          <w:lang w:val="en-US"/>
        </w:rPr>
        <w:t xml:space="preserve">, </w:t>
      </w:r>
      <w:r>
        <w:rPr>
          <w:lang w:val="en-US"/>
        </w:rPr>
        <w:t>includ</w:t>
      </w:r>
      <w:r w:rsidRPr="002610C9">
        <w:rPr>
          <w:lang w:val="en-US"/>
        </w:rPr>
        <w:t xml:space="preserve">ing the effect of all dilutive potential ordinary shares. </w:t>
      </w:r>
    </w:p>
    <w:p w14:paraId="2285A2BA" w14:textId="77777777" w:rsidR="00613FF1" w:rsidRPr="002610C9" w:rsidRDefault="00613FF1" w:rsidP="00BE198A">
      <w:pPr>
        <w:pStyle w:val="05-Textonormal"/>
        <w:rPr>
          <w:lang w:val="en-US"/>
        </w:rPr>
      </w:pPr>
      <w:r w:rsidRPr="002610C9">
        <w:rPr>
          <w:lang w:val="en-US"/>
        </w:rPr>
        <w:t>The B</w:t>
      </w:r>
      <w:r w:rsidRPr="00D21457">
        <w:rPr>
          <w:lang w:val="en-US"/>
        </w:rPr>
        <w:t>B Seguridade</w:t>
      </w:r>
      <w:r w:rsidRPr="002610C9">
        <w:rPr>
          <w:lang w:val="en-US"/>
        </w:rPr>
        <w:t xml:space="preserve"> has no option, bonus of subscription or its equivalents which provide their holder the right to acquire shares. Thus, the basic and diluted earnings per share are equal</w:t>
      </w:r>
      <w:r>
        <w:rPr>
          <w:lang w:val="en-US"/>
        </w:rPr>
        <w:t xml:space="preserve"> </w:t>
      </w:r>
      <w:r w:rsidRPr="00E311FA">
        <w:rPr>
          <w:lang w:val="en-US"/>
        </w:rPr>
        <w:t>and was calculated by dividing the profit attributable to the holders of common shares of the company by the weighted average number of common shares held by shareholders during the period.</w:t>
      </w:r>
      <w:r w:rsidRPr="002610C9">
        <w:rPr>
          <w:lang w:val="en-US"/>
        </w:rPr>
        <w:t xml:space="preserve"> </w:t>
      </w:r>
    </w:p>
    <w:p w14:paraId="7BC07150" w14:textId="77777777" w:rsidR="00613FF1" w:rsidRPr="0011203E" w:rsidRDefault="00613FF1" w:rsidP="00F12587">
      <w:pPr>
        <w:pStyle w:val="03-SubttulodeNota"/>
        <w:rPr>
          <w:color w:val="1F4E79" w:themeColor="accent1" w:themeShade="80"/>
          <w:sz w:val="18"/>
          <w:szCs w:val="18"/>
        </w:rPr>
      </w:pPr>
      <w:r w:rsidRPr="0011203E">
        <w:rPr>
          <w:color w:val="1F4E79" w:themeColor="accent1" w:themeShade="80"/>
          <w:sz w:val="18"/>
          <w:szCs w:val="18"/>
        </w:rPr>
        <w:t xml:space="preserve">d) Dividends </w:t>
      </w:r>
    </w:p>
    <w:p w14:paraId="20C80FA9" w14:textId="77777777" w:rsidR="00613FF1" w:rsidRPr="00BC1485" w:rsidRDefault="00613FF1" w:rsidP="0011203E">
      <w:pPr>
        <w:pStyle w:val="06-Rmil"/>
        <w:rPr>
          <w:rFonts w:cs="Arial"/>
          <w:lang w:val="en-US"/>
        </w:rPr>
      </w:pPr>
      <w:r w:rsidRPr="00BC1485">
        <w:rPr>
          <w:rFonts w:cs="Arial"/>
          <w:lang w:val="en-US"/>
        </w:rPr>
        <w:t>R$ thousand</w:t>
      </w:r>
    </w:p>
    <w:tbl>
      <w:tblPr>
        <w:tblStyle w:val="TabeladeLista6Colorida-nfase510"/>
        <w:tblW w:w="9639" w:type="dxa"/>
        <w:tblInd w:w="108" w:type="dxa"/>
        <w:tblLook w:val="04A0" w:firstRow="1" w:lastRow="0" w:firstColumn="1" w:lastColumn="0" w:noHBand="0" w:noVBand="1"/>
      </w:tblPr>
      <w:tblGrid>
        <w:gridCol w:w="6630"/>
        <w:gridCol w:w="1504"/>
        <w:gridCol w:w="1505"/>
      </w:tblGrid>
      <w:tr w:rsidR="00613FF1" w14:paraId="0ACEEEFD" w14:textId="77777777" w:rsidTr="00DF0A2D">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4E79" w:themeColor="accent1" w:themeShade="80"/>
              <w:bottom w:val="single" w:sz="2" w:space="0" w:color="1F4E79" w:themeColor="accent1" w:themeShade="80"/>
            </w:tcBorders>
            <w:shd w:val="clear" w:color="auto" w:fill="auto"/>
            <w:vAlign w:val="center"/>
          </w:tcPr>
          <w:p w14:paraId="360D9B24" w14:textId="77777777" w:rsidR="00613FF1" w:rsidRDefault="00613FF1" w:rsidP="00DF0A2D">
            <w:pPr>
              <w:keepNext/>
              <w:keepLines/>
              <w:spacing w:before="40" w:after="40"/>
              <w:rPr>
                <w:rFonts w:eastAsia="Times New Roman" w:cs="Arial"/>
                <w:spacing w:val="-2"/>
                <w:sz w:val="14"/>
                <w:szCs w:val="18"/>
                <w:lang w:eastAsia="pt-BR"/>
              </w:rPr>
            </w:pPr>
          </w:p>
        </w:tc>
        <w:tc>
          <w:tcPr>
            <w:tcW w:w="1504" w:type="dxa"/>
            <w:tcBorders>
              <w:top w:val="single" w:sz="2" w:space="0" w:color="1F4E79" w:themeColor="accent1" w:themeShade="80"/>
              <w:bottom w:val="single" w:sz="2" w:space="0" w:color="1F4E79" w:themeColor="accent1" w:themeShade="80"/>
            </w:tcBorders>
            <w:shd w:val="clear" w:color="auto" w:fill="auto"/>
            <w:vAlign w:val="center"/>
            <w:hideMark/>
          </w:tcPr>
          <w:p w14:paraId="43057843" w14:textId="77777777" w:rsidR="00613FF1" w:rsidRDefault="00613FF1" w:rsidP="0011203E">
            <w:pPr>
              <w:pStyle w:val="08-Tabelageral"/>
              <w:cnfStyle w:val="100000000000" w:firstRow="1" w:lastRow="0" w:firstColumn="0" w:lastColumn="0" w:oddVBand="0" w:evenVBand="0" w:oddHBand="0" w:evenHBand="0" w:firstRowFirstColumn="0" w:firstRowLastColumn="0" w:lastRowFirstColumn="0" w:lastRowLastColumn="0"/>
              <w:rPr>
                <w:lang w:eastAsia="en-US"/>
              </w:rPr>
            </w:pPr>
            <w:r>
              <w:rPr>
                <w:lang w:eastAsia="en-US"/>
              </w:rPr>
              <w:t>2022</w:t>
            </w:r>
          </w:p>
        </w:tc>
        <w:tc>
          <w:tcPr>
            <w:tcW w:w="1505" w:type="dxa"/>
            <w:tcBorders>
              <w:top w:val="single" w:sz="2" w:space="0" w:color="1F4E79" w:themeColor="accent1" w:themeShade="80"/>
              <w:bottom w:val="single" w:sz="2" w:space="0" w:color="1F4E79" w:themeColor="accent1" w:themeShade="80"/>
            </w:tcBorders>
            <w:shd w:val="clear" w:color="auto" w:fill="auto"/>
            <w:vAlign w:val="center"/>
            <w:hideMark/>
          </w:tcPr>
          <w:p w14:paraId="43E3876B" w14:textId="77777777" w:rsidR="00613FF1" w:rsidRDefault="00613FF1" w:rsidP="0011203E">
            <w:pPr>
              <w:pStyle w:val="08-Tabelageral"/>
              <w:cnfStyle w:val="100000000000" w:firstRow="1" w:lastRow="0" w:firstColumn="0" w:lastColumn="0" w:oddVBand="0" w:evenVBand="0" w:oddHBand="0" w:evenHBand="0" w:firstRowFirstColumn="0" w:firstRowLastColumn="0" w:lastRowFirstColumn="0" w:lastRowLastColumn="0"/>
              <w:rPr>
                <w:lang w:eastAsia="en-US"/>
              </w:rPr>
            </w:pPr>
            <w:r>
              <w:t>2021</w:t>
            </w:r>
          </w:p>
        </w:tc>
      </w:tr>
      <w:tr w:rsidR="00613FF1" w14:paraId="4756E78E" w14:textId="77777777" w:rsidTr="0016289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4E79" w:themeColor="accent1" w:themeShade="80"/>
              <w:left w:val="nil"/>
              <w:bottom w:val="nil"/>
              <w:right w:val="nil"/>
            </w:tcBorders>
            <w:shd w:val="clear" w:color="auto" w:fill="auto"/>
            <w:hideMark/>
          </w:tcPr>
          <w:p w14:paraId="3FB30E97" w14:textId="77777777" w:rsidR="00613FF1" w:rsidRDefault="00613FF1" w:rsidP="0011203E">
            <w:pPr>
              <w:pStyle w:val="08-Tabelageral"/>
              <w:jc w:val="left"/>
              <w:rPr>
                <w:rFonts w:cs="Arial"/>
                <w:b w:val="0"/>
                <w:bCs w:val="0"/>
                <w:lang w:eastAsia="en-US"/>
              </w:rPr>
            </w:pPr>
            <w:r w:rsidRPr="00BC1485">
              <w:rPr>
                <w:rFonts w:cs="Arial"/>
                <w:b w:val="0"/>
                <w:bCs w:val="0"/>
                <w:lang w:eastAsia="en-US"/>
              </w:rPr>
              <w:t>(1) - N</w:t>
            </w:r>
            <w:r w:rsidRPr="00BC1485">
              <w:rPr>
                <w:rFonts w:cs="Arial"/>
                <w:b w:val="0"/>
                <w:bCs w:val="0"/>
              </w:rPr>
              <w:t>et income</w:t>
            </w:r>
          </w:p>
        </w:tc>
        <w:tc>
          <w:tcPr>
            <w:tcW w:w="1504" w:type="dxa"/>
            <w:tcBorders>
              <w:top w:val="single" w:sz="2" w:space="0" w:color="1F4E79" w:themeColor="accent1" w:themeShade="80"/>
              <w:left w:val="nil"/>
              <w:bottom w:val="nil"/>
              <w:right w:val="nil"/>
            </w:tcBorders>
            <w:shd w:val="clear" w:color="auto" w:fill="auto"/>
            <w:vAlign w:val="center"/>
          </w:tcPr>
          <w:p w14:paraId="534396EA" w14:textId="77777777" w:rsidR="00613FF1" w:rsidRDefault="00613FF1" w:rsidP="0011203E">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6F6355">
              <w:rPr>
                <w:rFonts w:cs="Arial"/>
                <w:bCs/>
              </w:rPr>
              <w:t>6</w:t>
            </w:r>
            <w:r>
              <w:rPr>
                <w:rFonts w:cs="Arial"/>
                <w:bCs/>
              </w:rPr>
              <w:t>,</w:t>
            </w:r>
            <w:r w:rsidRPr="006F6355">
              <w:rPr>
                <w:rFonts w:cs="Arial"/>
                <w:bCs/>
              </w:rPr>
              <w:t>044</w:t>
            </w:r>
            <w:r>
              <w:rPr>
                <w:rFonts w:cs="Arial"/>
                <w:bCs/>
              </w:rPr>
              <w:t>,</w:t>
            </w:r>
            <w:r w:rsidRPr="006F6355">
              <w:rPr>
                <w:rFonts w:cs="Arial"/>
                <w:bCs/>
              </w:rPr>
              <w:t>571</w:t>
            </w:r>
          </w:p>
        </w:tc>
        <w:tc>
          <w:tcPr>
            <w:tcW w:w="1505" w:type="dxa"/>
            <w:tcBorders>
              <w:top w:val="single" w:sz="2" w:space="0" w:color="1F4E79" w:themeColor="accent1" w:themeShade="80"/>
              <w:left w:val="nil"/>
              <w:bottom w:val="nil"/>
              <w:right w:val="nil"/>
            </w:tcBorders>
            <w:shd w:val="clear" w:color="auto" w:fill="auto"/>
            <w:vAlign w:val="center"/>
            <w:hideMark/>
          </w:tcPr>
          <w:p w14:paraId="6301639A" w14:textId="77777777" w:rsidR="00613FF1" w:rsidRDefault="00613FF1" w:rsidP="0011203E">
            <w:pPr>
              <w:pStyle w:val="08-Tabelageral"/>
              <w:cnfStyle w:val="000000100000" w:firstRow="0" w:lastRow="0" w:firstColumn="0" w:lastColumn="0" w:oddVBand="0" w:evenVBand="0" w:oddHBand="1" w:evenHBand="0" w:firstRowFirstColumn="0" w:firstRowLastColumn="0" w:lastRowFirstColumn="0" w:lastRowLastColumn="0"/>
              <w:rPr>
                <w:lang w:eastAsia="en-US"/>
              </w:rPr>
            </w:pPr>
            <w:r>
              <w:rPr>
                <w:rFonts w:cs="Arial"/>
                <w:bCs/>
              </w:rPr>
              <w:t>3,933,217</w:t>
            </w:r>
          </w:p>
        </w:tc>
      </w:tr>
      <w:tr w:rsidR="00613FF1" w14:paraId="1F36D631" w14:textId="77777777" w:rsidTr="0016289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6BFE1FE7" w14:textId="77777777" w:rsidR="00613FF1" w:rsidRPr="00E2299D" w:rsidRDefault="00613FF1" w:rsidP="0011203E">
            <w:pPr>
              <w:pStyle w:val="08-Tabelageral"/>
              <w:jc w:val="left"/>
              <w:rPr>
                <w:rFonts w:cs="Arial"/>
                <w:b w:val="0"/>
                <w:lang w:val="en-US" w:eastAsia="en-US"/>
              </w:rPr>
            </w:pPr>
            <w:r w:rsidRPr="00E2299D">
              <w:rPr>
                <w:rFonts w:cs="Arial"/>
                <w:b w:val="0"/>
                <w:bCs w:val="0"/>
                <w:lang w:val="en-US" w:eastAsia="en-US"/>
              </w:rPr>
              <w:t xml:space="preserve">(2) - </w:t>
            </w:r>
            <w:r w:rsidRPr="00BC1485">
              <w:rPr>
                <w:rFonts w:cs="Arial"/>
                <w:b w:val="0"/>
                <w:bCs w:val="0"/>
                <w:lang w:val="en-US"/>
              </w:rPr>
              <w:t>Legal reserve in the period</w:t>
            </w:r>
            <w:r>
              <w:rPr>
                <w:rFonts w:cs="Arial"/>
                <w:b w:val="0"/>
                <w:bCs w:val="0"/>
                <w:lang w:val="en-US"/>
              </w:rPr>
              <w:t xml:space="preserve"> </w:t>
            </w:r>
            <w:r w:rsidRPr="00674D90">
              <w:rPr>
                <w:rFonts w:cs="Arial"/>
                <w:b w:val="0"/>
                <w:bCs w:val="0"/>
                <w:vertAlign w:val="superscript"/>
                <w:lang w:val="en-US"/>
              </w:rPr>
              <w:t>(1)</w:t>
            </w:r>
          </w:p>
        </w:tc>
        <w:tc>
          <w:tcPr>
            <w:tcW w:w="1504" w:type="dxa"/>
            <w:tcBorders>
              <w:top w:val="nil"/>
              <w:left w:val="nil"/>
              <w:bottom w:val="nil"/>
              <w:right w:val="nil"/>
            </w:tcBorders>
            <w:shd w:val="clear" w:color="auto" w:fill="auto"/>
            <w:vAlign w:val="center"/>
          </w:tcPr>
          <w:p w14:paraId="0F1AE1A6" w14:textId="77777777" w:rsidR="00613FF1" w:rsidRDefault="00613FF1" w:rsidP="0011203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szCs w:val="14"/>
                <w:lang w:eastAsia="en-US"/>
              </w:rPr>
              <w:t>302,229</w:t>
            </w:r>
          </w:p>
        </w:tc>
        <w:tc>
          <w:tcPr>
            <w:tcW w:w="1505" w:type="dxa"/>
            <w:tcBorders>
              <w:top w:val="nil"/>
              <w:left w:val="nil"/>
              <w:bottom w:val="nil"/>
              <w:right w:val="nil"/>
            </w:tcBorders>
            <w:shd w:val="clear" w:color="auto" w:fill="auto"/>
            <w:vAlign w:val="center"/>
            <w:hideMark/>
          </w:tcPr>
          <w:p w14:paraId="154F532E" w14:textId="77777777" w:rsidR="00613FF1" w:rsidRDefault="00613FF1" w:rsidP="0011203E">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rFonts w:cs="Arial"/>
                <w:szCs w:val="14"/>
                <w:lang w:eastAsia="en-US"/>
              </w:rPr>
              <w:t>--</w:t>
            </w:r>
          </w:p>
        </w:tc>
      </w:tr>
      <w:tr w:rsidR="00613FF1" w14:paraId="13D4FB2C" w14:textId="77777777" w:rsidTr="0016289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15C3DE69" w14:textId="77777777" w:rsidR="00613FF1" w:rsidRDefault="00613FF1" w:rsidP="0011203E">
            <w:pPr>
              <w:pStyle w:val="08-Tabelageral"/>
              <w:jc w:val="left"/>
              <w:rPr>
                <w:rFonts w:cs="Arial"/>
                <w:lang w:eastAsia="en-US"/>
              </w:rPr>
            </w:pPr>
            <w:r w:rsidRPr="00BC1485">
              <w:rPr>
                <w:rFonts w:cs="Arial"/>
                <w:lang w:eastAsia="en-US"/>
              </w:rPr>
              <w:t>(=) Calculation basis (1 - 2)</w:t>
            </w:r>
          </w:p>
        </w:tc>
        <w:tc>
          <w:tcPr>
            <w:tcW w:w="1504" w:type="dxa"/>
            <w:tcBorders>
              <w:top w:val="nil"/>
              <w:left w:val="nil"/>
              <w:bottom w:val="nil"/>
              <w:right w:val="nil"/>
            </w:tcBorders>
            <w:shd w:val="clear" w:color="auto" w:fill="auto"/>
            <w:vAlign w:val="center"/>
          </w:tcPr>
          <w:p w14:paraId="163815FF" w14:textId="77777777" w:rsidR="00613FF1" w:rsidRPr="000D1E50" w:rsidRDefault="00613FF1" w:rsidP="0011203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eastAsia="en-US"/>
              </w:rPr>
            </w:pPr>
            <w:r>
              <w:rPr>
                <w:rFonts w:cs="Arial"/>
                <w:b/>
                <w:szCs w:val="14"/>
                <w:lang w:eastAsia="en-US"/>
              </w:rPr>
              <w:t>5,742,342</w:t>
            </w:r>
          </w:p>
        </w:tc>
        <w:tc>
          <w:tcPr>
            <w:tcW w:w="1505" w:type="dxa"/>
            <w:tcBorders>
              <w:top w:val="nil"/>
              <w:left w:val="nil"/>
              <w:bottom w:val="nil"/>
              <w:right w:val="nil"/>
            </w:tcBorders>
            <w:shd w:val="clear" w:color="auto" w:fill="auto"/>
            <w:vAlign w:val="center"/>
            <w:hideMark/>
          </w:tcPr>
          <w:p w14:paraId="00B0A5CB" w14:textId="77777777" w:rsidR="00613FF1" w:rsidRPr="000D1E50" w:rsidRDefault="00613FF1" w:rsidP="0011203E">
            <w:pPr>
              <w:pStyle w:val="08-Tabelageral"/>
              <w:cnfStyle w:val="000000100000" w:firstRow="0" w:lastRow="0" w:firstColumn="0" w:lastColumn="0" w:oddVBand="0" w:evenVBand="0" w:oddHBand="1" w:evenHBand="0" w:firstRowFirstColumn="0" w:firstRowLastColumn="0" w:lastRowFirstColumn="0" w:lastRowLastColumn="0"/>
              <w:rPr>
                <w:b/>
                <w:lang w:eastAsia="en-US"/>
              </w:rPr>
            </w:pPr>
            <w:r w:rsidRPr="000D1E50">
              <w:rPr>
                <w:rFonts w:cs="Arial"/>
                <w:b/>
                <w:szCs w:val="14"/>
                <w:lang w:eastAsia="en-US"/>
              </w:rPr>
              <w:t>3</w:t>
            </w:r>
            <w:r>
              <w:rPr>
                <w:rFonts w:cs="Arial"/>
                <w:b/>
                <w:szCs w:val="14"/>
                <w:lang w:eastAsia="en-US"/>
              </w:rPr>
              <w:t>,</w:t>
            </w:r>
            <w:r w:rsidRPr="000D1E50">
              <w:rPr>
                <w:rFonts w:cs="Arial"/>
                <w:b/>
                <w:szCs w:val="14"/>
                <w:lang w:eastAsia="en-US"/>
              </w:rPr>
              <w:t>933</w:t>
            </w:r>
            <w:r>
              <w:rPr>
                <w:rFonts w:cs="Arial"/>
                <w:b/>
                <w:szCs w:val="14"/>
                <w:lang w:eastAsia="en-US"/>
              </w:rPr>
              <w:t>,</w:t>
            </w:r>
            <w:r w:rsidRPr="000D1E50">
              <w:rPr>
                <w:rFonts w:cs="Arial"/>
                <w:b/>
                <w:szCs w:val="14"/>
                <w:lang w:eastAsia="en-US"/>
              </w:rPr>
              <w:t>217</w:t>
            </w:r>
          </w:p>
        </w:tc>
      </w:tr>
      <w:tr w:rsidR="00613FF1" w14:paraId="5F1B03B2" w14:textId="77777777" w:rsidTr="0016289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6CB470B8" w14:textId="77777777" w:rsidR="00613FF1" w:rsidRDefault="00613FF1" w:rsidP="0011203E">
            <w:pPr>
              <w:pStyle w:val="08-Tabelageral"/>
              <w:jc w:val="left"/>
              <w:rPr>
                <w:rFonts w:cs="Arial"/>
                <w:b w:val="0"/>
                <w:lang w:eastAsia="en-US"/>
              </w:rPr>
            </w:pPr>
            <w:r w:rsidRPr="00BC1485">
              <w:rPr>
                <w:rFonts w:cs="Arial"/>
                <w:b w:val="0"/>
                <w:lang w:eastAsia="en-US"/>
              </w:rPr>
              <w:t xml:space="preserve">(3) - </w:t>
            </w:r>
            <w:r w:rsidRPr="00BC1485">
              <w:rPr>
                <w:rFonts w:cs="Arial"/>
                <w:b w:val="0"/>
                <w:bCs w:val="0"/>
              </w:rPr>
              <w:t>Minimum mandatory dividend</w:t>
            </w:r>
          </w:p>
        </w:tc>
        <w:tc>
          <w:tcPr>
            <w:tcW w:w="1504" w:type="dxa"/>
            <w:tcBorders>
              <w:top w:val="nil"/>
              <w:left w:val="nil"/>
              <w:bottom w:val="nil"/>
              <w:right w:val="nil"/>
            </w:tcBorders>
            <w:shd w:val="clear" w:color="auto" w:fill="auto"/>
            <w:vAlign w:val="center"/>
          </w:tcPr>
          <w:p w14:paraId="61552EDA" w14:textId="77777777" w:rsidR="00613FF1" w:rsidRDefault="00613FF1" w:rsidP="0011203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92B73">
              <w:rPr>
                <w:rFonts w:cs="Arial"/>
                <w:szCs w:val="14"/>
                <w:lang w:eastAsia="en-US"/>
              </w:rPr>
              <w:t>1</w:t>
            </w:r>
            <w:r>
              <w:rPr>
                <w:rFonts w:cs="Arial"/>
                <w:szCs w:val="14"/>
                <w:lang w:eastAsia="en-US"/>
              </w:rPr>
              <w:t>,</w:t>
            </w:r>
            <w:r w:rsidRPr="00992B73">
              <w:rPr>
                <w:rFonts w:cs="Arial"/>
                <w:szCs w:val="14"/>
                <w:lang w:eastAsia="en-US"/>
              </w:rPr>
              <w:t>435</w:t>
            </w:r>
            <w:r>
              <w:rPr>
                <w:rFonts w:cs="Arial"/>
                <w:szCs w:val="14"/>
                <w:lang w:eastAsia="en-US"/>
              </w:rPr>
              <w:t>,</w:t>
            </w:r>
            <w:r w:rsidRPr="00992B73">
              <w:rPr>
                <w:rFonts w:cs="Arial"/>
                <w:szCs w:val="14"/>
                <w:lang w:eastAsia="en-US"/>
              </w:rPr>
              <w:t>586</w:t>
            </w:r>
          </w:p>
        </w:tc>
        <w:tc>
          <w:tcPr>
            <w:tcW w:w="1505" w:type="dxa"/>
            <w:tcBorders>
              <w:top w:val="nil"/>
              <w:left w:val="nil"/>
              <w:bottom w:val="nil"/>
              <w:right w:val="nil"/>
            </w:tcBorders>
            <w:shd w:val="clear" w:color="auto" w:fill="auto"/>
            <w:vAlign w:val="center"/>
            <w:hideMark/>
          </w:tcPr>
          <w:p w14:paraId="1BF347ED" w14:textId="77777777" w:rsidR="00613FF1" w:rsidRDefault="00613FF1" w:rsidP="0011203E">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992B73">
              <w:rPr>
                <w:rFonts w:cs="Arial"/>
                <w:szCs w:val="14"/>
                <w:lang w:eastAsia="en-US"/>
              </w:rPr>
              <w:t>983</w:t>
            </w:r>
            <w:r>
              <w:rPr>
                <w:rFonts w:cs="Arial"/>
                <w:szCs w:val="14"/>
                <w:lang w:eastAsia="en-US"/>
              </w:rPr>
              <w:t>,</w:t>
            </w:r>
            <w:r w:rsidRPr="00992B73">
              <w:rPr>
                <w:rFonts w:cs="Arial"/>
                <w:szCs w:val="14"/>
                <w:lang w:eastAsia="en-US"/>
              </w:rPr>
              <w:t>304</w:t>
            </w:r>
          </w:p>
        </w:tc>
      </w:tr>
      <w:tr w:rsidR="00613FF1" w14:paraId="6AB72C3E" w14:textId="77777777" w:rsidTr="0016289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2A69B123" w14:textId="77777777" w:rsidR="00613FF1" w:rsidRDefault="00613FF1" w:rsidP="0011203E">
            <w:pPr>
              <w:pStyle w:val="08-Tabelageral"/>
              <w:jc w:val="left"/>
              <w:rPr>
                <w:rFonts w:cs="Arial"/>
                <w:b w:val="0"/>
                <w:lang w:eastAsia="en-US"/>
              </w:rPr>
            </w:pPr>
            <w:r w:rsidRPr="00BC1485">
              <w:rPr>
                <w:rFonts w:cs="Arial"/>
                <w:b w:val="0"/>
                <w:lang w:eastAsia="en-US"/>
              </w:rPr>
              <w:t xml:space="preserve">(4) - </w:t>
            </w:r>
            <w:r w:rsidRPr="00BC1485">
              <w:rPr>
                <w:rFonts w:cs="Arial"/>
                <w:b w:val="0"/>
                <w:bCs w:val="0"/>
              </w:rPr>
              <w:t>Additional dividend</w:t>
            </w:r>
          </w:p>
        </w:tc>
        <w:tc>
          <w:tcPr>
            <w:tcW w:w="1504" w:type="dxa"/>
            <w:tcBorders>
              <w:top w:val="nil"/>
              <w:left w:val="nil"/>
              <w:bottom w:val="nil"/>
              <w:right w:val="nil"/>
            </w:tcBorders>
            <w:shd w:val="clear" w:color="auto" w:fill="auto"/>
            <w:vAlign w:val="center"/>
          </w:tcPr>
          <w:p w14:paraId="33BD4DA7" w14:textId="77777777" w:rsidR="00613FF1" w:rsidRDefault="00613FF1" w:rsidP="0011203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992B73">
              <w:rPr>
                <w:rFonts w:cs="Arial"/>
                <w:szCs w:val="14"/>
                <w:lang w:eastAsia="en-US"/>
              </w:rPr>
              <w:t>4</w:t>
            </w:r>
            <w:r>
              <w:rPr>
                <w:rFonts w:cs="Arial"/>
                <w:szCs w:val="14"/>
                <w:lang w:eastAsia="en-US"/>
              </w:rPr>
              <w:t>,</w:t>
            </w:r>
            <w:r w:rsidRPr="00992B73">
              <w:rPr>
                <w:rFonts w:cs="Arial"/>
                <w:szCs w:val="14"/>
                <w:lang w:eastAsia="en-US"/>
              </w:rPr>
              <w:t>306</w:t>
            </w:r>
            <w:r>
              <w:rPr>
                <w:rFonts w:cs="Arial"/>
                <w:szCs w:val="14"/>
                <w:lang w:eastAsia="en-US"/>
              </w:rPr>
              <w:t>,</w:t>
            </w:r>
            <w:r w:rsidRPr="00992B73">
              <w:rPr>
                <w:rFonts w:cs="Arial"/>
                <w:szCs w:val="14"/>
                <w:lang w:eastAsia="en-US"/>
              </w:rPr>
              <w:t>756</w:t>
            </w:r>
          </w:p>
        </w:tc>
        <w:tc>
          <w:tcPr>
            <w:tcW w:w="1505" w:type="dxa"/>
            <w:tcBorders>
              <w:top w:val="nil"/>
              <w:left w:val="nil"/>
              <w:bottom w:val="nil"/>
              <w:right w:val="nil"/>
            </w:tcBorders>
            <w:shd w:val="clear" w:color="auto" w:fill="auto"/>
            <w:vAlign w:val="center"/>
            <w:hideMark/>
          </w:tcPr>
          <w:p w14:paraId="0058D384" w14:textId="77777777" w:rsidR="00613FF1" w:rsidRDefault="00613FF1" w:rsidP="0011203E">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992B73">
              <w:rPr>
                <w:rFonts w:cs="Arial"/>
                <w:szCs w:val="14"/>
                <w:lang w:eastAsia="en-US"/>
              </w:rPr>
              <w:t>1</w:t>
            </w:r>
            <w:r>
              <w:rPr>
                <w:rFonts w:cs="Arial"/>
                <w:szCs w:val="14"/>
                <w:lang w:eastAsia="en-US"/>
              </w:rPr>
              <w:t>,</w:t>
            </w:r>
            <w:r w:rsidRPr="00992B73">
              <w:rPr>
                <w:rFonts w:cs="Arial"/>
                <w:szCs w:val="14"/>
                <w:lang w:eastAsia="en-US"/>
              </w:rPr>
              <w:t>887</w:t>
            </w:r>
            <w:r>
              <w:rPr>
                <w:rFonts w:cs="Arial"/>
                <w:szCs w:val="14"/>
                <w:lang w:eastAsia="en-US"/>
              </w:rPr>
              <w:t>,</w:t>
            </w:r>
            <w:r w:rsidRPr="00992B73">
              <w:rPr>
                <w:rFonts w:cs="Arial"/>
                <w:szCs w:val="14"/>
                <w:lang w:eastAsia="en-US"/>
              </w:rPr>
              <w:t>944</w:t>
            </w:r>
          </w:p>
        </w:tc>
      </w:tr>
      <w:tr w:rsidR="00613FF1" w14:paraId="5C8F4CD9" w14:textId="77777777" w:rsidTr="0016289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102936B2" w14:textId="77777777" w:rsidR="00613FF1" w:rsidRDefault="00613FF1" w:rsidP="0011203E">
            <w:pPr>
              <w:pStyle w:val="08-Tabelageral"/>
              <w:jc w:val="left"/>
              <w:rPr>
                <w:rFonts w:cs="Arial"/>
                <w:lang w:eastAsia="en-US"/>
              </w:rPr>
            </w:pPr>
            <w:r w:rsidRPr="00BC1485">
              <w:rPr>
                <w:rFonts w:cs="Arial"/>
                <w:b w:val="0"/>
                <w:lang w:eastAsia="en-US"/>
              </w:rPr>
              <w:t xml:space="preserve">(5) - </w:t>
            </w:r>
            <w:r w:rsidRPr="00BC1485">
              <w:rPr>
                <w:rFonts w:cs="Arial"/>
                <w:b w:val="0"/>
                <w:bCs w:val="0"/>
              </w:rPr>
              <w:t>Statutory reserve</w:t>
            </w:r>
          </w:p>
        </w:tc>
        <w:tc>
          <w:tcPr>
            <w:tcW w:w="1504" w:type="dxa"/>
            <w:tcBorders>
              <w:top w:val="nil"/>
              <w:left w:val="nil"/>
              <w:bottom w:val="nil"/>
              <w:right w:val="nil"/>
            </w:tcBorders>
            <w:shd w:val="clear" w:color="auto" w:fill="auto"/>
            <w:vAlign w:val="center"/>
          </w:tcPr>
          <w:p w14:paraId="1824094F" w14:textId="77777777" w:rsidR="00613FF1" w:rsidRDefault="00613FF1" w:rsidP="0011203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92B73">
              <w:rPr>
                <w:rFonts w:cs="Arial"/>
                <w:szCs w:val="14"/>
                <w:lang w:eastAsia="en-US"/>
              </w:rPr>
              <w:t>--</w:t>
            </w:r>
          </w:p>
        </w:tc>
        <w:tc>
          <w:tcPr>
            <w:tcW w:w="1505" w:type="dxa"/>
            <w:tcBorders>
              <w:top w:val="nil"/>
              <w:left w:val="nil"/>
              <w:bottom w:val="nil"/>
              <w:right w:val="nil"/>
            </w:tcBorders>
            <w:shd w:val="clear" w:color="auto" w:fill="auto"/>
            <w:vAlign w:val="center"/>
            <w:hideMark/>
          </w:tcPr>
          <w:p w14:paraId="3985C97B" w14:textId="77777777" w:rsidR="00613FF1" w:rsidRDefault="00613FF1" w:rsidP="0011203E">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992B73">
              <w:rPr>
                <w:rFonts w:cs="Arial"/>
                <w:szCs w:val="14"/>
                <w:lang w:eastAsia="en-US"/>
              </w:rPr>
              <w:t>1</w:t>
            </w:r>
            <w:r>
              <w:rPr>
                <w:rFonts w:cs="Arial"/>
                <w:szCs w:val="14"/>
                <w:lang w:eastAsia="en-US"/>
              </w:rPr>
              <w:t>,</w:t>
            </w:r>
            <w:r w:rsidRPr="00992B73">
              <w:rPr>
                <w:rFonts w:cs="Arial"/>
                <w:szCs w:val="14"/>
                <w:lang w:eastAsia="en-US"/>
              </w:rPr>
              <w:t>061</w:t>
            </w:r>
            <w:r>
              <w:rPr>
                <w:rFonts w:cs="Arial"/>
                <w:szCs w:val="14"/>
                <w:lang w:eastAsia="en-US"/>
              </w:rPr>
              <w:t>,</w:t>
            </w:r>
            <w:r w:rsidRPr="00992B73">
              <w:rPr>
                <w:rFonts w:cs="Arial"/>
                <w:szCs w:val="14"/>
                <w:lang w:eastAsia="en-US"/>
              </w:rPr>
              <w:t>969</w:t>
            </w:r>
          </w:p>
        </w:tc>
      </w:tr>
      <w:tr w:rsidR="00613FF1" w14:paraId="219BFC3E" w14:textId="77777777" w:rsidTr="0016289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00840085" w14:textId="77777777" w:rsidR="00613FF1" w:rsidRPr="00E2299D" w:rsidRDefault="00613FF1" w:rsidP="0011203E">
            <w:pPr>
              <w:pStyle w:val="08-Tabelageral"/>
              <w:jc w:val="left"/>
              <w:rPr>
                <w:rFonts w:cs="Arial"/>
                <w:lang w:val="en-US" w:eastAsia="en-US"/>
              </w:rPr>
            </w:pPr>
            <w:r w:rsidRPr="00E2299D">
              <w:rPr>
                <w:rFonts w:cs="Arial"/>
                <w:bCs w:val="0"/>
                <w:lang w:val="en-US" w:eastAsia="en-US"/>
              </w:rPr>
              <w:t xml:space="preserve">(=) </w:t>
            </w:r>
            <w:r w:rsidRPr="00E2299D">
              <w:rPr>
                <w:rFonts w:cs="Arial"/>
                <w:bCs w:val="0"/>
                <w:lang w:val="en-US"/>
              </w:rPr>
              <w:t xml:space="preserve">Balance of net income after allocation </w:t>
            </w:r>
            <w:r w:rsidRPr="00E2299D">
              <w:rPr>
                <w:rFonts w:cs="Arial"/>
                <w:bCs w:val="0"/>
                <w:lang w:val="en-US" w:eastAsia="en-US"/>
              </w:rPr>
              <w:t>(1-2-3-4-5)</w:t>
            </w:r>
          </w:p>
        </w:tc>
        <w:tc>
          <w:tcPr>
            <w:tcW w:w="1504" w:type="dxa"/>
            <w:tcBorders>
              <w:top w:val="nil"/>
              <w:left w:val="nil"/>
              <w:bottom w:val="nil"/>
              <w:right w:val="nil"/>
            </w:tcBorders>
            <w:shd w:val="clear" w:color="auto" w:fill="auto"/>
            <w:vAlign w:val="center"/>
          </w:tcPr>
          <w:p w14:paraId="6314A011" w14:textId="77777777" w:rsidR="00613FF1" w:rsidRPr="000D1E50" w:rsidRDefault="00613FF1" w:rsidP="0011203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992B73">
              <w:rPr>
                <w:rFonts w:cs="Arial"/>
                <w:b/>
                <w:szCs w:val="14"/>
                <w:lang w:eastAsia="en-US"/>
              </w:rPr>
              <w:t>--</w:t>
            </w:r>
          </w:p>
        </w:tc>
        <w:tc>
          <w:tcPr>
            <w:tcW w:w="1505" w:type="dxa"/>
            <w:tcBorders>
              <w:top w:val="nil"/>
              <w:left w:val="nil"/>
              <w:bottom w:val="nil"/>
              <w:right w:val="nil"/>
            </w:tcBorders>
            <w:shd w:val="clear" w:color="auto" w:fill="auto"/>
            <w:vAlign w:val="center"/>
            <w:hideMark/>
          </w:tcPr>
          <w:p w14:paraId="294D9D65" w14:textId="77777777" w:rsidR="00613FF1" w:rsidRPr="000D1E50" w:rsidRDefault="00613FF1" w:rsidP="0011203E">
            <w:pPr>
              <w:pStyle w:val="08-Tabelageral"/>
              <w:cnfStyle w:val="000000100000" w:firstRow="0" w:lastRow="0" w:firstColumn="0" w:lastColumn="0" w:oddVBand="0" w:evenVBand="0" w:oddHBand="1" w:evenHBand="0" w:firstRowFirstColumn="0" w:firstRowLastColumn="0" w:lastRowFirstColumn="0" w:lastRowLastColumn="0"/>
              <w:rPr>
                <w:b/>
                <w:lang w:eastAsia="en-US"/>
              </w:rPr>
            </w:pPr>
            <w:r w:rsidRPr="00992B73">
              <w:rPr>
                <w:rFonts w:cs="Arial"/>
                <w:b/>
                <w:szCs w:val="14"/>
                <w:lang w:eastAsia="en-US"/>
              </w:rPr>
              <w:t>--</w:t>
            </w:r>
          </w:p>
        </w:tc>
      </w:tr>
      <w:tr w:rsidR="00613FF1" w14:paraId="560918D8" w14:textId="77777777" w:rsidTr="0016289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tcPr>
          <w:p w14:paraId="7828941D" w14:textId="77777777" w:rsidR="00613FF1" w:rsidRDefault="00613FF1" w:rsidP="0011203E">
            <w:pPr>
              <w:pStyle w:val="08-Tabelageral"/>
              <w:jc w:val="left"/>
              <w:rPr>
                <w:rFonts w:cs="Arial"/>
                <w:lang w:eastAsia="en-US"/>
              </w:rPr>
            </w:pPr>
          </w:p>
        </w:tc>
        <w:tc>
          <w:tcPr>
            <w:tcW w:w="1504" w:type="dxa"/>
            <w:tcBorders>
              <w:top w:val="nil"/>
              <w:left w:val="nil"/>
              <w:bottom w:val="nil"/>
              <w:right w:val="nil"/>
            </w:tcBorders>
            <w:shd w:val="clear" w:color="auto" w:fill="auto"/>
            <w:vAlign w:val="center"/>
          </w:tcPr>
          <w:p w14:paraId="47C70236" w14:textId="77777777" w:rsidR="00613FF1" w:rsidRDefault="00613FF1" w:rsidP="0011203E">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c>
          <w:tcPr>
            <w:tcW w:w="1505" w:type="dxa"/>
            <w:tcBorders>
              <w:top w:val="nil"/>
              <w:left w:val="nil"/>
              <w:bottom w:val="nil"/>
              <w:right w:val="nil"/>
            </w:tcBorders>
            <w:shd w:val="clear" w:color="auto" w:fill="auto"/>
            <w:vAlign w:val="center"/>
          </w:tcPr>
          <w:p w14:paraId="38ACBE30" w14:textId="77777777" w:rsidR="00613FF1" w:rsidRDefault="00613FF1" w:rsidP="0011203E">
            <w:pPr>
              <w:pStyle w:val="08-Tabelageral"/>
              <w:cnfStyle w:val="000000010000" w:firstRow="0" w:lastRow="0" w:firstColumn="0" w:lastColumn="0" w:oddVBand="0" w:evenVBand="0" w:oddHBand="0" w:evenHBand="1" w:firstRowFirstColumn="0" w:firstRowLastColumn="0" w:lastRowFirstColumn="0" w:lastRowLastColumn="0"/>
              <w:rPr>
                <w:b/>
                <w:lang w:eastAsia="en-US"/>
              </w:rPr>
            </w:pPr>
          </w:p>
        </w:tc>
      </w:tr>
      <w:tr w:rsidR="00613FF1" w14:paraId="1583F2EF" w14:textId="77777777" w:rsidTr="0016289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360AF567" w14:textId="77777777" w:rsidR="00613FF1" w:rsidRDefault="00613FF1" w:rsidP="0011203E">
            <w:pPr>
              <w:pStyle w:val="08-Tabelageral"/>
              <w:jc w:val="left"/>
              <w:rPr>
                <w:rFonts w:cs="Arial"/>
                <w:b w:val="0"/>
                <w:bCs w:val="0"/>
                <w:lang w:eastAsia="en-US"/>
              </w:rPr>
            </w:pPr>
            <w:r w:rsidRPr="00BC1485">
              <w:rPr>
                <w:rFonts w:cs="Arial"/>
                <w:b w:val="0"/>
                <w:bCs w:val="0"/>
                <w:lang w:eastAsia="en-US"/>
              </w:rPr>
              <w:t>(6) - Proposed dividends (3+4)</w:t>
            </w:r>
          </w:p>
        </w:tc>
        <w:tc>
          <w:tcPr>
            <w:tcW w:w="1504" w:type="dxa"/>
            <w:tcBorders>
              <w:top w:val="nil"/>
              <w:left w:val="nil"/>
              <w:bottom w:val="nil"/>
              <w:right w:val="nil"/>
            </w:tcBorders>
            <w:shd w:val="clear" w:color="auto" w:fill="auto"/>
            <w:vAlign w:val="center"/>
          </w:tcPr>
          <w:p w14:paraId="5D754F93" w14:textId="77777777" w:rsidR="00613FF1" w:rsidRDefault="00613FF1" w:rsidP="0011203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992B73">
              <w:rPr>
                <w:rFonts w:cs="Arial"/>
                <w:szCs w:val="14"/>
                <w:lang w:eastAsia="en-US"/>
              </w:rPr>
              <w:t>5</w:t>
            </w:r>
            <w:r>
              <w:rPr>
                <w:rFonts w:cs="Arial"/>
                <w:szCs w:val="14"/>
                <w:lang w:eastAsia="en-US"/>
              </w:rPr>
              <w:t>,</w:t>
            </w:r>
            <w:r w:rsidRPr="00992B73">
              <w:rPr>
                <w:rFonts w:cs="Arial"/>
                <w:szCs w:val="14"/>
                <w:lang w:eastAsia="en-US"/>
              </w:rPr>
              <w:t>742</w:t>
            </w:r>
            <w:r>
              <w:rPr>
                <w:rFonts w:cs="Arial"/>
                <w:szCs w:val="14"/>
                <w:lang w:eastAsia="en-US"/>
              </w:rPr>
              <w:t>,</w:t>
            </w:r>
            <w:r w:rsidRPr="00992B73">
              <w:rPr>
                <w:rFonts w:cs="Arial"/>
                <w:szCs w:val="14"/>
                <w:lang w:eastAsia="en-US"/>
              </w:rPr>
              <w:t>342</w:t>
            </w:r>
          </w:p>
        </w:tc>
        <w:tc>
          <w:tcPr>
            <w:tcW w:w="1505" w:type="dxa"/>
            <w:tcBorders>
              <w:top w:val="nil"/>
              <w:left w:val="nil"/>
              <w:bottom w:val="nil"/>
              <w:right w:val="nil"/>
            </w:tcBorders>
            <w:shd w:val="clear" w:color="auto" w:fill="auto"/>
            <w:vAlign w:val="center"/>
            <w:hideMark/>
          </w:tcPr>
          <w:p w14:paraId="787AAE77" w14:textId="77777777" w:rsidR="00613FF1" w:rsidRDefault="00613FF1" w:rsidP="0011203E">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992B73">
              <w:rPr>
                <w:rFonts w:cs="Arial"/>
                <w:szCs w:val="14"/>
                <w:lang w:eastAsia="en-US"/>
              </w:rPr>
              <w:t>2</w:t>
            </w:r>
            <w:r>
              <w:rPr>
                <w:rFonts w:cs="Arial"/>
                <w:szCs w:val="14"/>
                <w:lang w:eastAsia="en-US"/>
              </w:rPr>
              <w:t>,</w:t>
            </w:r>
            <w:r w:rsidRPr="00992B73">
              <w:rPr>
                <w:rFonts w:cs="Arial"/>
                <w:szCs w:val="14"/>
                <w:lang w:eastAsia="en-US"/>
              </w:rPr>
              <w:t>871</w:t>
            </w:r>
            <w:r>
              <w:rPr>
                <w:rFonts w:cs="Arial"/>
                <w:szCs w:val="14"/>
                <w:lang w:eastAsia="en-US"/>
              </w:rPr>
              <w:t>,</w:t>
            </w:r>
            <w:r w:rsidRPr="00992B73">
              <w:rPr>
                <w:rFonts w:cs="Arial"/>
                <w:szCs w:val="14"/>
                <w:lang w:eastAsia="en-US"/>
              </w:rPr>
              <w:t>248</w:t>
            </w:r>
          </w:p>
        </w:tc>
      </w:tr>
      <w:tr w:rsidR="00613FF1" w14:paraId="67A84AA9" w14:textId="77777777" w:rsidTr="0016289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020B7D4A" w14:textId="77777777" w:rsidR="00613FF1" w:rsidRDefault="00613FF1" w:rsidP="0011203E">
            <w:pPr>
              <w:pStyle w:val="08-Tabelageral"/>
              <w:jc w:val="left"/>
              <w:rPr>
                <w:rFonts w:cs="Arial"/>
                <w:lang w:eastAsia="en-US"/>
              </w:rPr>
            </w:pPr>
            <w:r w:rsidRPr="00BC1485">
              <w:rPr>
                <w:rFonts w:cs="Arial"/>
                <w:b w:val="0"/>
                <w:lang w:eastAsia="en-US"/>
              </w:rPr>
              <w:t xml:space="preserve">(7) - </w:t>
            </w:r>
            <w:r w:rsidRPr="00BC1485">
              <w:rPr>
                <w:rFonts w:cs="Arial"/>
                <w:b w:val="0"/>
                <w:bCs w:val="0"/>
              </w:rPr>
              <w:t>Prescribed dividends</w:t>
            </w:r>
          </w:p>
        </w:tc>
        <w:tc>
          <w:tcPr>
            <w:tcW w:w="1504" w:type="dxa"/>
            <w:tcBorders>
              <w:top w:val="nil"/>
              <w:left w:val="nil"/>
              <w:bottom w:val="nil"/>
              <w:right w:val="nil"/>
            </w:tcBorders>
            <w:shd w:val="clear" w:color="auto" w:fill="auto"/>
            <w:vAlign w:val="center"/>
          </w:tcPr>
          <w:p w14:paraId="0DD237C8" w14:textId="77777777" w:rsidR="00613FF1" w:rsidRDefault="00613FF1" w:rsidP="0011203E">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992B73">
              <w:rPr>
                <w:rFonts w:cs="Arial"/>
                <w:szCs w:val="14"/>
                <w:lang w:eastAsia="en-US"/>
              </w:rPr>
              <w:t>79</w:t>
            </w:r>
          </w:p>
        </w:tc>
        <w:tc>
          <w:tcPr>
            <w:tcW w:w="1505" w:type="dxa"/>
            <w:tcBorders>
              <w:top w:val="nil"/>
              <w:left w:val="nil"/>
              <w:bottom w:val="nil"/>
              <w:right w:val="nil"/>
            </w:tcBorders>
            <w:shd w:val="clear" w:color="auto" w:fill="auto"/>
            <w:vAlign w:val="center"/>
            <w:hideMark/>
          </w:tcPr>
          <w:p w14:paraId="54B2BA77" w14:textId="77777777" w:rsidR="00613FF1" w:rsidRDefault="00613FF1" w:rsidP="0011203E">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992B73">
              <w:rPr>
                <w:rFonts w:cs="Arial"/>
                <w:szCs w:val="14"/>
                <w:lang w:eastAsia="en-US"/>
              </w:rPr>
              <w:t>45</w:t>
            </w:r>
          </w:p>
        </w:tc>
      </w:tr>
      <w:tr w:rsidR="00613FF1" w14:paraId="1E8B5BA0" w14:textId="77777777" w:rsidTr="0016289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3E4510A8" w14:textId="77777777" w:rsidR="00613FF1" w:rsidRDefault="00613FF1" w:rsidP="0011203E">
            <w:pPr>
              <w:pStyle w:val="08-Tabelageral"/>
              <w:jc w:val="left"/>
              <w:rPr>
                <w:rFonts w:cs="Arial"/>
                <w:lang w:eastAsia="en-US"/>
              </w:rPr>
            </w:pPr>
            <w:r w:rsidRPr="00BC1485">
              <w:rPr>
                <w:rFonts w:cs="Arial"/>
                <w:b w:val="0"/>
                <w:lang w:eastAsia="en-US"/>
              </w:rPr>
              <w:t>(8) - Dividends paid</w:t>
            </w:r>
          </w:p>
        </w:tc>
        <w:tc>
          <w:tcPr>
            <w:tcW w:w="1504" w:type="dxa"/>
            <w:tcBorders>
              <w:top w:val="nil"/>
              <w:left w:val="nil"/>
              <w:bottom w:val="nil"/>
              <w:right w:val="nil"/>
            </w:tcBorders>
            <w:shd w:val="clear" w:color="auto" w:fill="auto"/>
            <w:vAlign w:val="center"/>
          </w:tcPr>
          <w:p w14:paraId="7A9CE002" w14:textId="77777777" w:rsidR="00613FF1" w:rsidRDefault="00613FF1" w:rsidP="0011203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992B73">
              <w:rPr>
                <w:rFonts w:cs="Arial"/>
                <w:szCs w:val="14"/>
                <w:lang w:eastAsia="en-US"/>
              </w:rPr>
              <w:t>2</w:t>
            </w:r>
            <w:r>
              <w:rPr>
                <w:rFonts w:cs="Arial"/>
                <w:szCs w:val="14"/>
                <w:lang w:eastAsia="en-US"/>
              </w:rPr>
              <w:t>,</w:t>
            </w:r>
            <w:r w:rsidRPr="00992B73">
              <w:rPr>
                <w:rFonts w:cs="Arial"/>
                <w:szCs w:val="14"/>
                <w:lang w:eastAsia="en-US"/>
              </w:rPr>
              <w:t>068</w:t>
            </w:r>
            <w:r>
              <w:rPr>
                <w:rFonts w:cs="Arial"/>
                <w:szCs w:val="14"/>
                <w:lang w:eastAsia="en-US"/>
              </w:rPr>
              <w:t>,</w:t>
            </w:r>
            <w:r w:rsidRPr="00992B73">
              <w:rPr>
                <w:rFonts w:cs="Arial"/>
                <w:szCs w:val="14"/>
                <w:lang w:eastAsia="en-US"/>
              </w:rPr>
              <w:t>697</w:t>
            </w:r>
          </w:p>
        </w:tc>
        <w:tc>
          <w:tcPr>
            <w:tcW w:w="1505" w:type="dxa"/>
            <w:tcBorders>
              <w:top w:val="nil"/>
              <w:left w:val="nil"/>
              <w:bottom w:val="nil"/>
              <w:right w:val="nil"/>
            </w:tcBorders>
            <w:shd w:val="clear" w:color="auto" w:fill="auto"/>
            <w:vAlign w:val="center"/>
            <w:hideMark/>
          </w:tcPr>
          <w:p w14:paraId="6F4AAAE7" w14:textId="77777777" w:rsidR="00613FF1" w:rsidRDefault="00613FF1" w:rsidP="0011203E">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992B73">
              <w:rPr>
                <w:rFonts w:cs="Arial"/>
                <w:szCs w:val="14"/>
                <w:lang w:eastAsia="en-US"/>
              </w:rPr>
              <w:t>1</w:t>
            </w:r>
            <w:r>
              <w:rPr>
                <w:rFonts w:cs="Arial"/>
                <w:szCs w:val="14"/>
                <w:lang w:eastAsia="en-US"/>
              </w:rPr>
              <w:t>,</w:t>
            </w:r>
            <w:r w:rsidRPr="00992B73">
              <w:rPr>
                <w:rFonts w:cs="Arial"/>
                <w:szCs w:val="14"/>
                <w:lang w:eastAsia="en-US"/>
              </w:rPr>
              <w:t>040</w:t>
            </w:r>
            <w:r>
              <w:rPr>
                <w:rFonts w:cs="Arial"/>
                <w:szCs w:val="14"/>
                <w:lang w:eastAsia="en-US"/>
              </w:rPr>
              <w:t>,</w:t>
            </w:r>
            <w:r w:rsidRPr="00992B73">
              <w:rPr>
                <w:rFonts w:cs="Arial"/>
                <w:szCs w:val="14"/>
                <w:lang w:eastAsia="en-US"/>
              </w:rPr>
              <w:t>024</w:t>
            </w:r>
          </w:p>
        </w:tc>
      </w:tr>
      <w:tr w:rsidR="00613FF1" w14:paraId="14C41713" w14:textId="77777777" w:rsidTr="0016289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single" w:sz="2" w:space="0" w:color="1F4E79" w:themeColor="accent1" w:themeShade="80"/>
              <w:right w:val="nil"/>
            </w:tcBorders>
            <w:shd w:val="clear" w:color="auto" w:fill="auto"/>
            <w:hideMark/>
          </w:tcPr>
          <w:p w14:paraId="6346DEC4" w14:textId="77777777" w:rsidR="00613FF1" w:rsidRDefault="00613FF1" w:rsidP="0011203E">
            <w:pPr>
              <w:pStyle w:val="08-Tabelageral"/>
              <w:jc w:val="left"/>
              <w:rPr>
                <w:rFonts w:cs="Arial"/>
                <w:bCs w:val="0"/>
                <w:lang w:eastAsia="en-US"/>
              </w:rPr>
            </w:pPr>
            <w:r w:rsidRPr="00BC1485">
              <w:rPr>
                <w:rFonts w:cs="Arial"/>
                <w:bCs w:val="0"/>
                <w:lang w:eastAsia="en-US"/>
              </w:rPr>
              <w:t>(=) Dividends payable (6+7-8)</w:t>
            </w:r>
          </w:p>
        </w:tc>
        <w:tc>
          <w:tcPr>
            <w:tcW w:w="1504" w:type="dxa"/>
            <w:tcBorders>
              <w:top w:val="nil"/>
              <w:left w:val="nil"/>
              <w:bottom w:val="single" w:sz="2" w:space="0" w:color="1F4E79" w:themeColor="accent1" w:themeShade="80"/>
              <w:right w:val="nil"/>
            </w:tcBorders>
            <w:shd w:val="clear" w:color="auto" w:fill="auto"/>
            <w:vAlign w:val="center"/>
          </w:tcPr>
          <w:p w14:paraId="30DCF6A5" w14:textId="77777777" w:rsidR="00613FF1" w:rsidRPr="00DB2F09" w:rsidRDefault="00613FF1" w:rsidP="0011203E">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992B73">
              <w:rPr>
                <w:rFonts w:cs="Arial"/>
                <w:b/>
                <w:szCs w:val="14"/>
                <w:lang w:eastAsia="en-US"/>
              </w:rPr>
              <w:t>3</w:t>
            </w:r>
            <w:r>
              <w:rPr>
                <w:rFonts w:cs="Arial"/>
                <w:b/>
                <w:szCs w:val="14"/>
                <w:lang w:eastAsia="en-US"/>
              </w:rPr>
              <w:t>,</w:t>
            </w:r>
            <w:r w:rsidRPr="00992B73">
              <w:rPr>
                <w:rFonts w:cs="Arial"/>
                <w:b/>
                <w:szCs w:val="14"/>
                <w:lang w:eastAsia="en-US"/>
              </w:rPr>
              <w:t>673</w:t>
            </w:r>
            <w:r>
              <w:rPr>
                <w:rFonts w:cs="Arial"/>
                <w:b/>
                <w:szCs w:val="14"/>
                <w:lang w:eastAsia="en-US"/>
              </w:rPr>
              <w:t>,</w:t>
            </w:r>
            <w:r w:rsidRPr="00992B73">
              <w:rPr>
                <w:rFonts w:cs="Arial"/>
                <w:b/>
                <w:szCs w:val="14"/>
                <w:lang w:eastAsia="en-US"/>
              </w:rPr>
              <w:t>724</w:t>
            </w:r>
          </w:p>
        </w:tc>
        <w:tc>
          <w:tcPr>
            <w:tcW w:w="1505" w:type="dxa"/>
            <w:tcBorders>
              <w:top w:val="nil"/>
              <w:left w:val="nil"/>
              <w:bottom w:val="single" w:sz="2" w:space="0" w:color="1F4E79" w:themeColor="accent1" w:themeShade="80"/>
              <w:right w:val="nil"/>
            </w:tcBorders>
            <w:shd w:val="clear" w:color="auto" w:fill="auto"/>
            <w:vAlign w:val="center"/>
            <w:hideMark/>
          </w:tcPr>
          <w:p w14:paraId="27EEF1EF" w14:textId="77777777" w:rsidR="00613FF1" w:rsidRPr="00DB2F09" w:rsidRDefault="00613FF1" w:rsidP="0011203E">
            <w:pPr>
              <w:pStyle w:val="08-Tabelageral"/>
              <w:cnfStyle w:val="000000010000" w:firstRow="0" w:lastRow="0" w:firstColumn="0" w:lastColumn="0" w:oddVBand="0" w:evenVBand="0" w:oddHBand="0" w:evenHBand="1" w:firstRowFirstColumn="0" w:firstRowLastColumn="0" w:lastRowFirstColumn="0" w:lastRowLastColumn="0"/>
              <w:rPr>
                <w:b/>
                <w:lang w:eastAsia="en-US"/>
              </w:rPr>
            </w:pPr>
            <w:r w:rsidRPr="00992B73">
              <w:rPr>
                <w:rFonts w:cs="Arial"/>
                <w:b/>
                <w:szCs w:val="14"/>
                <w:lang w:eastAsia="en-US"/>
              </w:rPr>
              <w:t>1</w:t>
            </w:r>
            <w:r>
              <w:rPr>
                <w:rFonts w:cs="Arial"/>
                <w:b/>
                <w:szCs w:val="14"/>
                <w:lang w:eastAsia="en-US"/>
              </w:rPr>
              <w:t>,</w:t>
            </w:r>
            <w:r w:rsidRPr="00992B73">
              <w:rPr>
                <w:rFonts w:cs="Arial"/>
                <w:b/>
                <w:szCs w:val="14"/>
                <w:lang w:eastAsia="en-US"/>
              </w:rPr>
              <w:t>831</w:t>
            </w:r>
            <w:r>
              <w:rPr>
                <w:rFonts w:cs="Arial"/>
                <w:b/>
                <w:szCs w:val="14"/>
                <w:lang w:eastAsia="en-US"/>
              </w:rPr>
              <w:t>,</w:t>
            </w:r>
            <w:r w:rsidRPr="00992B73">
              <w:rPr>
                <w:rFonts w:cs="Arial"/>
                <w:b/>
                <w:szCs w:val="14"/>
                <w:lang w:eastAsia="en-US"/>
              </w:rPr>
              <w:t>269</w:t>
            </w:r>
          </w:p>
        </w:tc>
      </w:tr>
    </w:tbl>
    <w:p w14:paraId="41B5DEB0" w14:textId="77777777" w:rsidR="00613FF1" w:rsidRPr="00E2299D" w:rsidRDefault="00613FF1" w:rsidP="0011203E">
      <w:pPr>
        <w:pStyle w:val="PargrafodaLista"/>
        <w:spacing w:after="0"/>
        <w:ind w:left="284" w:hanging="284"/>
        <w:jc w:val="both"/>
        <w:rPr>
          <w:rFonts w:ascii="Arial" w:eastAsia="Times New Roman" w:hAnsi="Arial" w:cs="Times New Roman"/>
          <w:spacing w:val="-2"/>
          <w:sz w:val="14"/>
          <w:szCs w:val="18"/>
          <w:lang w:val="en-US" w:eastAsia="pt-BR"/>
        </w:rPr>
      </w:pPr>
      <w:r w:rsidRPr="00E2299D">
        <w:rPr>
          <w:rFonts w:ascii="Arial" w:eastAsia="Times New Roman" w:hAnsi="Arial" w:cs="Times New Roman"/>
          <w:spacing w:val="-2"/>
          <w:sz w:val="14"/>
          <w:szCs w:val="18"/>
          <w:lang w:val="en-US" w:eastAsia="pt-BR"/>
        </w:rPr>
        <w:t>(1) The legal reserve was not constituted due to its amount having reached the limit of 20% of the capital, as provided for in article 193 of Law 6,404/76 and BB Seguridade's Bylaws.</w:t>
      </w:r>
    </w:p>
    <w:p w14:paraId="792CD4E9" w14:textId="77777777" w:rsidR="00613FF1" w:rsidRPr="00E2299D" w:rsidRDefault="00613FF1" w:rsidP="00F55DD0">
      <w:pPr>
        <w:pStyle w:val="01-Textonormal"/>
        <w:rPr>
          <w:b/>
          <w:color w:val="1F4E79" w:themeColor="accent1" w:themeShade="80"/>
          <w:lang w:val="en-US"/>
        </w:rPr>
      </w:pPr>
    </w:p>
    <w:p w14:paraId="47F0D9B8" w14:textId="77777777" w:rsidR="00613FF1" w:rsidRDefault="00613FF1" w:rsidP="00F55DD0">
      <w:pPr>
        <w:pStyle w:val="01-Textonormal"/>
        <w:rPr>
          <w:lang w:val="en"/>
        </w:rPr>
      </w:pPr>
      <w:r w:rsidRPr="00221245">
        <w:rPr>
          <w:lang w:val="en"/>
        </w:rPr>
        <w:t>BB Seguridade has a Dividend Policy, available on the Investor Relations website, approved within the Board of Directors and revised at least every three years.</w:t>
      </w:r>
    </w:p>
    <w:p w14:paraId="7DDD310C" w14:textId="77777777" w:rsidR="00613FF1" w:rsidRDefault="00613FF1" w:rsidP="00F55DD0">
      <w:pPr>
        <w:pStyle w:val="01-Textonormal"/>
        <w:rPr>
          <w:lang w:val="en"/>
        </w:rPr>
      </w:pPr>
      <w:r>
        <w:rPr>
          <w:rStyle w:val="rynqvb"/>
          <w:lang w:val="en"/>
        </w:rPr>
        <w:t>The proposed dividends were approved by the Board of Directors and, deducted from those amounts already paid in advance in the fiscal year, are recognized in Current Liabilities (Corporate and Statutory Obligations).</w:t>
      </w:r>
    </w:p>
    <w:p w14:paraId="29AF84F5" w14:textId="77777777" w:rsidR="00613FF1" w:rsidRPr="00613FF1" w:rsidRDefault="00613FF1" w:rsidP="005659D8">
      <w:pPr>
        <w:pStyle w:val="01-Textonormal"/>
        <w:rPr>
          <w:rStyle w:val="q4iawc"/>
          <w:lang w:val="en-US"/>
        </w:rPr>
      </w:pPr>
      <w:r w:rsidRPr="005B19F2">
        <w:rPr>
          <w:rStyle w:val="q4iawc"/>
          <w:lang w:val="en-US"/>
        </w:rPr>
        <w:t>BB Seguridade paid, in February 2022, the amount of R$ 1,831,248 thousand in dividends referring to the profit for the 2</w:t>
      </w:r>
      <w:r w:rsidRPr="005B19F2">
        <w:rPr>
          <w:rStyle w:val="q4iawc"/>
          <w:vertAlign w:val="superscript"/>
          <w:lang w:val="en-US"/>
        </w:rPr>
        <w:t>nd</w:t>
      </w:r>
      <w:r w:rsidRPr="005B19F2">
        <w:rPr>
          <w:rStyle w:val="q4iawc"/>
          <w:lang w:val="en-US"/>
        </w:rPr>
        <w:t xml:space="preserve"> </w:t>
      </w:r>
      <w:r>
        <w:rPr>
          <w:rStyle w:val="q4iawc"/>
          <w:lang w:val="en-US"/>
        </w:rPr>
        <w:t>semester</w:t>
      </w:r>
      <w:r w:rsidRPr="005B19F2">
        <w:rPr>
          <w:rStyle w:val="q4iawc"/>
          <w:lang w:val="en-US"/>
        </w:rPr>
        <w:t>2021, plus R$ 21 thousand of prescribed dividends in the 1</w:t>
      </w:r>
      <w:r w:rsidRPr="005B19F2">
        <w:rPr>
          <w:rStyle w:val="q4iawc"/>
          <w:vertAlign w:val="superscript"/>
          <w:lang w:val="en-US"/>
        </w:rPr>
        <w:t>st</w:t>
      </w:r>
      <w:r w:rsidRPr="005B19F2">
        <w:rPr>
          <w:rStyle w:val="q4iawc"/>
          <w:lang w:val="en-US"/>
        </w:rPr>
        <w:t xml:space="preserve"> quarter of 2022, as approved by the Board of Administration on </w:t>
      </w:r>
      <w:r>
        <w:rPr>
          <w:rStyle w:val="q4iawc"/>
          <w:lang w:val="en-US"/>
        </w:rPr>
        <w:t xml:space="preserve">December </w:t>
      </w:r>
      <w:r w:rsidRPr="005B19F2">
        <w:rPr>
          <w:rStyle w:val="q4iawc"/>
          <w:lang w:val="en-US"/>
        </w:rPr>
        <w:t>1</w:t>
      </w:r>
      <w:r>
        <w:rPr>
          <w:rStyle w:val="q4iawc"/>
          <w:lang w:val="en-US"/>
        </w:rPr>
        <w:t xml:space="preserve">7, </w:t>
      </w:r>
      <w:r w:rsidRPr="005B19F2">
        <w:rPr>
          <w:rStyle w:val="q4iawc"/>
          <w:lang w:val="en-US"/>
        </w:rPr>
        <w:t xml:space="preserve">2021. </w:t>
      </w:r>
      <w:r w:rsidRPr="00613FF1">
        <w:rPr>
          <w:rStyle w:val="q4iawc"/>
          <w:lang w:val="en-US"/>
        </w:rPr>
        <w:t>Monetary restatement of R$ 25,745 thousand was levied on these amounts, at the Selic rate, totaling R$ 1,857,014 thousand.</w:t>
      </w:r>
    </w:p>
    <w:p w14:paraId="4D8C7E8C" w14:textId="77777777" w:rsidR="00613FF1" w:rsidRDefault="00613FF1" w:rsidP="005659D8">
      <w:pPr>
        <w:pStyle w:val="01-Textonormal"/>
        <w:rPr>
          <w:rStyle w:val="q4iawc"/>
          <w:lang w:val="en"/>
        </w:rPr>
      </w:pPr>
      <w:r w:rsidRPr="00E441F9">
        <w:rPr>
          <w:rStyle w:val="q4iawc"/>
          <w:lang w:val="en"/>
        </w:rPr>
        <w:t xml:space="preserve">BB Seguridade paid in August 2022 the amount of R$ 2,068,697 thousand of interim dividends approved by the Board of Directors of BB Seguridade on </w:t>
      </w:r>
      <w:r>
        <w:rPr>
          <w:rStyle w:val="q4iawc"/>
          <w:lang w:val="en"/>
        </w:rPr>
        <w:t xml:space="preserve">June </w:t>
      </w:r>
      <w:r w:rsidRPr="00E441F9">
        <w:rPr>
          <w:rStyle w:val="q4iawc"/>
          <w:lang w:val="en"/>
        </w:rPr>
        <w:t>27</w:t>
      </w:r>
      <w:r>
        <w:rPr>
          <w:rStyle w:val="q4iawc"/>
          <w:lang w:val="en"/>
        </w:rPr>
        <w:t xml:space="preserve">, </w:t>
      </w:r>
      <w:r w:rsidRPr="00E441F9">
        <w:rPr>
          <w:rStyle w:val="q4iawc"/>
          <w:lang w:val="en"/>
        </w:rPr>
        <w:t>2022 according to its bylaws, of which R$ 2,068,642 thousand refer to the profit of the 1</w:t>
      </w:r>
      <w:r w:rsidRPr="0066317F">
        <w:rPr>
          <w:rStyle w:val="q4iawc"/>
          <w:vertAlign w:val="superscript"/>
          <w:lang w:val="en"/>
        </w:rPr>
        <w:t>st</w:t>
      </w:r>
      <w:r w:rsidRPr="00E441F9">
        <w:rPr>
          <w:rStyle w:val="q4iawc"/>
          <w:lang w:val="en"/>
        </w:rPr>
        <w:t xml:space="preserve"> semester 2022 and R$ 55 thousand of prescribed dividends in the period.</w:t>
      </w:r>
    </w:p>
    <w:p w14:paraId="21DFAF02" w14:textId="77777777" w:rsidR="00613FF1" w:rsidRPr="00F55DD0" w:rsidRDefault="00613FF1" w:rsidP="005659D8">
      <w:pPr>
        <w:pStyle w:val="01-Textonormal"/>
        <w:rPr>
          <w:b/>
          <w:color w:val="1F4E79" w:themeColor="accent1" w:themeShade="80"/>
        </w:rPr>
      </w:pPr>
      <w:r w:rsidRPr="00F55DD0">
        <w:rPr>
          <w:b/>
          <w:color w:val="1F4E79" w:themeColor="accent1" w:themeShade="80"/>
        </w:rPr>
        <w:t>d.1) Dividends per Share</w:t>
      </w:r>
    </w:p>
    <w:tbl>
      <w:tblPr>
        <w:tblStyle w:val="TabeladeLista6Colorida-nfase5"/>
        <w:tblW w:w="9639" w:type="dxa"/>
        <w:jc w:val="center"/>
        <w:tblLayout w:type="fixed"/>
        <w:tblLook w:val="04A0" w:firstRow="1" w:lastRow="0" w:firstColumn="1" w:lastColumn="0" w:noHBand="0" w:noVBand="1"/>
      </w:tblPr>
      <w:tblGrid>
        <w:gridCol w:w="1290"/>
        <w:gridCol w:w="975"/>
        <w:gridCol w:w="931"/>
        <w:gridCol w:w="247"/>
        <w:gridCol w:w="1074"/>
        <w:gridCol w:w="932"/>
        <w:gridCol w:w="159"/>
        <w:gridCol w:w="114"/>
        <w:gridCol w:w="29"/>
        <w:gridCol w:w="176"/>
        <w:gridCol w:w="945"/>
        <w:gridCol w:w="908"/>
        <w:gridCol w:w="58"/>
        <w:gridCol w:w="868"/>
        <w:gridCol w:w="933"/>
      </w:tblGrid>
      <w:tr w:rsidR="00613FF1" w:rsidRPr="00BC1485" w14:paraId="1C1D2941" w14:textId="77777777" w:rsidTr="005659D8">
        <w:trPr>
          <w:cnfStyle w:val="100000000000" w:firstRow="1" w:lastRow="0" w:firstColumn="0" w:lastColumn="0" w:oddVBand="0" w:evenVBand="0" w:oddHBand="0"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1290" w:type="dxa"/>
            <w:vMerge w:val="restart"/>
            <w:tcBorders>
              <w:top w:val="single" w:sz="2" w:space="0" w:color="1F4E79" w:themeColor="accent1" w:themeShade="80"/>
              <w:left w:val="nil"/>
              <w:bottom w:val="single" w:sz="2" w:space="0" w:color="8EAADB" w:themeColor="accent5" w:themeTint="99"/>
              <w:right w:val="nil"/>
            </w:tcBorders>
            <w:shd w:val="clear" w:color="auto" w:fill="auto"/>
            <w:vAlign w:val="center"/>
          </w:tcPr>
          <w:p w14:paraId="1D4993A8" w14:textId="77777777" w:rsidR="00613FF1" w:rsidRPr="00BC1485" w:rsidRDefault="00613FF1" w:rsidP="00DF0A2D">
            <w:pPr>
              <w:pStyle w:val="08-Tabelageral"/>
              <w:jc w:val="center"/>
              <w:rPr>
                <w:rFonts w:cs="Arial"/>
                <w:b w:val="0"/>
                <w:lang w:eastAsia="en-US"/>
              </w:rPr>
            </w:pPr>
          </w:p>
        </w:tc>
        <w:tc>
          <w:tcPr>
            <w:tcW w:w="1906" w:type="dxa"/>
            <w:gridSpan w:val="2"/>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2AB242CA" w14:textId="77777777" w:rsidR="00613FF1" w:rsidRPr="00BC1485" w:rsidRDefault="00613FF1" w:rsidP="00DF0A2D">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rFonts w:cs="Arial"/>
                <w:lang w:eastAsia="en-US"/>
              </w:rPr>
            </w:pPr>
            <w:r w:rsidRPr="00BC1485">
              <w:rPr>
                <w:rFonts w:cs="Arial"/>
                <w:kern w:val="2"/>
                <w:szCs w:val="14"/>
                <w:lang w:eastAsia="en-US"/>
              </w:rPr>
              <w:t>2</w:t>
            </w:r>
            <w:r w:rsidRPr="00373371">
              <w:rPr>
                <w:rFonts w:cs="Arial"/>
                <w:kern w:val="2"/>
                <w:szCs w:val="14"/>
                <w:vertAlign w:val="superscript"/>
                <w:lang w:eastAsia="en-US"/>
              </w:rPr>
              <w:t>nd</w:t>
            </w:r>
            <w:r w:rsidRPr="00BC1485">
              <w:rPr>
                <w:rFonts w:cs="Arial"/>
                <w:kern w:val="2"/>
                <w:szCs w:val="14"/>
                <w:lang w:eastAsia="en-US"/>
              </w:rPr>
              <w:t xml:space="preserve"> Half</w:t>
            </w:r>
            <w:r>
              <w:rPr>
                <w:rFonts w:cs="Arial"/>
                <w:kern w:val="2"/>
                <w:szCs w:val="14"/>
                <w:lang w:eastAsia="en-US"/>
              </w:rPr>
              <w:t xml:space="preserve"> </w:t>
            </w:r>
            <w:r w:rsidRPr="00BC1485">
              <w:rPr>
                <w:rFonts w:cs="Arial"/>
                <w:kern w:val="2"/>
                <w:szCs w:val="14"/>
                <w:lang w:eastAsia="en-US"/>
              </w:rPr>
              <w:t>202</w:t>
            </w:r>
            <w:r>
              <w:rPr>
                <w:rFonts w:cs="Arial"/>
                <w:kern w:val="2"/>
                <w:szCs w:val="14"/>
                <w:lang w:eastAsia="en-US"/>
              </w:rPr>
              <w:t>2</w:t>
            </w:r>
          </w:p>
        </w:tc>
        <w:tc>
          <w:tcPr>
            <w:tcW w:w="2412" w:type="dxa"/>
            <w:gridSpan w:val="4"/>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13B9000D" w14:textId="77777777" w:rsidR="00613FF1" w:rsidRPr="00BC1485" w:rsidRDefault="00613FF1" w:rsidP="00DF0A2D">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rFonts w:cs="Arial"/>
                <w:lang w:eastAsia="en-US"/>
              </w:rPr>
            </w:pPr>
            <w:r w:rsidRPr="00BC1485">
              <w:rPr>
                <w:rFonts w:cs="Arial"/>
                <w:kern w:val="2"/>
                <w:szCs w:val="14"/>
                <w:lang w:eastAsia="en-US"/>
              </w:rPr>
              <w:t>1</w:t>
            </w:r>
            <w:r w:rsidRPr="00373371">
              <w:rPr>
                <w:rFonts w:cs="Arial"/>
                <w:kern w:val="2"/>
                <w:szCs w:val="14"/>
                <w:vertAlign w:val="superscript"/>
                <w:lang w:eastAsia="en-US"/>
              </w:rPr>
              <w:t xml:space="preserve">st </w:t>
            </w:r>
            <w:r w:rsidRPr="00BC1485">
              <w:rPr>
                <w:rFonts w:cs="Arial"/>
                <w:kern w:val="2"/>
                <w:szCs w:val="14"/>
                <w:lang w:eastAsia="en-US"/>
              </w:rPr>
              <w:t>Half</w:t>
            </w:r>
            <w:r>
              <w:rPr>
                <w:rFonts w:cs="Arial"/>
                <w:kern w:val="2"/>
                <w:szCs w:val="14"/>
                <w:lang w:eastAsia="en-US"/>
              </w:rPr>
              <w:t xml:space="preserve"> 2</w:t>
            </w:r>
            <w:r w:rsidRPr="00BC1485">
              <w:rPr>
                <w:rFonts w:cs="Arial"/>
                <w:kern w:val="2"/>
                <w:szCs w:val="14"/>
                <w:lang w:eastAsia="en-US"/>
              </w:rPr>
              <w:t>02</w:t>
            </w:r>
            <w:r>
              <w:rPr>
                <w:rFonts w:cs="Arial"/>
                <w:kern w:val="2"/>
                <w:szCs w:val="14"/>
                <w:lang w:eastAsia="en-US"/>
              </w:rPr>
              <w:t>2</w:t>
            </w:r>
          </w:p>
        </w:tc>
        <w:tc>
          <w:tcPr>
            <w:tcW w:w="319" w:type="dxa"/>
            <w:gridSpan w:val="3"/>
            <w:tcBorders>
              <w:top w:val="single" w:sz="2" w:space="0" w:color="1F4E79" w:themeColor="accent1" w:themeShade="80"/>
              <w:left w:val="nil"/>
              <w:bottom w:val="nil"/>
              <w:right w:val="nil"/>
            </w:tcBorders>
            <w:shd w:val="clear" w:color="auto" w:fill="auto"/>
          </w:tcPr>
          <w:p w14:paraId="3B439CD5" w14:textId="77777777" w:rsidR="00613FF1" w:rsidRPr="00BC1485" w:rsidRDefault="00613FF1" w:rsidP="00DF0A2D">
            <w:pPr>
              <w:pStyle w:val="08-Tabelageral"/>
              <w:jc w:val="center"/>
              <w:cnfStyle w:val="100000000000" w:firstRow="1" w:lastRow="0" w:firstColumn="0" w:lastColumn="0" w:oddVBand="0" w:evenVBand="0" w:oddHBand="0" w:evenHBand="0" w:firstRowFirstColumn="0" w:firstRowLastColumn="0" w:lastRowFirstColumn="0" w:lastRowLastColumn="0"/>
              <w:rPr>
                <w:rFonts w:cs="Arial"/>
                <w:lang w:eastAsia="en-US"/>
              </w:rPr>
            </w:pPr>
          </w:p>
        </w:tc>
        <w:tc>
          <w:tcPr>
            <w:tcW w:w="1911" w:type="dxa"/>
            <w:gridSpan w:val="3"/>
            <w:tcBorders>
              <w:top w:val="single" w:sz="2" w:space="0" w:color="1F4E79" w:themeColor="accent1" w:themeShade="80"/>
              <w:left w:val="nil"/>
              <w:bottom w:val="single" w:sz="2" w:space="0" w:color="8EAADB" w:themeColor="accent5" w:themeTint="99"/>
              <w:right w:val="nil"/>
            </w:tcBorders>
            <w:shd w:val="clear" w:color="auto" w:fill="auto"/>
            <w:hideMark/>
          </w:tcPr>
          <w:p w14:paraId="2BE4745E" w14:textId="77777777" w:rsidR="00613FF1" w:rsidRPr="00BC1485" w:rsidRDefault="00613FF1" w:rsidP="00DF0A2D">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rFonts w:cs="Arial"/>
                <w:lang w:eastAsia="en-US"/>
              </w:rPr>
            </w:pPr>
            <w:r w:rsidRPr="00BC1485">
              <w:rPr>
                <w:rFonts w:cs="Arial"/>
                <w:kern w:val="2"/>
                <w:szCs w:val="14"/>
                <w:lang w:eastAsia="en-US"/>
              </w:rPr>
              <w:t>2</w:t>
            </w:r>
            <w:r w:rsidRPr="00373371">
              <w:rPr>
                <w:rFonts w:cs="Arial"/>
                <w:kern w:val="2"/>
                <w:szCs w:val="14"/>
                <w:vertAlign w:val="superscript"/>
                <w:lang w:eastAsia="en-US"/>
              </w:rPr>
              <w:t>nd</w:t>
            </w:r>
            <w:r w:rsidRPr="00BC1485">
              <w:rPr>
                <w:rFonts w:cs="Arial"/>
                <w:kern w:val="2"/>
                <w:szCs w:val="14"/>
                <w:lang w:eastAsia="en-US"/>
              </w:rPr>
              <w:t xml:space="preserve"> Half</w:t>
            </w:r>
            <w:r>
              <w:rPr>
                <w:rFonts w:cs="Arial"/>
                <w:kern w:val="2"/>
                <w:szCs w:val="14"/>
                <w:lang w:eastAsia="en-US"/>
              </w:rPr>
              <w:t xml:space="preserve"> </w:t>
            </w:r>
            <w:r w:rsidRPr="00BC1485">
              <w:rPr>
                <w:rFonts w:cs="Arial"/>
                <w:kern w:val="2"/>
                <w:szCs w:val="14"/>
                <w:lang w:eastAsia="en-US"/>
              </w:rPr>
              <w:t>20</w:t>
            </w:r>
            <w:r>
              <w:rPr>
                <w:rFonts w:cs="Arial"/>
                <w:kern w:val="2"/>
                <w:szCs w:val="14"/>
                <w:lang w:eastAsia="en-US"/>
              </w:rPr>
              <w:t>21</w:t>
            </w:r>
          </w:p>
        </w:tc>
        <w:tc>
          <w:tcPr>
            <w:tcW w:w="1801" w:type="dxa"/>
            <w:gridSpan w:val="2"/>
            <w:tcBorders>
              <w:top w:val="single" w:sz="2" w:space="0" w:color="1F4E79" w:themeColor="accent1" w:themeShade="80"/>
              <w:left w:val="nil"/>
              <w:bottom w:val="nil"/>
              <w:right w:val="nil"/>
            </w:tcBorders>
            <w:shd w:val="clear" w:color="auto" w:fill="auto"/>
            <w:hideMark/>
          </w:tcPr>
          <w:p w14:paraId="7650FD95" w14:textId="77777777" w:rsidR="00613FF1" w:rsidRPr="00BC1485" w:rsidRDefault="00613FF1" w:rsidP="005659D8">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kern w:val="2"/>
                <w:szCs w:val="14"/>
                <w:lang w:eastAsia="en-US"/>
              </w:rPr>
            </w:pPr>
            <w:r w:rsidRPr="00BC1485">
              <w:rPr>
                <w:rFonts w:cs="Arial"/>
                <w:kern w:val="2"/>
                <w:szCs w:val="14"/>
                <w:lang w:eastAsia="en-US"/>
              </w:rPr>
              <w:t>1</w:t>
            </w:r>
            <w:r w:rsidRPr="00373371">
              <w:rPr>
                <w:rFonts w:cs="Arial"/>
                <w:kern w:val="2"/>
                <w:szCs w:val="14"/>
                <w:vertAlign w:val="superscript"/>
                <w:lang w:eastAsia="en-US"/>
              </w:rPr>
              <w:t>st</w:t>
            </w:r>
            <w:r w:rsidRPr="00BC1485">
              <w:rPr>
                <w:rFonts w:cs="Arial"/>
                <w:kern w:val="2"/>
                <w:szCs w:val="14"/>
                <w:lang w:eastAsia="en-US"/>
              </w:rPr>
              <w:t xml:space="preserve"> Half</w:t>
            </w:r>
            <w:r>
              <w:rPr>
                <w:rFonts w:cs="Arial"/>
                <w:kern w:val="2"/>
                <w:szCs w:val="14"/>
                <w:lang w:eastAsia="en-US"/>
              </w:rPr>
              <w:t xml:space="preserve"> </w:t>
            </w:r>
            <w:r w:rsidRPr="00BC1485">
              <w:rPr>
                <w:rFonts w:cs="Arial"/>
                <w:kern w:val="2"/>
                <w:szCs w:val="14"/>
                <w:lang w:eastAsia="en-US"/>
              </w:rPr>
              <w:t>20</w:t>
            </w:r>
            <w:r>
              <w:rPr>
                <w:rFonts w:cs="Arial"/>
                <w:kern w:val="2"/>
                <w:szCs w:val="14"/>
                <w:lang w:eastAsia="en-US"/>
              </w:rPr>
              <w:t>21</w:t>
            </w:r>
          </w:p>
        </w:tc>
      </w:tr>
      <w:tr w:rsidR="00613FF1" w:rsidRPr="00BC1485" w14:paraId="5B437D78" w14:textId="77777777" w:rsidTr="005659D8">
        <w:trPr>
          <w:cnfStyle w:val="000000100000" w:firstRow="0" w:lastRow="0" w:firstColumn="0" w:lastColumn="0" w:oddVBand="0" w:evenVBand="0" w:oddHBand="1" w:evenHBand="0" w:firstRowFirstColumn="0" w:firstRowLastColumn="0" w:lastRowFirstColumn="0" w:lastRowLastColumn="0"/>
          <w:trHeight w:hRule="exact" w:val="759"/>
          <w:jc w:val="center"/>
        </w:trPr>
        <w:tc>
          <w:tcPr>
            <w:cnfStyle w:val="001000000000" w:firstRow="0" w:lastRow="0" w:firstColumn="1" w:lastColumn="0" w:oddVBand="0" w:evenVBand="0" w:oddHBand="0" w:evenHBand="0" w:firstRowFirstColumn="0" w:firstRowLastColumn="0" w:lastRowFirstColumn="0" w:lastRowLastColumn="0"/>
            <w:tcW w:w="1290" w:type="dxa"/>
            <w:vMerge/>
            <w:tcBorders>
              <w:top w:val="single" w:sz="2" w:space="0" w:color="8EAADB" w:themeColor="accent5" w:themeTint="99"/>
              <w:left w:val="nil"/>
              <w:bottom w:val="single" w:sz="2" w:space="0" w:color="1F4E79" w:themeColor="accent1" w:themeShade="80"/>
              <w:right w:val="nil"/>
            </w:tcBorders>
            <w:shd w:val="clear" w:color="auto" w:fill="auto"/>
            <w:vAlign w:val="center"/>
            <w:hideMark/>
          </w:tcPr>
          <w:p w14:paraId="25C45A49" w14:textId="77777777" w:rsidR="00613FF1" w:rsidRPr="00BC1485" w:rsidRDefault="00613FF1" w:rsidP="00DF0A2D">
            <w:pPr>
              <w:rPr>
                <w:rFonts w:eastAsia="Times New Roman" w:cs="Arial"/>
                <w:spacing w:val="-2"/>
                <w:sz w:val="14"/>
                <w:szCs w:val="18"/>
              </w:rPr>
            </w:pPr>
          </w:p>
        </w:tc>
        <w:tc>
          <w:tcPr>
            <w:tcW w:w="975" w:type="dxa"/>
            <w:tcBorders>
              <w:top w:val="single" w:sz="2" w:space="0" w:color="8EAADB" w:themeColor="accent5" w:themeTint="99"/>
              <w:left w:val="nil"/>
              <w:bottom w:val="single" w:sz="2" w:space="0" w:color="1F4E79" w:themeColor="accent1" w:themeShade="80"/>
              <w:right w:val="nil"/>
            </w:tcBorders>
            <w:shd w:val="clear" w:color="auto" w:fill="auto"/>
            <w:vAlign w:val="center"/>
            <w:hideMark/>
          </w:tcPr>
          <w:p w14:paraId="78C87AC8"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kern w:val="2"/>
                <w:szCs w:val="14"/>
                <w:lang w:eastAsia="en-US"/>
              </w:rPr>
              <w:t>Amount</w:t>
            </w:r>
          </w:p>
          <w:p w14:paraId="3E1B49CF"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kern w:val="2"/>
                <w:szCs w:val="14"/>
                <w:lang w:eastAsia="en-US"/>
              </w:rPr>
              <w:t>(R$ thousand)</w:t>
            </w:r>
          </w:p>
        </w:tc>
        <w:tc>
          <w:tcPr>
            <w:tcW w:w="931" w:type="dxa"/>
            <w:tcBorders>
              <w:top w:val="single" w:sz="2" w:space="0" w:color="8EAADB" w:themeColor="accent5" w:themeTint="99"/>
              <w:left w:val="nil"/>
              <w:bottom w:val="single" w:sz="2" w:space="0" w:color="1F4E79" w:themeColor="accent1" w:themeShade="80"/>
              <w:right w:val="nil"/>
            </w:tcBorders>
            <w:shd w:val="clear" w:color="auto" w:fill="auto"/>
            <w:vAlign w:val="center"/>
            <w:hideMark/>
          </w:tcPr>
          <w:p w14:paraId="37EB6D7B"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color w:val="auto"/>
                <w:kern w:val="2"/>
                <w:szCs w:val="14"/>
                <w:lang w:eastAsia="en-US"/>
              </w:rPr>
              <w:t>Amount per</w:t>
            </w:r>
          </w:p>
          <w:p w14:paraId="5DD3D502"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color w:val="auto"/>
                <w:kern w:val="2"/>
                <w:szCs w:val="14"/>
                <w:lang w:eastAsia="en-US"/>
              </w:rPr>
              <w:t>share (R$)</w:t>
            </w:r>
          </w:p>
        </w:tc>
        <w:tc>
          <w:tcPr>
            <w:tcW w:w="247" w:type="dxa"/>
            <w:tcBorders>
              <w:top w:val="single" w:sz="2" w:space="0" w:color="8EAADB" w:themeColor="accent5" w:themeTint="99"/>
              <w:left w:val="nil"/>
              <w:bottom w:val="single" w:sz="2" w:space="0" w:color="1F4E79" w:themeColor="accent1" w:themeShade="80"/>
              <w:right w:val="nil"/>
            </w:tcBorders>
            <w:shd w:val="clear" w:color="auto" w:fill="auto"/>
            <w:vAlign w:val="center"/>
          </w:tcPr>
          <w:p w14:paraId="229F98F3"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
        </w:tc>
        <w:tc>
          <w:tcPr>
            <w:tcW w:w="1074" w:type="dxa"/>
            <w:tcBorders>
              <w:top w:val="single" w:sz="2" w:space="0" w:color="8EAADB" w:themeColor="accent5" w:themeTint="99"/>
              <w:left w:val="nil"/>
              <w:bottom w:val="single" w:sz="2" w:space="0" w:color="1F4E79" w:themeColor="accent1" w:themeShade="80"/>
              <w:right w:val="nil"/>
            </w:tcBorders>
            <w:shd w:val="clear" w:color="auto" w:fill="auto"/>
            <w:hideMark/>
          </w:tcPr>
          <w:p w14:paraId="5FBB7958"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kern w:val="2"/>
                <w:szCs w:val="14"/>
                <w:lang w:eastAsia="en-US"/>
              </w:rPr>
              <w:t>Amount</w:t>
            </w:r>
          </w:p>
          <w:p w14:paraId="362B015B"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kern w:val="2"/>
                <w:szCs w:val="14"/>
                <w:lang w:eastAsia="en-US"/>
              </w:rPr>
              <w:t>(R$ thousand)</w:t>
            </w:r>
          </w:p>
        </w:tc>
        <w:tc>
          <w:tcPr>
            <w:tcW w:w="932" w:type="dxa"/>
            <w:tcBorders>
              <w:top w:val="single" w:sz="2" w:space="0" w:color="8EAADB" w:themeColor="accent5" w:themeTint="99"/>
              <w:left w:val="nil"/>
              <w:bottom w:val="single" w:sz="2" w:space="0" w:color="1F4E79" w:themeColor="accent1" w:themeShade="80"/>
              <w:right w:val="nil"/>
            </w:tcBorders>
            <w:shd w:val="clear" w:color="auto" w:fill="auto"/>
            <w:hideMark/>
          </w:tcPr>
          <w:p w14:paraId="2ADFD87A"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color w:val="auto"/>
                <w:kern w:val="2"/>
                <w:szCs w:val="14"/>
                <w:lang w:eastAsia="en-US"/>
              </w:rPr>
              <w:t>Amount per</w:t>
            </w:r>
          </w:p>
          <w:p w14:paraId="688080AE"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C1485">
              <w:rPr>
                <w:rFonts w:cs="Arial"/>
                <w:b/>
                <w:bCs/>
                <w:color w:val="auto"/>
                <w:kern w:val="2"/>
                <w:szCs w:val="14"/>
                <w:lang w:eastAsia="en-US"/>
              </w:rPr>
              <w:t>share (R$)</w:t>
            </w:r>
          </w:p>
        </w:tc>
        <w:tc>
          <w:tcPr>
            <w:tcW w:w="302" w:type="dxa"/>
            <w:gridSpan w:val="3"/>
            <w:tcBorders>
              <w:top w:val="nil"/>
              <w:left w:val="nil"/>
              <w:bottom w:val="single" w:sz="2" w:space="0" w:color="1F4E79" w:themeColor="accent1" w:themeShade="80"/>
              <w:right w:val="nil"/>
            </w:tcBorders>
            <w:shd w:val="clear" w:color="auto" w:fill="auto"/>
          </w:tcPr>
          <w:p w14:paraId="24D5948A"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
        </w:tc>
        <w:tc>
          <w:tcPr>
            <w:tcW w:w="1121" w:type="dxa"/>
            <w:gridSpan w:val="2"/>
            <w:tcBorders>
              <w:top w:val="single" w:sz="2" w:space="0" w:color="1F4E79" w:themeColor="accent1" w:themeShade="80"/>
              <w:left w:val="nil"/>
              <w:bottom w:val="single" w:sz="2" w:space="0" w:color="1F4E79" w:themeColor="accent1" w:themeShade="80"/>
              <w:right w:val="nil"/>
            </w:tcBorders>
            <w:shd w:val="clear" w:color="auto" w:fill="auto"/>
            <w:hideMark/>
          </w:tcPr>
          <w:p w14:paraId="30B0393E"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kern w:val="2"/>
                <w:szCs w:val="14"/>
                <w:lang w:eastAsia="en-US"/>
              </w:rPr>
              <w:t>Amount</w:t>
            </w:r>
          </w:p>
          <w:p w14:paraId="7390C175"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C1485">
              <w:rPr>
                <w:rFonts w:cs="Arial"/>
                <w:b/>
                <w:bCs/>
                <w:kern w:val="2"/>
                <w:szCs w:val="14"/>
                <w:lang w:eastAsia="en-US"/>
              </w:rPr>
              <w:t>(R$ thousand)</w:t>
            </w:r>
          </w:p>
        </w:tc>
        <w:tc>
          <w:tcPr>
            <w:tcW w:w="908" w:type="dxa"/>
            <w:tcBorders>
              <w:top w:val="single" w:sz="2" w:space="0" w:color="1F4E79" w:themeColor="accent1" w:themeShade="80"/>
              <w:left w:val="nil"/>
              <w:bottom w:val="single" w:sz="2" w:space="0" w:color="1F4E79" w:themeColor="accent1" w:themeShade="80"/>
              <w:right w:val="nil"/>
            </w:tcBorders>
            <w:shd w:val="clear" w:color="auto" w:fill="auto"/>
            <w:hideMark/>
          </w:tcPr>
          <w:p w14:paraId="135A9FB7"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color w:val="auto"/>
                <w:kern w:val="2"/>
                <w:szCs w:val="14"/>
                <w:lang w:eastAsia="en-US"/>
              </w:rPr>
              <w:t>Amount per</w:t>
            </w:r>
          </w:p>
          <w:p w14:paraId="16ADECD9"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color w:val="auto"/>
                <w:kern w:val="2"/>
                <w:szCs w:val="14"/>
                <w:lang w:eastAsia="en-US"/>
              </w:rPr>
              <w:t>share (R$)</w:t>
            </w:r>
          </w:p>
        </w:tc>
        <w:tc>
          <w:tcPr>
            <w:tcW w:w="926" w:type="dxa"/>
            <w:gridSpan w:val="2"/>
            <w:tcBorders>
              <w:top w:val="single" w:sz="2" w:space="0" w:color="1F4E79" w:themeColor="accent1" w:themeShade="80"/>
              <w:left w:val="nil"/>
              <w:bottom w:val="single" w:sz="2" w:space="0" w:color="1F4E79" w:themeColor="accent1" w:themeShade="80"/>
              <w:right w:val="nil"/>
            </w:tcBorders>
            <w:shd w:val="clear" w:color="auto" w:fill="auto"/>
            <w:hideMark/>
          </w:tcPr>
          <w:p w14:paraId="2964119B"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kern w:val="2"/>
                <w:szCs w:val="14"/>
                <w:lang w:eastAsia="en-US"/>
              </w:rPr>
              <w:t>Amount</w:t>
            </w:r>
          </w:p>
          <w:p w14:paraId="7F0439CD"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kern w:val="2"/>
                <w:szCs w:val="14"/>
                <w:lang w:eastAsia="en-US"/>
              </w:rPr>
              <w:t>(R$ thousand)</w:t>
            </w:r>
          </w:p>
        </w:tc>
        <w:tc>
          <w:tcPr>
            <w:tcW w:w="933" w:type="dxa"/>
            <w:tcBorders>
              <w:top w:val="single" w:sz="2" w:space="0" w:color="1F4E79" w:themeColor="accent1" w:themeShade="80"/>
              <w:left w:val="nil"/>
              <w:bottom w:val="single" w:sz="2" w:space="0" w:color="1F4E79" w:themeColor="accent1" w:themeShade="80"/>
              <w:right w:val="nil"/>
            </w:tcBorders>
            <w:shd w:val="clear" w:color="auto" w:fill="auto"/>
            <w:hideMark/>
          </w:tcPr>
          <w:p w14:paraId="602A6D26"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color w:val="auto"/>
                <w:kern w:val="2"/>
                <w:szCs w:val="14"/>
                <w:lang w:eastAsia="en-US"/>
              </w:rPr>
              <w:t>Amount per</w:t>
            </w:r>
          </w:p>
          <w:p w14:paraId="56AA386C" w14:textId="77777777" w:rsidR="00613FF1" w:rsidRPr="00BC1485" w:rsidRDefault="00613FF1" w:rsidP="00DF0A2D">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BC1485">
              <w:rPr>
                <w:rFonts w:cs="Arial"/>
                <w:b/>
                <w:bCs/>
                <w:color w:val="auto"/>
                <w:kern w:val="2"/>
                <w:szCs w:val="14"/>
                <w:lang w:eastAsia="en-US"/>
              </w:rPr>
              <w:t>share (R$)</w:t>
            </w:r>
          </w:p>
        </w:tc>
      </w:tr>
      <w:tr w:rsidR="00613FF1" w:rsidRPr="00BC1485" w14:paraId="21D52AFC" w14:textId="77777777" w:rsidTr="005659D8">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290" w:type="dxa"/>
            <w:tcBorders>
              <w:top w:val="single" w:sz="2" w:space="0" w:color="1F4E79" w:themeColor="accent1" w:themeShade="80"/>
              <w:left w:val="nil"/>
              <w:bottom w:val="single" w:sz="2" w:space="0" w:color="1F4E79" w:themeColor="accent1" w:themeShade="80"/>
              <w:right w:val="nil"/>
            </w:tcBorders>
            <w:shd w:val="clear" w:color="auto" w:fill="auto"/>
            <w:hideMark/>
          </w:tcPr>
          <w:p w14:paraId="4731568F" w14:textId="77777777" w:rsidR="00613FF1" w:rsidRPr="00BC1485" w:rsidRDefault="00613FF1" w:rsidP="005659D8">
            <w:pPr>
              <w:pStyle w:val="08-Tabelageral"/>
              <w:jc w:val="left"/>
              <w:rPr>
                <w:rFonts w:cs="Arial"/>
                <w:kern w:val="2"/>
                <w:szCs w:val="14"/>
                <w:lang w:eastAsia="en-US"/>
              </w:rPr>
            </w:pPr>
            <w:r w:rsidRPr="00BC1485">
              <w:rPr>
                <w:rFonts w:cs="Arial"/>
                <w:b w:val="0"/>
                <w:lang w:eastAsia="en-US"/>
              </w:rPr>
              <w:t>Dividends</w:t>
            </w:r>
          </w:p>
        </w:tc>
        <w:tc>
          <w:tcPr>
            <w:tcW w:w="975"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4AD2905A" w14:textId="77777777" w:rsidR="00613FF1" w:rsidRPr="00BC1485" w:rsidRDefault="00613FF1" w:rsidP="005659D8">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sidRPr="008F20B2">
              <w:rPr>
                <w:lang w:eastAsia="en-US"/>
              </w:rPr>
              <w:t>3</w:t>
            </w:r>
            <w:r>
              <w:rPr>
                <w:lang w:eastAsia="en-US"/>
              </w:rPr>
              <w:t>,</w:t>
            </w:r>
            <w:r w:rsidRPr="008F20B2">
              <w:rPr>
                <w:lang w:eastAsia="en-US"/>
              </w:rPr>
              <w:t>6</w:t>
            </w:r>
            <w:r>
              <w:rPr>
                <w:lang w:eastAsia="en-US"/>
              </w:rPr>
              <w:t>76,724</w:t>
            </w:r>
          </w:p>
        </w:tc>
        <w:tc>
          <w:tcPr>
            <w:tcW w:w="931"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0AF8B5D3" w14:textId="77777777" w:rsidR="00613FF1" w:rsidRPr="00BC1485" w:rsidRDefault="00613FF1" w:rsidP="005659D8">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sidRPr="008F20B2">
              <w:rPr>
                <w:lang w:eastAsia="en-US"/>
              </w:rPr>
              <w:t>1</w:t>
            </w:r>
            <w:r>
              <w:rPr>
                <w:lang w:eastAsia="en-US"/>
              </w:rPr>
              <w:t>.</w:t>
            </w:r>
            <w:r w:rsidRPr="008F20B2">
              <w:rPr>
                <w:lang w:eastAsia="en-US"/>
              </w:rPr>
              <w:t>83</w:t>
            </w:r>
            <w:r>
              <w:rPr>
                <w:lang w:eastAsia="en-US"/>
              </w:rPr>
              <w:t>99</w:t>
            </w:r>
          </w:p>
        </w:tc>
        <w:tc>
          <w:tcPr>
            <w:tcW w:w="247"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2640D10" w14:textId="77777777" w:rsidR="00613FF1" w:rsidRPr="00BC1485" w:rsidRDefault="00613FF1" w:rsidP="005659D8">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p>
        </w:tc>
        <w:tc>
          <w:tcPr>
            <w:tcW w:w="1074"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5355D522" w14:textId="77777777" w:rsidR="00613FF1" w:rsidRPr="00BC1485" w:rsidRDefault="00613FF1" w:rsidP="005659D8">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Pr>
                <w:lang w:eastAsia="en-US"/>
              </w:rPr>
              <w:t>2,068,697</w:t>
            </w:r>
          </w:p>
        </w:tc>
        <w:tc>
          <w:tcPr>
            <w:tcW w:w="932"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1EDE6DA5" w14:textId="77777777" w:rsidR="00613FF1" w:rsidRPr="00BC1485" w:rsidRDefault="00613FF1" w:rsidP="005659D8">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Pr>
                <w:lang w:eastAsia="en-US"/>
              </w:rPr>
              <w:t>1.0360</w:t>
            </w:r>
          </w:p>
        </w:tc>
        <w:tc>
          <w:tcPr>
            <w:tcW w:w="273" w:type="dxa"/>
            <w:gridSpan w:val="2"/>
            <w:tcBorders>
              <w:top w:val="single" w:sz="2" w:space="0" w:color="1F4E79" w:themeColor="accent1" w:themeShade="80"/>
              <w:left w:val="nil"/>
              <w:bottom w:val="single" w:sz="2" w:space="0" w:color="1F4E79" w:themeColor="accent1" w:themeShade="80"/>
              <w:right w:val="nil"/>
            </w:tcBorders>
            <w:shd w:val="clear" w:color="auto" w:fill="auto"/>
          </w:tcPr>
          <w:p w14:paraId="562119D3" w14:textId="77777777" w:rsidR="00613FF1" w:rsidRPr="00BC1485" w:rsidRDefault="00613FF1" w:rsidP="005659D8">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p>
        </w:tc>
        <w:tc>
          <w:tcPr>
            <w:tcW w:w="1150" w:type="dxa"/>
            <w:gridSpan w:val="3"/>
            <w:tcBorders>
              <w:top w:val="single" w:sz="2" w:space="0" w:color="1F4E79" w:themeColor="accent1" w:themeShade="80"/>
              <w:left w:val="nil"/>
              <w:bottom w:val="single" w:sz="2" w:space="0" w:color="1F4E79" w:themeColor="accent1" w:themeShade="80"/>
              <w:right w:val="nil"/>
            </w:tcBorders>
            <w:shd w:val="clear" w:color="auto" w:fill="auto"/>
            <w:vAlign w:val="center"/>
          </w:tcPr>
          <w:p w14:paraId="4EE8870C" w14:textId="77777777" w:rsidR="00613FF1" w:rsidRPr="00BC1485" w:rsidRDefault="00613FF1" w:rsidP="005659D8">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sidRPr="00A02A63">
              <w:t>1</w:t>
            </w:r>
            <w:r>
              <w:t>,</w:t>
            </w:r>
            <w:r w:rsidRPr="00A02A63">
              <w:t>831</w:t>
            </w:r>
            <w:r>
              <w:t>,</w:t>
            </w:r>
            <w:r w:rsidRPr="00A02A63">
              <w:t>2</w:t>
            </w:r>
            <w:r>
              <w:t>69</w:t>
            </w:r>
          </w:p>
        </w:tc>
        <w:tc>
          <w:tcPr>
            <w:tcW w:w="90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991B791" w14:textId="77777777" w:rsidR="00613FF1" w:rsidRPr="00BC1485" w:rsidRDefault="00613FF1" w:rsidP="005659D8">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t>0.9172</w:t>
            </w:r>
          </w:p>
        </w:tc>
        <w:tc>
          <w:tcPr>
            <w:tcW w:w="926" w:type="dxa"/>
            <w:gridSpan w:val="2"/>
            <w:tcBorders>
              <w:top w:val="single" w:sz="2" w:space="0" w:color="1F4E79" w:themeColor="accent1" w:themeShade="80"/>
              <w:left w:val="nil"/>
              <w:bottom w:val="single" w:sz="2" w:space="0" w:color="1F4E79" w:themeColor="accent1" w:themeShade="80"/>
              <w:right w:val="nil"/>
            </w:tcBorders>
            <w:shd w:val="clear" w:color="auto" w:fill="auto"/>
            <w:vAlign w:val="center"/>
          </w:tcPr>
          <w:p w14:paraId="763C1834" w14:textId="77777777" w:rsidR="00613FF1" w:rsidRPr="00BC1485" w:rsidRDefault="00613FF1" w:rsidP="005659D8">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Pr>
                <w:lang w:eastAsia="en-US"/>
              </w:rPr>
              <w:t>1,040,024</w:t>
            </w:r>
          </w:p>
        </w:tc>
        <w:tc>
          <w:tcPr>
            <w:tcW w:w="93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A797D9F" w14:textId="77777777" w:rsidR="00613FF1" w:rsidRPr="00BC1485" w:rsidRDefault="00613FF1" w:rsidP="005659D8">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Pr>
                <w:lang w:eastAsia="en-US"/>
              </w:rPr>
              <w:t>0.5209</w:t>
            </w:r>
          </w:p>
        </w:tc>
      </w:tr>
    </w:tbl>
    <w:p w14:paraId="09DEC085" w14:textId="77777777" w:rsidR="00613FF1" w:rsidRDefault="00613FF1" w:rsidP="005659D8">
      <w:pPr>
        <w:pStyle w:val="01-Textonormal"/>
        <w:rPr>
          <w:rStyle w:val="q4iawc"/>
          <w:lang w:val="en"/>
        </w:rPr>
      </w:pPr>
    </w:p>
    <w:p w14:paraId="7306DFD3" w14:textId="77777777" w:rsidR="00F12587" w:rsidRDefault="00F12587" w:rsidP="005F4698">
      <w:pPr>
        <w:pStyle w:val="03-SubttulodeNota"/>
        <w:rPr>
          <w:color w:val="1F4E79" w:themeColor="accent1" w:themeShade="80"/>
          <w:sz w:val="18"/>
          <w:szCs w:val="18"/>
          <w:lang w:val="en-US"/>
        </w:rPr>
      </w:pPr>
    </w:p>
    <w:p w14:paraId="5E777960" w14:textId="77777777" w:rsidR="00F12587" w:rsidRDefault="00F12587" w:rsidP="005F4698">
      <w:pPr>
        <w:pStyle w:val="03-SubttulodeNota"/>
        <w:rPr>
          <w:color w:val="1F4E79" w:themeColor="accent1" w:themeShade="80"/>
          <w:sz w:val="18"/>
          <w:szCs w:val="18"/>
          <w:lang w:val="en-US"/>
        </w:rPr>
      </w:pPr>
    </w:p>
    <w:p w14:paraId="418C5FEB" w14:textId="69C5A5D3" w:rsidR="00613FF1" w:rsidRPr="00E2299D" w:rsidRDefault="00613FF1" w:rsidP="005F4698">
      <w:pPr>
        <w:pStyle w:val="03-SubttulodeNota"/>
        <w:rPr>
          <w:sz w:val="18"/>
          <w:szCs w:val="18"/>
          <w:lang w:val="en-US"/>
        </w:rPr>
      </w:pPr>
      <w:r w:rsidRPr="00E2299D">
        <w:rPr>
          <w:color w:val="1F4E79" w:themeColor="accent1" w:themeShade="80"/>
          <w:sz w:val="18"/>
          <w:szCs w:val="18"/>
          <w:lang w:val="en-US"/>
        </w:rPr>
        <w:lastRenderedPageBreak/>
        <w:t>e) Other Accumulated Comprehensive Income</w:t>
      </w:r>
      <w:r w:rsidRPr="00E2299D">
        <w:rPr>
          <w:sz w:val="18"/>
          <w:szCs w:val="18"/>
          <w:lang w:val="en-US"/>
        </w:rPr>
        <w:tab/>
      </w:r>
    </w:p>
    <w:p w14:paraId="41489DA7" w14:textId="77777777" w:rsidR="00613FF1" w:rsidRPr="00E2299D" w:rsidRDefault="00613FF1" w:rsidP="00E64CC8">
      <w:pPr>
        <w:pStyle w:val="01-TtulodeNota"/>
        <w:keepNext/>
        <w:keepLines/>
        <w:rPr>
          <w:rStyle w:val="tlid-translation"/>
          <w:b w:val="0"/>
          <w:sz w:val="18"/>
          <w:szCs w:val="18"/>
          <w:lang w:val="en-US"/>
        </w:rPr>
      </w:pPr>
      <w:r w:rsidRPr="00E2299D">
        <w:rPr>
          <w:rStyle w:val="tlid-translation"/>
          <w:b w:val="0"/>
          <w:sz w:val="18"/>
          <w:szCs w:val="18"/>
          <w:lang w:val="en-US"/>
        </w:rPr>
        <w:t>The negative balance recorded in Accumulated Other Comprehensive Income in the amount of R$ 147,047 thousand (R$ 158,464 thousand negative on December 31, 2021) is mainly composed of a negative R$ 124,041 thousand related to the devaluation resulting from the adjustment to market value, by the net value of tax effects, of securities classified as fair value through other comprehensive income of BB MAPFRE and Brasilcap, and negative R$ 23,169 thousand related to the balance of other comprehensive income of BB Seguros absorbed by the statutory reserve, referring to adjustments for purposes standardization of accounting practices for previous lease periods, CPC 06 (R2) [IFRS 16] – Leases of BB MAPFRE, Brasilpev and Brasilcap.</w:t>
      </w:r>
    </w:p>
    <w:p w14:paraId="19D4DCFF" w14:textId="77777777" w:rsidR="00613FF1" w:rsidRDefault="00613FF1" w:rsidP="00E64CC8">
      <w:pPr>
        <w:pStyle w:val="01-TtulodeNota"/>
        <w:keepNext/>
        <w:keepLines/>
        <w:rPr>
          <w:rStyle w:val="tlid-translation"/>
          <w:b w:val="0"/>
          <w:sz w:val="18"/>
          <w:szCs w:val="18"/>
          <w:lang w:val="en"/>
        </w:rPr>
      </w:pPr>
      <w:r w:rsidRPr="00F41485">
        <w:rPr>
          <w:rStyle w:val="tlid-translation"/>
          <w:b w:val="0"/>
          <w:sz w:val="18"/>
          <w:szCs w:val="18"/>
          <w:lang w:val="en"/>
        </w:rPr>
        <w:t>Bearing in mind that BB Seguridade does not have securities classified as fair value through other comprehensive income, the amounts in its statements reflect the values existing in the companies in which BB Seguros holds interest.</w:t>
      </w:r>
    </w:p>
    <w:p w14:paraId="162EE780" w14:textId="77777777" w:rsidR="00613FF1" w:rsidRPr="00E2299D" w:rsidRDefault="00613FF1" w:rsidP="00F12587">
      <w:pPr>
        <w:pStyle w:val="01-Textonormal"/>
        <w:rPr>
          <w:b/>
          <w:color w:val="1F4E79" w:themeColor="accent1" w:themeShade="80"/>
          <w:lang w:val="en-US"/>
        </w:rPr>
      </w:pPr>
      <w:r w:rsidRPr="00E2299D">
        <w:rPr>
          <w:b/>
          <w:color w:val="1F4E79" w:themeColor="accent1" w:themeShade="80"/>
          <w:lang w:val="en-US"/>
        </w:rPr>
        <w:t xml:space="preserve">f) Shareholdings (number of shares) </w:t>
      </w:r>
    </w:p>
    <w:tbl>
      <w:tblPr>
        <w:tblStyle w:val="TabeladeLista6Colorida-nfase5"/>
        <w:tblW w:w="9639" w:type="dxa"/>
        <w:jc w:val="center"/>
        <w:tblLayout w:type="fixed"/>
        <w:tblLook w:val="04A0" w:firstRow="1" w:lastRow="0" w:firstColumn="1" w:lastColumn="0" w:noHBand="0" w:noVBand="1"/>
      </w:tblPr>
      <w:tblGrid>
        <w:gridCol w:w="4843"/>
        <w:gridCol w:w="1365"/>
        <w:gridCol w:w="707"/>
        <w:gridCol w:w="270"/>
        <w:gridCol w:w="152"/>
        <w:gridCol w:w="220"/>
        <w:gridCol w:w="29"/>
        <w:gridCol w:w="1206"/>
        <w:gridCol w:w="847"/>
      </w:tblGrid>
      <w:tr w:rsidR="00613FF1" w:rsidRPr="0038031F" w14:paraId="4D581C25" w14:textId="77777777" w:rsidTr="00061D4B">
        <w:trPr>
          <w:cnfStyle w:val="100000000000" w:firstRow="1" w:lastRow="0" w:firstColumn="0" w:lastColumn="0" w:oddVBand="0" w:evenVBand="0" w:oddHBand="0" w:evenHBand="0" w:firstRowFirstColumn="0" w:firstRowLastColumn="0" w:lastRowFirstColumn="0" w:lastRowLastColumn="0"/>
          <w:trHeight w:hRule="exact" w:val="371"/>
          <w:jc w:val="center"/>
        </w:trPr>
        <w:tc>
          <w:tcPr>
            <w:cnfStyle w:val="001000000000" w:firstRow="0" w:lastRow="0" w:firstColumn="1" w:lastColumn="0" w:oddVBand="0" w:evenVBand="0" w:oddHBand="0" w:evenHBand="0" w:firstRowFirstColumn="0" w:firstRowLastColumn="0" w:lastRowFirstColumn="0" w:lastRowLastColumn="0"/>
            <w:tcW w:w="4843" w:type="dxa"/>
            <w:vMerge w:val="restart"/>
            <w:tcBorders>
              <w:top w:val="single" w:sz="2" w:space="0" w:color="1F4E79" w:themeColor="accent1" w:themeShade="80"/>
            </w:tcBorders>
            <w:shd w:val="clear" w:color="auto" w:fill="auto"/>
            <w:vAlign w:val="center"/>
          </w:tcPr>
          <w:p w14:paraId="2073CA35" w14:textId="77777777" w:rsidR="00613FF1" w:rsidRPr="004C1E4C" w:rsidRDefault="00613FF1" w:rsidP="0086152E">
            <w:pPr>
              <w:pStyle w:val="08-Tabelageral"/>
              <w:jc w:val="left"/>
              <w:rPr>
                <w:b w:val="0"/>
              </w:rPr>
            </w:pPr>
            <w:r w:rsidRPr="000E747A">
              <w:rPr>
                <w:rFonts w:cs="Arial"/>
                <w:szCs w:val="14"/>
                <w:lang w:val="en-US"/>
              </w:rPr>
              <w:t>Stockholders</w:t>
            </w:r>
          </w:p>
        </w:tc>
        <w:tc>
          <w:tcPr>
            <w:tcW w:w="2072" w:type="dxa"/>
            <w:gridSpan w:val="2"/>
            <w:tcBorders>
              <w:top w:val="single" w:sz="2" w:space="0" w:color="1F4E79" w:themeColor="accent1" w:themeShade="80"/>
              <w:bottom w:val="single" w:sz="2" w:space="0" w:color="1F4E79" w:themeColor="accent1" w:themeShade="80"/>
            </w:tcBorders>
            <w:shd w:val="clear" w:color="auto" w:fill="auto"/>
            <w:vAlign w:val="center"/>
          </w:tcPr>
          <w:p w14:paraId="15210948" w14:textId="77777777" w:rsidR="00613FF1" w:rsidRPr="00376A8D" w:rsidRDefault="00613FF1" w:rsidP="005659D8">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pPr>
            <w:r>
              <w:rPr>
                <w:rFonts w:cs="Arial"/>
                <w:szCs w:val="14"/>
                <w:lang w:val="en-US"/>
              </w:rPr>
              <w:t>Dec 31, 2022</w:t>
            </w:r>
          </w:p>
        </w:tc>
        <w:tc>
          <w:tcPr>
            <w:tcW w:w="422" w:type="dxa"/>
            <w:gridSpan w:val="2"/>
            <w:tcBorders>
              <w:top w:val="single" w:sz="2" w:space="0" w:color="1F4E79" w:themeColor="accent1" w:themeShade="80"/>
              <w:bottom w:val="nil"/>
            </w:tcBorders>
            <w:shd w:val="clear" w:color="auto" w:fill="auto"/>
          </w:tcPr>
          <w:p w14:paraId="2F6DC136" w14:textId="77777777" w:rsidR="00613FF1" w:rsidRPr="00376A8D" w:rsidRDefault="00613FF1" w:rsidP="00884F16">
            <w:pPr>
              <w:pStyle w:val="08-Tabelageral"/>
              <w:jc w:val="center"/>
              <w:cnfStyle w:val="100000000000" w:firstRow="1" w:lastRow="0" w:firstColumn="0" w:lastColumn="0" w:oddVBand="0" w:evenVBand="0" w:oddHBand="0" w:evenHBand="0" w:firstRowFirstColumn="0" w:firstRowLastColumn="0" w:lastRowFirstColumn="0" w:lastRowLastColumn="0"/>
            </w:pPr>
          </w:p>
        </w:tc>
        <w:tc>
          <w:tcPr>
            <w:tcW w:w="2302" w:type="dxa"/>
            <w:gridSpan w:val="4"/>
            <w:tcBorders>
              <w:top w:val="single" w:sz="2" w:space="0" w:color="1F4E79" w:themeColor="accent1" w:themeShade="80"/>
              <w:bottom w:val="single" w:sz="2" w:space="0" w:color="1F4E79" w:themeColor="accent1" w:themeShade="80"/>
            </w:tcBorders>
            <w:shd w:val="clear" w:color="auto" w:fill="auto"/>
            <w:vAlign w:val="center"/>
          </w:tcPr>
          <w:p w14:paraId="2099F4FC" w14:textId="77777777" w:rsidR="00613FF1" w:rsidRPr="00940212" w:rsidRDefault="00613FF1" w:rsidP="00112530">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pPr>
            <w:r>
              <w:rPr>
                <w:rFonts w:cs="Arial"/>
                <w:szCs w:val="14"/>
                <w:lang w:val="en-US"/>
              </w:rPr>
              <w:t>Dec 31, 2021</w:t>
            </w:r>
          </w:p>
        </w:tc>
      </w:tr>
      <w:tr w:rsidR="00613FF1" w:rsidRPr="00C806B0" w14:paraId="7C60EA91" w14:textId="77777777" w:rsidTr="00061D4B">
        <w:trPr>
          <w:cnfStyle w:val="000000100000" w:firstRow="0" w:lastRow="0" w:firstColumn="0" w:lastColumn="0" w:oddVBand="0" w:evenVBand="0" w:oddHBand="1" w:evenHBand="0" w:firstRowFirstColumn="0" w:firstRowLastColumn="0" w:lastRowFirstColumn="0" w:lastRowLastColumn="0"/>
          <w:trHeight w:hRule="exact" w:val="279"/>
          <w:jc w:val="center"/>
        </w:trPr>
        <w:tc>
          <w:tcPr>
            <w:cnfStyle w:val="001000000000" w:firstRow="0" w:lastRow="0" w:firstColumn="1" w:lastColumn="0" w:oddVBand="0" w:evenVBand="0" w:oddHBand="0" w:evenHBand="0" w:firstRowFirstColumn="0" w:firstRowLastColumn="0" w:lastRowFirstColumn="0" w:lastRowLastColumn="0"/>
            <w:tcW w:w="4843" w:type="dxa"/>
            <w:vMerge/>
            <w:tcBorders>
              <w:bottom w:val="single" w:sz="2" w:space="0" w:color="1F4E79" w:themeColor="accent1" w:themeShade="80"/>
            </w:tcBorders>
            <w:shd w:val="clear" w:color="auto" w:fill="auto"/>
          </w:tcPr>
          <w:p w14:paraId="483CA4E9" w14:textId="77777777" w:rsidR="00613FF1" w:rsidRPr="004C1E4C" w:rsidRDefault="00613FF1" w:rsidP="00996913">
            <w:pPr>
              <w:pStyle w:val="08-Tabelageral"/>
              <w:rPr>
                <w:b w:val="0"/>
              </w:rPr>
            </w:pPr>
          </w:p>
        </w:tc>
        <w:tc>
          <w:tcPr>
            <w:tcW w:w="1365" w:type="dxa"/>
            <w:tcBorders>
              <w:top w:val="single" w:sz="2" w:space="0" w:color="1F4E79" w:themeColor="accent1" w:themeShade="80"/>
              <w:bottom w:val="single" w:sz="2" w:space="0" w:color="1F4E79" w:themeColor="accent1" w:themeShade="80"/>
            </w:tcBorders>
            <w:shd w:val="clear" w:color="auto" w:fill="auto"/>
          </w:tcPr>
          <w:p w14:paraId="598F66F2" w14:textId="77777777" w:rsidR="00613FF1" w:rsidRPr="00996913" w:rsidRDefault="00613FF1" w:rsidP="0086152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8057C9">
              <w:rPr>
                <w:rFonts w:cs="Arial"/>
                <w:b/>
                <w:bCs/>
                <w:kern w:val="2"/>
                <w:szCs w:val="14"/>
              </w:rPr>
              <w:t>Shares</w:t>
            </w:r>
          </w:p>
        </w:tc>
        <w:tc>
          <w:tcPr>
            <w:tcW w:w="707" w:type="dxa"/>
            <w:tcBorders>
              <w:top w:val="single" w:sz="2" w:space="0" w:color="1F4E79" w:themeColor="accent1" w:themeShade="80"/>
              <w:bottom w:val="single" w:sz="2" w:space="0" w:color="1F4E79" w:themeColor="accent1" w:themeShade="80"/>
            </w:tcBorders>
            <w:shd w:val="clear" w:color="auto" w:fill="auto"/>
          </w:tcPr>
          <w:p w14:paraId="6D6D25C2" w14:textId="77777777" w:rsidR="00613FF1" w:rsidRPr="00996913" w:rsidRDefault="00613FF1" w:rsidP="00996913">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996913">
              <w:rPr>
                <w:rFonts w:cs="Arial"/>
                <w:b/>
                <w:bCs/>
                <w:kern w:val="2"/>
                <w:szCs w:val="14"/>
              </w:rPr>
              <w:t>% Total</w:t>
            </w:r>
          </w:p>
        </w:tc>
        <w:tc>
          <w:tcPr>
            <w:tcW w:w="270" w:type="dxa"/>
            <w:tcBorders>
              <w:top w:val="single" w:sz="2" w:space="0" w:color="1F4E79" w:themeColor="accent1" w:themeShade="80"/>
              <w:bottom w:val="single" w:sz="2" w:space="0" w:color="1F4E79" w:themeColor="accent1" w:themeShade="80"/>
            </w:tcBorders>
            <w:shd w:val="clear" w:color="auto" w:fill="auto"/>
            <w:vAlign w:val="center"/>
          </w:tcPr>
          <w:p w14:paraId="0F4E6722" w14:textId="77777777" w:rsidR="00613FF1" w:rsidRPr="00376A8D" w:rsidRDefault="00613FF1" w:rsidP="00996913">
            <w:pPr>
              <w:pStyle w:val="08-Tabelageral"/>
              <w:cnfStyle w:val="000000100000" w:firstRow="0" w:lastRow="0" w:firstColumn="0" w:lastColumn="0" w:oddVBand="0" w:evenVBand="0" w:oddHBand="1" w:evenHBand="0" w:firstRowFirstColumn="0" w:firstRowLastColumn="0" w:lastRowFirstColumn="0" w:lastRowLastColumn="0"/>
            </w:pPr>
          </w:p>
        </w:tc>
        <w:tc>
          <w:tcPr>
            <w:tcW w:w="401" w:type="dxa"/>
            <w:gridSpan w:val="3"/>
            <w:tcBorders>
              <w:top w:val="nil"/>
              <w:bottom w:val="single" w:sz="2" w:space="0" w:color="1F4E79" w:themeColor="accent1" w:themeShade="80"/>
            </w:tcBorders>
            <w:shd w:val="clear" w:color="auto" w:fill="auto"/>
          </w:tcPr>
          <w:p w14:paraId="4DD74D4E" w14:textId="77777777" w:rsidR="00613FF1" w:rsidRPr="00376A8D" w:rsidRDefault="00613FF1" w:rsidP="00996913">
            <w:pPr>
              <w:pStyle w:val="08-Tabelageral"/>
              <w:cnfStyle w:val="000000100000" w:firstRow="0" w:lastRow="0" w:firstColumn="0" w:lastColumn="0" w:oddVBand="0" w:evenVBand="0" w:oddHBand="1" w:evenHBand="0" w:firstRowFirstColumn="0" w:firstRowLastColumn="0" w:lastRowFirstColumn="0" w:lastRowLastColumn="0"/>
            </w:pPr>
          </w:p>
        </w:tc>
        <w:tc>
          <w:tcPr>
            <w:tcW w:w="1206" w:type="dxa"/>
            <w:tcBorders>
              <w:top w:val="single" w:sz="2" w:space="0" w:color="1F4E79" w:themeColor="accent1" w:themeShade="80"/>
              <w:bottom w:val="single" w:sz="2" w:space="0" w:color="1F4E79" w:themeColor="accent1" w:themeShade="80"/>
            </w:tcBorders>
            <w:shd w:val="clear" w:color="auto" w:fill="auto"/>
            <w:vAlign w:val="center"/>
          </w:tcPr>
          <w:p w14:paraId="57BD8DE3" w14:textId="77777777" w:rsidR="00613FF1" w:rsidRPr="00996913" w:rsidRDefault="00613FF1" w:rsidP="0086152E">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8057C9">
              <w:rPr>
                <w:rFonts w:cs="Arial"/>
                <w:b/>
                <w:bCs/>
                <w:kern w:val="2"/>
                <w:szCs w:val="14"/>
              </w:rPr>
              <w:t>Shares</w:t>
            </w:r>
          </w:p>
        </w:tc>
        <w:tc>
          <w:tcPr>
            <w:tcW w:w="847" w:type="dxa"/>
            <w:tcBorders>
              <w:top w:val="single" w:sz="2" w:space="0" w:color="1F4E79" w:themeColor="accent1" w:themeShade="80"/>
              <w:bottom w:val="single" w:sz="2" w:space="0" w:color="1F4E79" w:themeColor="accent1" w:themeShade="80"/>
            </w:tcBorders>
            <w:shd w:val="clear" w:color="auto" w:fill="auto"/>
            <w:vAlign w:val="center"/>
          </w:tcPr>
          <w:p w14:paraId="1DF93487" w14:textId="77777777" w:rsidR="00613FF1" w:rsidRPr="00996913" w:rsidRDefault="00613FF1" w:rsidP="00996913">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996913">
              <w:rPr>
                <w:rFonts w:cs="Arial"/>
                <w:b/>
                <w:bCs/>
                <w:kern w:val="2"/>
                <w:szCs w:val="14"/>
              </w:rPr>
              <w:t>% Total</w:t>
            </w:r>
          </w:p>
        </w:tc>
      </w:tr>
      <w:tr w:rsidR="00613FF1" w:rsidRPr="00C806B0" w14:paraId="2B5D4754" w14:textId="77777777" w:rsidTr="00C05783">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single" w:sz="2" w:space="0" w:color="1F4E79" w:themeColor="accent1" w:themeShade="80"/>
              <w:bottom w:val="nil"/>
            </w:tcBorders>
            <w:shd w:val="clear" w:color="auto" w:fill="auto"/>
          </w:tcPr>
          <w:p w14:paraId="2D13C07A" w14:textId="77777777" w:rsidR="00613FF1" w:rsidRPr="008057C9" w:rsidRDefault="00613FF1" w:rsidP="005659D8">
            <w:pPr>
              <w:pStyle w:val="08-Tabelageral"/>
              <w:ind w:firstLine="176"/>
              <w:jc w:val="left"/>
              <w:rPr>
                <w:rFonts w:cs="Arial"/>
                <w:b w:val="0"/>
                <w:bCs w:val="0"/>
                <w:color w:val="auto"/>
                <w:szCs w:val="14"/>
              </w:rPr>
            </w:pPr>
            <w:r w:rsidRPr="008057C9">
              <w:rPr>
                <w:rFonts w:cs="Arial"/>
                <w:b w:val="0"/>
                <w:bCs w:val="0"/>
                <w:color w:val="auto"/>
                <w:szCs w:val="14"/>
              </w:rPr>
              <w:t>Banco do Brasil</w:t>
            </w:r>
          </w:p>
        </w:tc>
        <w:tc>
          <w:tcPr>
            <w:tcW w:w="1365" w:type="dxa"/>
            <w:tcBorders>
              <w:top w:val="single" w:sz="2" w:space="0" w:color="1F4E79" w:themeColor="accent1" w:themeShade="80"/>
              <w:bottom w:val="nil"/>
            </w:tcBorders>
            <w:shd w:val="clear" w:color="auto" w:fill="auto"/>
            <w:vAlign w:val="bottom"/>
          </w:tcPr>
          <w:p w14:paraId="69CBCF46" w14:textId="77777777" w:rsidR="00613FF1"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r w:rsidRPr="00A651EF">
              <w:t>1</w:t>
            </w:r>
            <w:r>
              <w:t>,</w:t>
            </w:r>
            <w:r w:rsidRPr="00A651EF">
              <w:t>325</w:t>
            </w:r>
            <w:r>
              <w:t>,</w:t>
            </w:r>
            <w:r w:rsidRPr="00A651EF">
              <w:t>000</w:t>
            </w:r>
            <w:r>
              <w:t>,</w:t>
            </w:r>
            <w:r w:rsidRPr="00A651EF">
              <w:t>000</w:t>
            </w:r>
          </w:p>
        </w:tc>
        <w:tc>
          <w:tcPr>
            <w:tcW w:w="707" w:type="dxa"/>
            <w:tcBorders>
              <w:top w:val="single" w:sz="2" w:space="0" w:color="1F4E79" w:themeColor="accent1" w:themeShade="80"/>
              <w:bottom w:val="nil"/>
            </w:tcBorders>
            <w:shd w:val="clear" w:color="auto" w:fill="auto"/>
            <w:vAlign w:val="bottom"/>
          </w:tcPr>
          <w:p w14:paraId="4ADBB128" w14:textId="77777777" w:rsidR="00613FF1"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r w:rsidRPr="009330C3">
              <w:t>66</w:t>
            </w:r>
            <w:r>
              <w:t>.</w:t>
            </w:r>
            <w:r w:rsidRPr="009330C3">
              <w:t>25</w:t>
            </w:r>
          </w:p>
        </w:tc>
        <w:tc>
          <w:tcPr>
            <w:tcW w:w="270" w:type="dxa"/>
            <w:tcBorders>
              <w:top w:val="single" w:sz="2" w:space="0" w:color="1F4E79" w:themeColor="accent1" w:themeShade="80"/>
              <w:bottom w:val="nil"/>
            </w:tcBorders>
            <w:shd w:val="clear" w:color="auto" w:fill="auto"/>
            <w:vAlign w:val="center"/>
          </w:tcPr>
          <w:p w14:paraId="6928279E" w14:textId="77777777" w:rsidR="00613FF1" w:rsidRPr="00376A8D"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p>
        </w:tc>
        <w:tc>
          <w:tcPr>
            <w:tcW w:w="372" w:type="dxa"/>
            <w:gridSpan w:val="2"/>
            <w:tcBorders>
              <w:top w:val="single" w:sz="2" w:space="0" w:color="1F4E79" w:themeColor="accent1" w:themeShade="80"/>
              <w:bottom w:val="nil"/>
            </w:tcBorders>
            <w:shd w:val="clear" w:color="auto" w:fill="auto"/>
          </w:tcPr>
          <w:p w14:paraId="4484BB4E" w14:textId="77777777" w:rsidR="00613FF1" w:rsidRPr="00376A8D"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p>
        </w:tc>
        <w:tc>
          <w:tcPr>
            <w:tcW w:w="1235" w:type="dxa"/>
            <w:gridSpan w:val="2"/>
            <w:tcBorders>
              <w:top w:val="single" w:sz="2" w:space="0" w:color="1F4E79" w:themeColor="accent1" w:themeShade="80"/>
              <w:bottom w:val="nil"/>
            </w:tcBorders>
            <w:shd w:val="clear" w:color="auto" w:fill="auto"/>
            <w:vAlign w:val="center"/>
          </w:tcPr>
          <w:p w14:paraId="3312702F" w14:textId="77777777" w:rsidR="00613FF1" w:rsidRPr="0086152E" w:rsidRDefault="00613FF1" w:rsidP="005659D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5A7A8D">
              <w:t>1</w:t>
            </w:r>
            <w:r>
              <w:t>,</w:t>
            </w:r>
            <w:r w:rsidRPr="005A7A8D">
              <w:t>325</w:t>
            </w:r>
            <w:r>
              <w:t>,</w:t>
            </w:r>
            <w:r w:rsidRPr="005A7A8D">
              <w:t>000</w:t>
            </w:r>
            <w:r>
              <w:t>,</w:t>
            </w:r>
            <w:r w:rsidRPr="005A7A8D">
              <w:t>000</w:t>
            </w:r>
          </w:p>
        </w:tc>
        <w:tc>
          <w:tcPr>
            <w:tcW w:w="847" w:type="dxa"/>
            <w:tcBorders>
              <w:top w:val="single" w:sz="2" w:space="0" w:color="1F4E79" w:themeColor="accent1" w:themeShade="80"/>
              <w:bottom w:val="nil"/>
            </w:tcBorders>
            <w:shd w:val="clear" w:color="auto" w:fill="auto"/>
            <w:vAlign w:val="center"/>
          </w:tcPr>
          <w:p w14:paraId="65669489" w14:textId="77777777" w:rsidR="00613FF1" w:rsidRPr="0086152E" w:rsidRDefault="00613FF1" w:rsidP="005659D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t>66.25</w:t>
            </w:r>
          </w:p>
        </w:tc>
      </w:tr>
      <w:tr w:rsidR="00613FF1" w:rsidRPr="00C806B0" w14:paraId="15E2FC8F" w14:textId="77777777" w:rsidTr="00C05783">
        <w:trPr>
          <w:cnfStyle w:val="000000100000" w:firstRow="0" w:lastRow="0" w:firstColumn="0" w:lastColumn="0" w:oddVBand="0" w:evenVBand="0" w:oddHBand="1" w:evenHBand="0"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34862926" w14:textId="77777777" w:rsidR="00613FF1" w:rsidRPr="008057C9" w:rsidRDefault="00613FF1" w:rsidP="005659D8">
            <w:pPr>
              <w:pStyle w:val="08-Tabelageral"/>
              <w:ind w:firstLine="176"/>
              <w:jc w:val="left"/>
              <w:rPr>
                <w:rFonts w:cs="Arial"/>
                <w:b w:val="0"/>
                <w:bCs w:val="0"/>
                <w:color w:val="auto"/>
                <w:szCs w:val="14"/>
              </w:rPr>
            </w:pPr>
            <w:r w:rsidRPr="008057C9">
              <w:rPr>
                <w:rFonts w:cs="Arial"/>
                <w:b w:val="0"/>
                <w:bCs w:val="0"/>
                <w:color w:val="auto"/>
                <w:szCs w:val="14"/>
              </w:rPr>
              <w:t>Other stockholders</w:t>
            </w:r>
          </w:p>
        </w:tc>
        <w:tc>
          <w:tcPr>
            <w:tcW w:w="1365" w:type="dxa"/>
            <w:tcBorders>
              <w:top w:val="nil"/>
              <w:bottom w:val="nil"/>
            </w:tcBorders>
            <w:shd w:val="clear" w:color="auto" w:fill="auto"/>
            <w:vAlign w:val="bottom"/>
          </w:tcPr>
          <w:p w14:paraId="19E56329" w14:textId="77777777" w:rsidR="00613FF1" w:rsidRDefault="00613FF1" w:rsidP="005659D8">
            <w:pPr>
              <w:pStyle w:val="08-Tabelageral"/>
              <w:cnfStyle w:val="000000100000" w:firstRow="0" w:lastRow="0" w:firstColumn="0" w:lastColumn="0" w:oddVBand="0" w:evenVBand="0" w:oddHBand="1" w:evenHBand="0" w:firstRowFirstColumn="0" w:firstRowLastColumn="0" w:lastRowFirstColumn="0" w:lastRowLastColumn="0"/>
            </w:pPr>
            <w:r w:rsidRPr="00A651EF">
              <w:t>671</w:t>
            </w:r>
            <w:r>
              <w:t>,</w:t>
            </w:r>
            <w:r w:rsidRPr="00A651EF">
              <w:t>726</w:t>
            </w:r>
            <w:r>
              <w:t>,</w:t>
            </w:r>
            <w:r w:rsidRPr="00A651EF">
              <w:t>433</w:t>
            </w:r>
          </w:p>
        </w:tc>
        <w:tc>
          <w:tcPr>
            <w:tcW w:w="707" w:type="dxa"/>
            <w:tcBorders>
              <w:top w:val="nil"/>
              <w:bottom w:val="nil"/>
            </w:tcBorders>
            <w:shd w:val="clear" w:color="auto" w:fill="auto"/>
            <w:vAlign w:val="bottom"/>
          </w:tcPr>
          <w:p w14:paraId="1019D2E5" w14:textId="77777777" w:rsidR="00613FF1" w:rsidRDefault="00613FF1" w:rsidP="005659D8">
            <w:pPr>
              <w:pStyle w:val="08-Tabelageral"/>
              <w:cnfStyle w:val="000000100000" w:firstRow="0" w:lastRow="0" w:firstColumn="0" w:lastColumn="0" w:oddVBand="0" w:evenVBand="0" w:oddHBand="1" w:evenHBand="0" w:firstRowFirstColumn="0" w:firstRowLastColumn="0" w:lastRowFirstColumn="0" w:lastRowLastColumn="0"/>
            </w:pPr>
            <w:r>
              <w:t>33.59</w:t>
            </w:r>
          </w:p>
        </w:tc>
        <w:tc>
          <w:tcPr>
            <w:tcW w:w="270" w:type="dxa"/>
            <w:tcBorders>
              <w:top w:val="nil"/>
              <w:bottom w:val="nil"/>
            </w:tcBorders>
            <w:shd w:val="clear" w:color="auto" w:fill="auto"/>
            <w:vAlign w:val="center"/>
          </w:tcPr>
          <w:p w14:paraId="49BC5B1B" w14:textId="77777777" w:rsidR="00613FF1" w:rsidRPr="00376A8D" w:rsidRDefault="00613FF1" w:rsidP="005659D8">
            <w:pPr>
              <w:pStyle w:val="08-Tabelageral"/>
              <w:cnfStyle w:val="000000100000" w:firstRow="0" w:lastRow="0" w:firstColumn="0" w:lastColumn="0" w:oddVBand="0" w:evenVBand="0" w:oddHBand="1" w:evenHBand="0" w:firstRowFirstColumn="0" w:firstRowLastColumn="0" w:lastRowFirstColumn="0" w:lastRowLastColumn="0"/>
            </w:pPr>
          </w:p>
        </w:tc>
        <w:tc>
          <w:tcPr>
            <w:tcW w:w="372" w:type="dxa"/>
            <w:gridSpan w:val="2"/>
            <w:tcBorders>
              <w:top w:val="nil"/>
              <w:bottom w:val="nil"/>
            </w:tcBorders>
            <w:shd w:val="clear" w:color="auto" w:fill="auto"/>
          </w:tcPr>
          <w:p w14:paraId="59FFF253" w14:textId="77777777" w:rsidR="00613FF1" w:rsidRPr="00376A8D" w:rsidRDefault="00613FF1" w:rsidP="005659D8">
            <w:pPr>
              <w:pStyle w:val="08-Tabelageral"/>
              <w:cnfStyle w:val="000000100000" w:firstRow="0" w:lastRow="0" w:firstColumn="0" w:lastColumn="0" w:oddVBand="0" w:evenVBand="0" w:oddHBand="1" w:evenHBand="0" w:firstRowFirstColumn="0" w:firstRowLastColumn="0" w:lastRowFirstColumn="0" w:lastRowLastColumn="0"/>
            </w:pPr>
          </w:p>
        </w:tc>
        <w:tc>
          <w:tcPr>
            <w:tcW w:w="1235" w:type="dxa"/>
            <w:gridSpan w:val="2"/>
            <w:tcBorders>
              <w:top w:val="nil"/>
              <w:bottom w:val="nil"/>
            </w:tcBorders>
            <w:shd w:val="clear" w:color="auto" w:fill="auto"/>
            <w:vAlign w:val="center"/>
          </w:tcPr>
          <w:p w14:paraId="4B0039FC" w14:textId="77777777" w:rsidR="00613FF1" w:rsidRPr="0086152E" w:rsidRDefault="00613FF1" w:rsidP="005659D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4E544B">
              <w:t>671</w:t>
            </w:r>
            <w:r>
              <w:t>,</w:t>
            </w:r>
            <w:r w:rsidRPr="004E544B">
              <w:t>686</w:t>
            </w:r>
            <w:r>
              <w:t>,</w:t>
            </w:r>
            <w:r w:rsidRPr="004E544B">
              <w:t>529</w:t>
            </w:r>
          </w:p>
        </w:tc>
        <w:tc>
          <w:tcPr>
            <w:tcW w:w="847" w:type="dxa"/>
            <w:tcBorders>
              <w:top w:val="nil"/>
              <w:bottom w:val="nil"/>
            </w:tcBorders>
            <w:shd w:val="clear" w:color="auto" w:fill="auto"/>
            <w:vAlign w:val="center"/>
          </w:tcPr>
          <w:p w14:paraId="62BD5E99" w14:textId="77777777" w:rsidR="00613FF1" w:rsidRPr="0086152E" w:rsidRDefault="00613FF1" w:rsidP="005659D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t>33.58</w:t>
            </w:r>
          </w:p>
        </w:tc>
      </w:tr>
      <w:tr w:rsidR="00613FF1" w:rsidRPr="00C806B0" w14:paraId="01EE8883" w14:textId="77777777" w:rsidTr="003601E4">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3FFFBFC8" w14:textId="77777777" w:rsidR="00613FF1" w:rsidRPr="008057C9" w:rsidRDefault="00613FF1" w:rsidP="005659D8">
            <w:pPr>
              <w:pStyle w:val="08-Tabelageral"/>
              <w:ind w:firstLine="176"/>
              <w:jc w:val="left"/>
              <w:rPr>
                <w:rFonts w:cs="Arial"/>
                <w:b w:val="0"/>
                <w:bCs w:val="0"/>
                <w:color w:val="auto"/>
                <w:szCs w:val="14"/>
              </w:rPr>
            </w:pPr>
            <w:r w:rsidRPr="008057C9">
              <w:rPr>
                <w:rFonts w:cs="Arial"/>
                <w:b w:val="0"/>
                <w:bCs w:val="0"/>
                <w:color w:val="auto"/>
                <w:szCs w:val="14"/>
              </w:rPr>
              <w:t>Treasury shares</w:t>
            </w:r>
          </w:p>
        </w:tc>
        <w:tc>
          <w:tcPr>
            <w:tcW w:w="1365" w:type="dxa"/>
            <w:tcBorders>
              <w:top w:val="nil"/>
              <w:bottom w:val="nil"/>
            </w:tcBorders>
            <w:shd w:val="clear" w:color="auto" w:fill="auto"/>
            <w:vAlign w:val="bottom"/>
          </w:tcPr>
          <w:p w14:paraId="516D4095" w14:textId="77777777" w:rsidR="00613FF1"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r w:rsidRPr="00A651EF">
              <w:t>3</w:t>
            </w:r>
            <w:r>
              <w:t>,</w:t>
            </w:r>
            <w:r w:rsidRPr="00A651EF">
              <w:t>273</w:t>
            </w:r>
            <w:r>
              <w:t>,</w:t>
            </w:r>
            <w:r w:rsidRPr="00A651EF">
              <w:t>567</w:t>
            </w:r>
          </w:p>
        </w:tc>
        <w:tc>
          <w:tcPr>
            <w:tcW w:w="707" w:type="dxa"/>
            <w:tcBorders>
              <w:top w:val="nil"/>
              <w:bottom w:val="nil"/>
            </w:tcBorders>
            <w:shd w:val="clear" w:color="auto" w:fill="auto"/>
            <w:vAlign w:val="bottom"/>
          </w:tcPr>
          <w:p w14:paraId="675387AB" w14:textId="77777777" w:rsidR="00613FF1"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r>
              <w:t>0.16</w:t>
            </w:r>
          </w:p>
        </w:tc>
        <w:tc>
          <w:tcPr>
            <w:tcW w:w="270" w:type="dxa"/>
            <w:tcBorders>
              <w:top w:val="nil"/>
              <w:bottom w:val="nil"/>
            </w:tcBorders>
            <w:shd w:val="clear" w:color="auto" w:fill="auto"/>
            <w:vAlign w:val="center"/>
          </w:tcPr>
          <w:p w14:paraId="0A888869" w14:textId="77777777" w:rsidR="00613FF1" w:rsidRPr="00376A8D"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p>
        </w:tc>
        <w:tc>
          <w:tcPr>
            <w:tcW w:w="372" w:type="dxa"/>
            <w:gridSpan w:val="2"/>
            <w:tcBorders>
              <w:top w:val="nil"/>
              <w:bottom w:val="nil"/>
            </w:tcBorders>
            <w:shd w:val="clear" w:color="auto" w:fill="auto"/>
          </w:tcPr>
          <w:p w14:paraId="32E5DD17" w14:textId="77777777" w:rsidR="00613FF1" w:rsidRPr="00376A8D"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p>
        </w:tc>
        <w:tc>
          <w:tcPr>
            <w:tcW w:w="1235" w:type="dxa"/>
            <w:gridSpan w:val="2"/>
            <w:tcBorders>
              <w:top w:val="nil"/>
              <w:bottom w:val="nil"/>
            </w:tcBorders>
            <w:shd w:val="clear" w:color="auto" w:fill="auto"/>
            <w:vAlign w:val="bottom"/>
          </w:tcPr>
          <w:p w14:paraId="375F96FE" w14:textId="77777777" w:rsidR="00613FF1" w:rsidRPr="0086152E" w:rsidRDefault="00613FF1" w:rsidP="005659D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4E544B">
              <w:t>3</w:t>
            </w:r>
            <w:r>
              <w:t>,</w:t>
            </w:r>
            <w:r w:rsidRPr="004E544B">
              <w:t>313</w:t>
            </w:r>
            <w:r>
              <w:t>,</w:t>
            </w:r>
            <w:r w:rsidRPr="004E544B">
              <w:t>471</w:t>
            </w:r>
          </w:p>
        </w:tc>
        <w:tc>
          <w:tcPr>
            <w:tcW w:w="847" w:type="dxa"/>
            <w:tcBorders>
              <w:top w:val="nil"/>
              <w:bottom w:val="nil"/>
            </w:tcBorders>
            <w:shd w:val="clear" w:color="auto" w:fill="auto"/>
            <w:vAlign w:val="bottom"/>
          </w:tcPr>
          <w:p w14:paraId="69306DBB" w14:textId="77777777" w:rsidR="00613FF1" w:rsidRPr="0086152E" w:rsidRDefault="00613FF1" w:rsidP="005659D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t>0.17</w:t>
            </w:r>
          </w:p>
        </w:tc>
      </w:tr>
      <w:tr w:rsidR="00613FF1" w:rsidRPr="008057C9" w14:paraId="209886C5" w14:textId="77777777" w:rsidTr="00061D4B">
        <w:trPr>
          <w:cnfStyle w:val="000000100000" w:firstRow="0" w:lastRow="0" w:firstColumn="0" w:lastColumn="0" w:oddVBand="0" w:evenVBand="0" w:oddHBand="1" w:evenHBand="0"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36F7BA72" w14:textId="77777777" w:rsidR="00613FF1" w:rsidRPr="008057C9" w:rsidRDefault="00613FF1" w:rsidP="005659D8">
            <w:pPr>
              <w:pStyle w:val="08-Tabelageral"/>
              <w:jc w:val="left"/>
              <w:rPr>
                <w:rFonts w:cs="Arial"/>
                <w:bCs w:val="0"/>
                <w:color w:val="auto"/>
                <w:szCs w:val="14"/>
              </w:rPr>
            </w:pPr>
            <w:r w:rsidRPr="008057C9">
              <w:rPr>
                <w:rFonts w:cs="Arial"/>
                <w:bCs w:val="0"/>
                <w:color w:val="auto"/>
                <w:szCs w:val="14"/>
              </w:rPr>
              <w:t>Total</w:t>
            </w:r>
          </w:p>
        </w:tc>
        <w:tc>
          <w:tcPr>
            <w:tcW w:w="1365" w:type="dxa"/>
            <w:tcBorders>
              <w:top w:val="nil"/>
              <w:bottom w:val="nil"/>
            </w:tcBorders>
            <w:shd w:val="clear" w:color="auto" w:fill="auto"/>
            <w:vAlign w:val="center"/>
          </w:tcPr>
          <w:p w14:paraId="58B86B60" w14:textId="77777777" w:rsidR="00613FF1" w:rsidRPr="008057C9" w:rsidRDefault="00613FF1" w:rsidP="005659D8">
            <w:pPr>
              <w:pStyle w:val="08-Tabelageral"/>
              <w:cnfStyle w:val="000000100000" w:firstRow="0" w:lastRow="0" w:firstColumn="0" w:lastColumn="0" w:oddVBand="0" w:evenVBand="0" w:oddHBand="1" w:evenHBand="0" w:firstRowFirstColumn="0" w:firstRowLastColumn="0" w:lastRowFirstColumn="0" w:lastRowLastColumn="0"/>
              <w:rPr>
                <w:b/>
              </w:rPr>
            </w:pPr>
            <w:r w:rsidRPr="005A7A8D">
              <w:rPr>
                <w:b/>
              </w:rPr>
              <w:t>2</w:t>
            </w:r>
            <w:r>
              <w:rPr>
                <w:b/>
              </w:rPr>
              <w:t>,</w:t>
            </w:r>
            <w:r w:rsidRPr="005A7A8D">
              <w:rPr>
                <w:b/>
              </w:rPr>
              <w:t>000</w:t>
            </w:r>
            <w:r>
              <w:rPr>
                <w:b/>
              </w:rPr>
              <w:t>,</w:t>
            </w:r>
            <w:r w:rsidRPr="005A7A8D">
              <w:rPr>
                <w:b/>
              </w:rPr>
              <w:t>000</w:t>
            </w:r>
            <w:r>
              <w:rPr>
                <w:b/>
              </w:rPr>
              <w:t>,</w:t>
            </w:r>
            <w:r w:rsidRPr="005A7A8D">
              <w:rPr>
                <w:b/>
              </w:rPr>
              <w:t>000</w:t>
            </w:r>
          </w:p>
        </w:tc>
        <w:tc>
          <w:tcPr>
            <w:tcW w:w="707" w:type="dxa"/>
            <w:tcBorders>
              <w:top w:val="nil"/>
              <w:bottom w:val="nil"/>
            </w:tcBorders>
            <w:shd w:val="clear" w:color="auto" w:fill="auto"/>
            <w:vAlign w:val="center"/>
          </w:tcPr>
          <w:p w14:paraId="35FC290D" w14:textId="77777777" w:rsidR="00613FF1" w:rsidRPr="008057C9" w:rsidRDefault="00613FF1" w:rsidP="005659D8">
            <w:pPr>
              <w:pStyle w:val="08-Tabelageral"/>
              <w:cnfStyle w:val="000000100000" w:firstRow="0" w:lastRow="0" w:firstColumn="0" w:lastColumn="0" w:oddVBand="0" w:evenVBand="0" w:oddHBand="1" w:evenHBand="0" w:firstRowFirstColumn="0" w:firstRowLastColumn="0" w:lastRowFirstColumn="0" w:lastRowLastColumn="0"/>
              <w:rPr>
                <w:b/>
              </w:rPr>
            </w:pPr>
            <w:r w:rsidRPr="005A7A8D">
              <w:rPr>
                <w:b/>
              </w:rPr>
              <w:t>100</w:t>
            </w:r>
          </w:p>
        </w:tc>
        <w:tc>
          <w:tcPr>
            <w:tcW w:w="270" w:type="dxa"/>
            <w:tcBorders>
              <w:top w:val="nil"/>
              <w:bottom w:val="nil"/>
            </w:tcBorders>
            <w:shd w:val="clear" w:color="auto" w:fill="auto"/>
            <w:vAlign w:val="center"/>
          </w:tcPr>
          <w:p w14:paraId="25BFB622" w14:textId="77777777" w:rsidR="00613FF1" w:rsidRPr="008057C9" w:rsidRDefault="00613FF1" w:rsidP="005659D8">
            <w:pPr>
              <w:pStyle w:val="08-Tabelageral"/>
              <w:cnfStyle w:val="000000100000" w:firstRow="0" w:lastRow="0" w:firstColumn="0" w:lastColumn="0" w:oddVBand="0" w:evenVBand="0" w:oddHBand="1" w:evenHBand="0" w:firstRowFirstColumn="0" w:firstRowLastColumn="0" w:lastRowFirstColumn="0" w:lastRowLastColumn="0"/>
              <w:rPr>
                <w:b/>
              </w:rPr>
            </w:pPr>
          </w:p>
        </w:tc>
        <w:tc>
          <w:tcPr>
            <w:tcW w:w="372" w:type="dxa"/>
            <w:gridSpan w:val="2"/>
            <w:tcBorders>
              <w:top w:val="nil"/>
              <w:bottom w:val="nil"/>
            </w:tcBorders>
            <w:shd w:val="clear" w:color="auto" w:fill="auto"/>
          </w:tcPr>
          <w:p w14:paraId="46BB0B18" w14:textId="77777777" w:rsidR="00613FF1" w:rsidRPr="008057C9" w:rsidRDefault="00613FF1" w:rsidP="005659D8">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235" w:type="dxa"/>
            <w:gridSpan w:val="2"/>
            <w:tcBorders>
              <w:top w:val="nil"/>
              <w:bottom w:val="nil"/>
            </w:tcBorders>
            <w:shd w:val="clear" w:color="auto" w:fill="auto"/>
            <w:vAlign w:val="center"/>
          </w:tcPr>
          <w:p w14:paraId="10A58245" w14:textId="77777777" w:rsidR="00613FF1" w:rsidRPr="008057C9" w:rsidRDefault="00613FF1" w:rsidP="005659D8">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5A7A8D">
              <w:rPr>
                <w:b/>
              </w:rPr>
              <w:t>2</w:t>
            </w:r>
            <w:r>
              <w:rPr>
                <w:b/>
              </w:rPr>
              <w:t>,</w:t>
            </w:r>
            <w:r w:rsidRPr="005A7A8D">
              <w:rPr>
                <w:b/>
              </w:rPr>
              <w:t>000</w:t>
            </w:r>
            <w:r>
              <w:rPr>
                <w:b/>
              </w:rPr>
              <w:t>,</w:t>
            </w:r>
            <w:r w:rsidRPr="005A7A8D">
              <w:rPr>
                <w:b/>
              </w:rPr>
              <w:t>000</w:t>
            </w:r>
            <w:r>
              <w:rPr>
                <w:b/>
              </w:rPr>
              <w:t>,</w:t>
            </w:r>
            <w:r w:rsidRPr="005A7A8D">
              <w:rPr>
                <w:b/>
              </w:rPr>
              <w:t>000</w:t>
            </w:r>
          </w:p>
        </w:tc>
        <w:tc>
          <w:tcPr>
            <w:tcW w:w="847" w:type="dxa"/>
            <w:tcBorders>
              <w:top w:val="nil"/>
              <w:bottom w:val="nil"/>
            </w:tcBorders>
            <w:shd w:val="clear" w:color="auto" w:fill="auto"/>
            <w:vAlign w:val="center"/>
          </w:tcPr>
          <w:p w14:paraId="38834FC8" w14:textId="77777777" w:rsidR="00613FF1" w:rsidRPr="008057C9" w:rsidRDefault="00613FF1" w:rsidP="005659D8">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5A7A8D">
              <w:rPr>
                <w:b/>
              </w:rPr>
              <w:t>100</w:t>
            </w:r>
          </w:p>
        </w:tc>
      </w:tr>
      <w:tr w:rsidR="00613FF1" w:rsidRPr="00C806B0" w14:paraId="0D8CFB61" w14:textId="77777777" w:rsidTr="003601E4">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nil"/>
            </w:tcBorders>
            <w:shd w:val="clear" w:color="auto" w:fill="auto"/>
          </w:tcPr>
          <w:p w14:paraId="1677089D" w14:textId="77777777" w:rsidR="00613FF1" w:rsidRPr="008057C9" w:rsidRDefault="00613FF1" w:rsidP="005659D8">
            <w:pPr>
              <w:pStyle w:val="08-Tabelageral"/>
              <w:ind w:firstLine="176"/>
              <w:jc w:val="left"/>
              <w:rPr>
                <w:rFonts w:cs="Arial"/>
                <w:b w:val="0"/>
                <w:bCs w:val="0"/>
                <w:color w:val="auto"/>
                <w:szCs w:val="14"/>
              </w:rPr>
            </w:pPr>
            <w:r w:rsidRPr="008057C9">
              <w:rPr>
                <w:rFonts w:cs="Arial"/>
                <w:b w:val="0"/>
                <w:bCs w:val="0"/>
                <w:color w:val="auto"/>
                <w:szCs w:val="14"/>
              </w:rPr>
              <w:t>Locals</w:t>
            </w:r>
          </w:p>
        </w:tc>
        <w:tc>
          <w:tcPr>
            <w:tcW w:w="1365" w:type="dxa"/>
            <w:tcBorders>
              <w:top w:val="nil"/>
              <w:bottom w:val="nil"/>
            </w:tcBorders>
            <w:shd w:val="clear" w:color="auto" w:fill="auto"/>
            <w:vAlign w:val="bottom"/>
          </w:tcPr>
          <w:p w14:paraId="6F9228BA" w14:textId="77777777" w:rsidR="00613FF1"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r w:rsidRPr="00A651EF">
              <w:t>1</w:t>
            </w:r>
            <w:r>
              <w:t>,</w:t>
            </w:r>
            <w:r w:rsidRPr="00A651EF">
              <w:t>538</w:t>
            </w:r>
            <w:r>
              <w:t>,</w:t>
            </w:r>
            <w:r w:rsidRPr="00A651EF">
              <w:t>774</w:t>
            </w:r>
            <w:r>
              <w:t>,</w:t>
            </w:r>
            <w:r w:rsidRPr="00A651EF">
              <w:t>783</w:t>
            </w:r>
          </w:p>
        </w:tc>
        <w:tc>
          <w:tcPr>
            <w:tcW w:w="707" w:type="dxa"/>
            <w:tcBorders>
              <w:top w:val="nil"/>
              <w:bottom w:val="nil"/>
            </w:tcBorders>
            <w:shd w:val="clear" w:color="auto" w:fill="auto"/>
            <w:vAlign w:val="bottom"/>
          </w:tcPr>
          <w:p w14:paraId="55316287" w14:textId="77777777" w:rsidR="00613FF1"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r>
              <w:t>76.94</w:t>
            </w:r>
          </w:p>
        </w:tc>
        <w:tc>
          <w:tcPr>
            <w:tcW w:w="270" w:type="dxa"/>
            <w:tcBorders>
              <w:top w:val="nil"/>
              <w:bottom w:val="nil"/>
            </w:tcBorders>
            <w:shd w:val="clear" w:color="auto" w:fill="auto"/>
            <w:vAlign w:val="center"/>
          </w:tcPr>
          <w:p w14:paraId="629DB1BA" w14:textId="77777777" w:rsidR="00613FF1" w:rsidRPr="00376A8D"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p>
        </w:tc>
        <w:tc>
          <w:tcPr>
            <w:tcW w:w="372" w:type="dxa"/>
            <w:gridSpan w:val="2"/>
            <w:tcBorders>
              <w:top w:val="nil"/>
              <w:bottom w:val="nil"/>
            </w:tcBorders>
            <w:shd w:val="clear" w:color="auto" w:fill="auto"/>
          </w:tcPr>
          <w:p w14:paraId="56B820DC" w14:textId="77777777" w:rsidR="00613FF1" w:rsidRPr="00376A8D" w:rsidRDefault="00613FF1" w:rsidP="005659D8">
            <w:pPr>
              <w:pStyle w:val="08-Tabelageral"/>
              <w:cnfStyle w:val="000000000000" w:firstRow="0" w:lastRow="0" w:firstColumn="0" w:lastColumn="0" w:oddVBand="0" w:evenVBand="0" w:oddHBand="0" w:evenHBand="0" w:firstRowFirstColumn="0" w:firstRowLastColumn="0" w:lastRowFirstColumn="0" w:lastRowLastColumn="0"/>
            </w:pPr>
          </w:p>
        </w:tc>
        <w:tc>
          <w:tcPr>
            <w:tcW w:w="1235" w:type="dxa"/>
            <w:gridSpan w:val="2"/>
            <w:tcBorders>
              <w:top w:val="nil"/>
              <w:bottom w:val="nil"/>
            </w:tcBorders>
            <w:shd w:val="clear" w:color="auto" w:fill="auto"/>
            <w:vAlign w:val="bottom"/>
          </w:tcPr>
          <w:p w14:paraId="70D16E29" w14:textId="77777777" w:rsidR="00613FF1" w:rsidRPr="0086152E" w:rsidRDefault="00613FF1" w:rsidP="005659D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4E544B">
              <w:t>1</w:t>
            </w:r>
            <w:r>
              <w:t>,</w:t>
            </w:r>
            <w:r w:rsidRPr="004E544B">
              <w:t>572</w:t>
            </w:r>
            <w:r>
              <w:t>,</w:t>
            </w:r>
            <w:r w:rsidRPr="004E544B">
              <w:t>986</w:t>
            </w:r>
            <w:r>
              <w:t>,</w:t>
            </w:r>
            <w:r w:rsidRPr="004E544B">
              <w:t>959</w:t>
            </w:r>
          </w:p>
        </w:tc>
        <w:tc>
          <w:tcPr>
            <w:tcW w:w="847" w:type="dxa"/>
            <w:tcBorders>
              <w:top w:val="nil"/>
              <w:bottom w:val="nil"/>
            </w:tcBorders>
            <w:shd w:val="clear" w:color="auto" w:fill="auto"/>
            <w:vAlign w:val="bottom"/>
          </w:tcPr>
          <w:p w14:paraId="2D7C1DB9" w14:textId="77777777" w:rsidR="00613FF1" w:rsidRPr="0086152E" w:rsidRDefault="00613FF1" w:rsidP="005659D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904B99">
              <w:t>78</w:t>
            </w:r>
            <w:r>
              <w:t>.</w:t>
            </w:r>
            <w:r w:rsidRPr="00904B99">
              <w:t>65</w:t>
            </w:r>
          </w:p>
        </w:tc>
      </w:tr>
      <w:tr w:rsidR="00613FF1" w:rsidRPr="00C806B0" w14:paraId="7B0A91F4" w14:textId="77777777" w:rsidTr="003601E4">
        <w:trPr>
          <w:cnfStyle w:val="000000100000" w:firstRow="0" w:lastRow="0" w:firstColumn="0" w:lastColumn="0" w:oddVBand="0" w:evenVBand="0" w:oddHBand="1" w:evenHBand="0"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4843" w:type="dxa"/>
            <w:tcBorders>
              <w:top w:val="nil"/>
              <w:bottom w:val="single" w:sz="2" w:space="0" w:color="1F4E79" w:themeColor="accent1" w:themeShade="80"/>
            </w:tcBorders>
            <w:shd w:val="clear" w:color="auto" w:fill="auto"/>
          </w:tcPr>
          <w:p w14:paraId="7494826A" w14:textId="77777777" w:rsidR="00613FF1" w:rsidRPr="008057C9" w:rsidRDefault="00613FF1" w:rsidP="005659D8">
            <w:pPr>
              <w:pStyle w:val="08-Tabelageral"/>
              <w:ind w:firstLine="176"/>
              <w:jc w:val="left"/>
              <w:rPr>
                <w:rFonts w:cs="Arial"/>
                <w:b w:val="0"/>
                <w:bCs w:val="0"/>
                <w:color w:val="auto"/>
                <w:szCs w:val="14"/>
              </w:rPr>
            </w:pPr>
            <w:r w:rsidRPr="008057C9">
              <w:rPr>
                <w:rFonts w:cs="Arial"/>
                <w:b w:val="0"/>
                <w:bCs w:val="0"/>
                <w:color w:val="auto"/>
                <w:szCs w:val="14"/>
              </w:rPr>
              <w:t>Foreign</w:t>
            </w:r>
          </w:p>
        </w:tc>
        <w:tc>
          <w:tcPr>
            <w:tcW w:w="1365" w:type="dxa"/>
            <w:tcBorders>
              <w:top w:val="nil"/>
              <w:bottom w:val="single" w:sz="2" w:space="0" w:color="1F4E79" w:themeColor="accent1" w:themeShade="80"/>
            </w:tcBorders>
            <w:shd w:val="clear" w:color="auto" w:fill="auto"/>
            <w:vAlign w:val="bottom"/>
          </w:tcPr>
          <w:p w14:paraId="005C15F9" w14:textId="77777777" w:rsidR="00613FF1" w:rsidRDefault="00613FF1" w:rsidP="005659D8">
            <w:pPr>
              <w:pStyle w:val="08-Tabelageral"/>
              <w:cnfStyle w:val="000000100000" w:firstRow="0" w:lastRow="0" w:firstColumn="0" w:lastColumn="0" w:oddVBand="0" w:evenVBand="0" w:oddHBand="1" w:evenHBand="0" w:firstRowFirstColumn="0" w:firstRowLastColumn="0" w:lastRowFirstColumn="0" w:lastRowLastColumn="0"/>
            </w:pPr>
            <w:r w:rsidRPr="00A651EF">
              <w:t>461</w:t>
            </w:r>
            <w:r>
              <w:t>,</w:t>
            </w:r>
            <w:r w:rsidRPr="00A651EF">
              <w:t>225</w:t>
            </w:r>
            <w:r>
              <w:t>,</w:t>
            </w:r>
            <w:r w:rsidRPr="00A651EF">
              <w:t>217</w:t>
            </w:r>
          </w:p>
        </w:tc>
        <w:tc>
          <w:tcPr>
            <w:tcW w:w="707" w:type="dxa"/>
            <w:tcBorders>
              <w:top w:val="nil"/>
              <w:bottom w:val="single" w:sz="2" w:space="0" w:color="1F4E79" w:themeColor="accent1" w:themeShade="80"/>
            </w:tcBorders>
            <w:shd w:val="clear" w:color="auto" w:fill="auto"/>
            <w:vAlign w:val="bottom"/>
          </w:tcPr>
          <w:p w14:paraId="67C38F80" w14:textId="77777777" w:rsidR="00613FF1" w:rsidRDefault="00613FF1" w:rsidP="005659D8">
            <w:pPr>
              <w:pStyle w:val="08-Tabelageral"/>
              <w:cnfStyle w:val="000000100000" w:firstRow="0" w:lastRow="0" w:firstColumn="0" w:lastColumn="0" w:oddVBand="0" w:evenVBand="0" w:oddHBand="1" w:evenHBand="0" w:firstRowFirstColumn="0" w:firstRowLastColumn="0" w:lastRowFirstColumn="0" w:lastRowLastColumn="0"/>
            </w:pPr>
            <w:r>
              <w:t>23.06</w:t>
            </w:r>
          </w:p>
        </w:tc>
        <w:tc>
          <w:tcPr>
            <w:tcW w:w="270" w:type="dxa"/>
            <w:tcBorders>
              <w:top w:val="nil"/>
              <w:bottom w:val="single" w:sz="2" w:space="0" w:color="1F4E79" w:themeColor="accent1" w:themeShade="80"/>
            </w:tcBorders>
            <w:shd w:val="clear" w:color="auto" w:fill="auto"/>
            <w:vAlign w:val="center"/>
          </w:tcPr>
          <w:p w14:paraId="54651B7C" w14:textId="77777777" w:rsidR="00613FF1" w:rsidRPr="00376A8D" w:rsidRDefault="00613FF1" w:rsidP="005659D8">
            <w:pPr>
              <w:pStyle w:val="08-Tabelageral"/>
              <w:cnfStyle w:val="000000100000" w:firstRow="0" w:lastRow="0" w:firstColumn="0" w:lastColumn="0" w:oddVBand="0" w:evenVBand="0" w:oddHBand="1" w:evenHBand="0" w:firstRowFirstColumn="0" w:firstRowLastColumn="0" w:lastRowFirstColumn="0" w:lastRowLastColumn="0"/>
            </w:pPr>
          </w:p>
        </w:tc>
        <w:tc>
          <w:tcPr>
            <w:tcW w:w="372" w:type="dxa"/>
            <w:gridSpan w:val="2"/>
            <w:tcBorders>
              <w:top w:val="nil"/>
              <w:bottom w:val="single" w:sz="2" w:space="0" w:color="1F4E79" w:themeColor="accent1" w:themeShade="80"/>
            </w:tcBorders>
            <w:shd w:val="clear" w:color="auto" w:fill="auto"/>
          </w:tcPr>
          <w:p w14:paraId="45DC412F" w14:textId="77777777" w:rsidR="00613FF1" w:rsidRPr="00376A8D" w:rsidRDefault="00613FF1" w:rsidP="005659D8">
            <w:pPr>
              <w:pStyle w:val="08-Tabelageral"/>
              <w:cnfStyle w:val="000000100000" w:firstRow="0" w:lastRow="0" w:firstColumn="0" w:lastColumn="0" w:oddVBand="0" w:evenVBand="0" w:oddHBand="1" w:evenHBand="0" w:firstRowFirstColumn="0" w:firstRowLastColumn="0" w:lastRowFirstColumn="0" w:lastRowLastColumn="0"/>
            </w:pPr>
          </w:p>
        </w:tc>
        <w:tc>
          <w:tcPr>
            <w:tcW w:w="1235" w:type="dxa"/>
            <w:gridSpan w:val="2"/>
            <w:tcBorders>
              <w:top w:val="nil"/>
              <w:bottom w:val="single" w:sz="2" w:space="0" w:color="1F4E79" w:themeColor="accent1" w:themeShade="80"/>
            </w:tcBorders>
            <w:shd w:val="clear" w:color="auto" w:fill="auto"/>
            <w:vAlign w:val="bottom"/>
          </w:tcPr>
          <w:p w14:paraId="2DBD7973" w14:textId="77777777" w:rsidR="00613FF1" w:rsidRPr="0086152E" w:rsidRDefault="00613FF1" w:rsidP="005659D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904B99">
              <w:t>427</w:t>
            </w:r>
            <w:r>
              <w:t>,</w:t>
            </w:r>
            <w:r w:rsidRPr="00904B99">
              <w:t>013</w:t>
            </w:r>
            <w:r>
              <w:t>,</w:t>
            </w:r>
            <w:r w:rsidRPr="00904B99">
              <w:t>041</w:t>
            </w:r>
          </w:p>
        </w:tc>
        <w:tc>
          <w:tcPr>
            <w:tcW w:w="847" w:type="dxa"/>
            <w:tcBorders>
              <w:top w:val="nil"/>
              <w:bottom w:val="single" w:sz="2" w:space="0" w:color="1F4E79" w:themeColor="accent1" w:themeShade="80"/>
            </w:tcBorders>
            <w:shd w:val="clear" w:color="auto" w:fill="auto"/>
            <w:vAlign w:val="bottom"/>
          </w:tcPr>
          <w:p w14:paraId="58E8EE4B" w14:textId="77777777" w:rsidR="00613FF1" w:rsidRPr="0086152E" w:rsidRDefault="00613FF1" w:rsidP="005659D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904B99">
              <w:t>21</w:t>
            </w:r>
            <w:r>
              <w:t>.</w:t>
            </w:r>
            <w:r w:rsidRPr="00904B99">
              <w:t>35</w:t>
            </w:r>
          </w:p>
        </w:tc>
      </w:tr>
    </w:tbl>
    <w:p w14:paraId="5F8E2E42" w14:textId="77777777" w:rsidR="00613FF1" w:rsidRPr="00F55DD0" w:rsidRDefault="00613FF1" w:rsidP="00F55DD0">
      <w:pPr>
        <w:pStyle w:val="01-Textonormal"/>
        <w:rPr>
          <w:b/>
          <w:color w:val="1F4E79" w:themeColor="accent1" w:themeShade="80"/>
        </w:rPr>
      </w:pPr>
      <w:r w:rsidRPr="00F55DD0">
        <w:rPr>
          <w:b/>
          <w:color w:val="1F4E79" w:themeColor="accent1" w:themeShade="80"/>
        </w:rPr>
        <w:t xml:space="preserve">g) Treasury shares </w:t>
      </w:r>
    </w:p>
    <w:p w14:paraId="6C91741D" w14:textId="77777777" w:rsidR="00613FF1" w:rsidRPr="00E2299D" w:rsidRDefault="00613FF1" w:rsidP="00F55DD0">
      <w:pPr>
        <w:pStyle w:val="01-Textonormal"/>
        <w:rPr>
          <w:b/>
          <w:color w:val="1F4E79" w:themeColor="accent1" w:themeShade="80"/>
          <w:lang w:val="en-US"/>
        </w:rPr>
      </w:pPr>
      <w:r w:rsidRPr="00E2299D">
        <w:rPr>
          <w:b/>
          <w:color w:val="1F4E79" w:themeColor="accent1" w:themeShade="80"/>
          <w:lang w:val="en-US"/>
        </w:rPr>
        <w:t xml:space="preserve">g.1) Share-Based Payment – Variable Wage Program </w:t>
      </w:r>
    </w:p>
    <w:p w14:paraId="23206A15" w14:textId="77777777" w:rsidR="00613FF1" w:rsidRDefault="00613FF1" w:rsidP="005237FC">
      <w:pPr>
        <w:pStyle w:val="05-Textonormal"/>
        <w:rPr>
          <w:lang w:val="en-US"/>
        </w:rPr>
      </w:pPr>
      <w:r w:rsidRPr="000C008B">
        <w:rPr>
          <w:lang w:val="en-US"/>
        </w:rPr>
        <w:t xml:space="preserve">The Variable </w:t>
      </w:r>
      <w:r>
        <w:rPr>
          <w:lang w:val="en-US"/>
        </w:rPr>
        <w:t>Wage</w:t>
      </w:r>
      <w:r w:rsidRPr="000C008B">
        <w:rPr>
          <w:lang w:val="en-US"/>
        </w:rPr>
        <w:t xml:space="preserve"> Program Board </w:t>
      </w:r>
      <w:r>
        <w:rPr>
          <w:lang w:val="en-US"/>
        </w:rPr>
        <w:t xml:space="preserve">of </w:t>
      </w:r>
      <w:r w:rsidRPr="000C008B">
        <w:rPr>
          <w:lang w:val="en-US"/>
        </w:rPr>
        <w:t xml:space="preserve">BB Seguridade </w:t>
      </w:r>
      <w:r>
        <w:rPr>
          <w:lang w:val="en-US"/>
        </w:rPr>
        <w:t>determined</w:t>
      </w:r>
      <w:r w:rsidRPr="000C008B">
        <w:rPr>
          <w:lang w:val="en-US"/>
        </w:rPr>
        <w:t xml:space="preserve"> that</w:t>
      </w:r>
      <w:r>
        <w:rPr>
          <w:lang w:val="en-US"/>
        </w:rPr>
        <w:t>,</w:t>
      </w:r>
      <w:r w:rsidRPr="000C008B">
        <w:rPr>
          <w:lang w:val="en-US"/>
        </w:rPr>
        <w:t xml:space="preserve"> </w:t>
      </w:r>
      <w:r>
        <w:rPr>
          <w:lang w:val="en-US"/>
        </w:rPr>
        <w:t xml:space="preserve">of </w:t>
      </w:r>
      <w:r w:rsidRPr="000C008B">
        <w:rPr>
          <w:lang w:val="en-US"/>
        </w:rPr>
        <w:t>the total amount allocated to the payment of variable compensation, 50% will be made in shares of BB Seguridade</w:t>
      </w:r>
      <w:r>
        <w:rPr>
          <w:lang w:val="en-US"/>
        </w:rPr>
        <w:t xml:space="preserve"> </w:t>
      </w:r>
      <w:r w:rsidRPr="000C008B">
        <w:rPr>
          <w:lang w:val="en-US"/>
        </w:rPr>
        <w:t xml:space="preserve">(BBSE3). </w:t>
      </w:r>
      <w:r>
        <w:rPr>
          <w:lang w:val="en-US"/>
        </w:rPr>
        <w:t>From t</w:t>
      </w:r>
      <w:r w:rsidRPr="000C008B">
        <w:rPr>
          <w:lang w:val="en-US"/>
        </w:rPr>
        <w:t xml:space="preserve">he total paid in </w:t>
      </w:r>
      <w:r>
        <w:rPr>
          <w:lang w:val="en-US"/>
        </w:rPr>
        <w:t>shares</w:t>
      </w:r>
      <w:r w:rsidRPr="000C008B">
        <w:rPr>
          <w:lang w:val="en-US"/>
        </w:rPr>
        <w:t>, 20% will be immediately transferred to the beneficiary ownership and 80% will be deferred for a period of four years.</w:t>
      </w:r>
    </w:p>
    <w:p w14:paraId="2D9270AF" w14:textId="77777777" w:rsidR="00613FF1" w:rsidRDefault="00613FF1" w:rsidP="003C304F">
      <w:pPr>
        <w:pStyle w:val="05-Textonormal"/>
        <w:rPr>
          <w:lang w:val="en-US"/>
        </w:rPr>
      </w:pPr>
      <w:r w:rsidRPr="009E41F1">
        <w:rPr>
          <w:lang w:val="en-US"/>
        </w:rPr>
        <w:t>On November 13, 2014, the Brazilian Securities and Exchange Commission (CVM) authorized BB Seguridade to make annually the private trading of its own shares, in order to fund, through these shares, part of the payment of the variable remuneration compensation of its Executive Board members, without the need to submit, every year, that commission new requests, in the case therefore of permanent authorization.</w:t>
      </w:r>
    </w:p>
    <w:p w14:paraId="65F9C73C" w14:textId="77777777" w:rsidR="00613FF1" w:rsidRDefault="00613FF1" w:rsidP="003C304F">
      <w:pPr>
        <w:pStyle w:val="05-Textonormal"/>
        <w:rPr>
          <w:lang w:val="en-US"/>
        </w:rPr>
      </w:pPr>
      <w:r w:rsidRPr="00275B1D">
        <w:rPr>
          <w:lang w:val="en-US"/>
        </w:rPr>
        <w:t>We present the statement of acquired shares, its distribution and its transfer schedule:</w:t>
      </w:r>
    </w:p>
    <w:tbl>
      <w:tblPr>
        <w:tblW w:w="9639" w:type="dxa"/>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2629"/>
        <w:gridCol w:w="1388"/>
        <w:gridCol w:w="1424"/>
        <w:gridCol w:w="1384"/>
        <w:gridCol w:w="1505"/>
        <w:gridCol w:w="1309"/>
      </w:tblGrid>
      <w:tr w:rsidR="00613FF1" w:rsidRPr="0093782B" w14:paraId="6DDA5E2D" w14:textId="77777777" w:rsidTr="002A0482">
        <w:trPr>
          <w:trHeight w:val="238"/>
        </w:trPr>
        <w:tc>
          <w:tcPr>
            <w:tcW w:w="2629" w:type="dxa"/>
            <w:tcBorders>
              <w:top w:val="single" w:sz="2" w:space="0" w:color="1F4E79" w:themeColor="accent1" w:themeShade="80"/>
              <w:bottom w:val="single" w:sz="2" w:space="0" w:color="1F4E79" w:themeColor="accent1" w:themeShade="80"/>
            </w:tcBorders>
            <w:shd w:val="clear" w:color="auto" w:fill="auto"/>
            <w:vAlign w:val="center"/>
          </w:tcPr>
          <w:p w14:paraId="3A5D2496" w14:textId="77777777" w:rsidR="00613FF1" w:rsidRPr="00E2299D" w:rsidRDefault="00613FF1" w:rsidP="00391E90">
            <w:pPr>
              <w:pStyle w:val="08-Tabelageral"/>
              <w:jc w:val="center"/>
              <w:rPr>
                <w:b/>
                <w:lang w:val="en-US"/>
              </w:rPr>
            </w:pPr>
          </w:p>
        </w:tc>
        <w:tc>
          <w:tcPr>
            <w:tcW w:w="1388" w:type="dxa"/>
            <w:tcBorders>
              <w:top w:val="single" w:sz="2" w:space="0" w:color="1F4E79" w:themeColor="accent1" w:themeShade="80"/>
              <w:bottom w:val="single" w:sz="2" w:space="0" w:color="1F4E79" w:themeColor="accent1" w:themeShade="80"/>
            </w:tcBorders>
            <w:shd w:val="clear" w:color="auto" w:fill="auto"/>
          </w:tcPr>
          <w:p w14:paraId="22515587" w14:textId="77777777" w:rsidR="00613FF1" w:rsidRPr="0093782B" w:rsidRDefault="00613FF1" w:rsidP="00236FFE">
            <w:pPr>
              <w:pStyle w:val="08-Tabelageral"/>
              <w:jc w:val="center"/>
              <w:rPr>
                <w:b/>
              </w:rPr>
            </w:pPr>
            <w:r w:rsidRPr="0093782B">
              <w:rPr>
                <w:b/>
              </w:rPr>
              <w:t>201</w:t>
            </w:r>
            <w:r>
              <w:rPr>
                <w:b/>
              </w:rPr>
              <w:t>8</w:t>
            </w:r>
            <w:r w:rsidRPr="0093782B">
              <w:rPr>
                <w:b/>
              </w:rPr>
              <w:t xml:space="preserve"> Program</w:t>
            </w:r>
          </w:p>
        </w:tc>
        <w:tc>
          <w:tcPr>
            <w:tcW w:w="1424" w:type="dxa"/>
            <w:tcBorders>
              <w:top w:val="single" w:sz="2" w:space="0" w:color="1F4E79" w:themeColor="accent1" w:themeShade="80"/>
              <w:bottom w:val="single" w:sz="2" w:space="0" w:color="1F4E79" w:themeColor="accent1" w:themeShade="80"/>
            </w:tcBorders>
            <w:shd w:val="clear" w:color="auto" w:fill="auto"/>
          </w:tcPr>
          <w:p w14:paraId="254AD703" w14:textId="77777777" w:rsidR="00613FF1" w:rsidRPr="0093782B" w:rsidRDefault="00613FF1" w:rsidP="00236FFE">
            <w:pPr>
              <w:pStyle w:val="08-Tabelageral"/>
              <w:jc w:val="center"/>
              <w:rPr>
                <w:b/>
              </w:rPr>
            </w:pPr>
            <w:r w:rsidRPr="0093782B">
              <w:rPr>
                <w:b/>
              </w:rPr>
              <w:t>201</w:t>
            </w:r>
            <w:r>
              <w:rPr>
                <w:b/>
              </w:rPr>
              <w:t>9</w:t>
            </w:r>
            <w:r w:rsidRPr="0093782B">
              <w:rPr>
                <w:b/>
              </w:rPr>
              <w:t xml:space="preserve"> Program</w:t>
            </w:r>
          </w:p>
        </w:tc>
        <w:tc>
          <w:tcPr>
            <w:tcW w:w="1384" w:type="dxa"/>
            <w:tcBorders>
              <w:top w:val="single" w:sz="2" w:space="0" w:color="1F4E79" w:themeColor="accent1" w:themeShade="80"/>
              <w:bottom w:val="single" w:sz="2" w:space="0" w:color="1F4E79" w:themeColor="accent1" w:themeShade="80"/>
            </w:tcBorders>
            <w:shd w:val="clear" w:color="auto" w:fill="auto"/>
          </w:tcPr>
          <w:p w14:paraId="4327660E" w14:textId="77777777" w:rsidR="00613FF1" w:rsidRPr="0093782B" w:rsidRDefault="00613FF1" w:rsidP="00236FFE">
            <w:pPr>
              <w:pStyle w:val="08-Tabelageral"/>
              <w:jc w:val="center"/>
              <w:rPr>
                <w:b/>
              </w:rPr>
            </w:pPr>
            <w:r w:rsidRPr="0093782B">
              <w:rPr>
                <w:b/>
              </w:rPr>
              <w:t>20</w:t>
            </w:r>
            <w:r>
              <w:rPr>
                <w:b/>
              </w:rPr>
              <w:t>20</w:t>
            </w:r>
            <w:r w:rsidRPr="0093782B">
              <w:rPr>
                <w:b/>
              </w:rPr>
              <w:t xml:space="preserve"> Program</w:t>
            </w:r>
          </w:p>
        </w:tc>
        <w:tc>
          <w:tcPr>
            <w:tcW w:w="1505" w:type="dxa"/>
            <w:tcBorders>
              <w:top w:val="single" w:sz="2" w:space="0" w:color="1F4E79" w:themeColor="accent1" w:themeShade="80"/>
              <w:bottom w:val="single" w:sz="2" w:space="0" w:color="1F4E79" w:themeColor="accent1" w:themeShade="80"/>
            </w:tcBorders>
            <w:shd w:val="clear" w:color="auto" w:fill="auto"/>
          </w:tcPr>
          <w:p w14:paraId="59830A5D" w14:textId="77777777" w:rsidR="00613FF1" w:rsidRPr="0093782B" w:rsidRDefault="00613FF1" w:rsidP="00236FFE">
            <w:pPr>
              <w:pStyle w:val="08-Tabelageral"/>
              <w:jc w:val="center"/>
              <w:rPr>
                <w:b/>
              </w:rPr>
            </w:pPr>
            <w:r w:rsidRPr="0093782B">
              <w:rPr>
                <w:b/>
              </w:rPr>
              <w:t>202</w:t>
            </w:r>
            <w:r>
              <w:rPr>
                <w:b/>
              </w:rPr>
              <w:t>1</w:t>
            </w:r>
            <w:r w:rsidRPr="0093782B">
              <w:rPr>
                <w:b/>
              </w:rPr>
              <w:t xml:space="preserve"> Program</w:t>
            </w:r>
          </w:p>
        </w:tc>
        <w:tc>
          <w:tcPr>
            <w:tcW w:w="1309" w:type="dxa"/>
            <w:tcBorders>
              <w:top w:val="single" w:sz="2" w:space="0" w:color="1F4E79" w:themeColor="accent1" w:themeShade="80"/>
              <w:bottom w:val="single" w:sz="2" w:space="0" w:color="1F4E79" w:themeColor="accent1" w:themeShade="80"/>
            </w:tcBorders>
            <w:shd w:val="clear" w:color="auto" w:fill="auto"/>
            <w:vAlign w:val="center"/>
          </w:tcPr>
          <w:p w14:paraId="1331857A" w14:textId="77777777" w:rsidR="00613FF1" w:rsidRPr="0093782B" w:rsidRDefault="00613FF1" w:rsidP="00391E90">
            <w:pPr>
              <w:pStyle w:val="08-Tabelageral"/>
              <w:rPr>
                <w:b/>
              </w:rPr>
            </w:pPr>
            <w:r w:rsidRPr="0093782B">
              <w:rPr>
                <w:b/>
              </w:rPr>
              <w:t>Total</w:t>
            </w:r>
          </w:p>
        </w:tc>
      </w:tr>
      <w:tr w:rsidR="00613FF1" w:rsidRPr="00056C3B" w14:paraId="6D79D1C2" w14:textId="77777777" w:rsidTr="002A0482">
        <w:trPr>
          <w:trHeight w:val="238"/>
        </w:trPr>
        <w:tc>
          <w:tcPr>
            <w:tcW w:w="2629" w:type="dxa"/>
            <w:tcBorders>
              <w:top w:val="single" w:sz="2" w:space="0" w:color="1F4E79" w:themeColor="accent1" w:themeShade="80"/>
            </w:tcBorders>
            <w:shd w:val="clear" w:color="auto" w:fill="auto"/>
            <w:vAlign w:val="center"/>
          </w:tcPr>
          <w:p w14:paraId="6D5BE1C6" w14:textId="77777777" w:rsidR="00613FF1" w:rsidRPr="00056C3B" w:rsidRDefault="00613FF1" w:rsidP="00236FFE">
            <w:pPr>
              <w:pStyle w:val="070-TabelaPadro"/>
              <w:spacing w:line="276" w:lineRule="auto"/>
              <w:ind w:left="-108" w:firstLine="426"/>
              <w:jc w:val="left"/>
              <w:rPr>
                <w:bCs/>
              </w:rPr>
            </w:pPr>
            <w:r w:rsidRPr="00B4618F">
              <w:t>Shares Distributed</w:t>
            </w:r>
          </w:p>
        </w:tc>
        <w:tc>
          <w:tcPr>
            <w:tcW w:w="1388" w:type="dxa"/>
            <w:tcBorders>
              <w:top w:val="single" w:sz="2" w:space="0" w:color="1F4E79" w:themeColor="accent1" w:themeShade="80"/>
            </w:tcBorders>
            <w:shd w:val="clear" w:color="auto" w:fill="auto"/>
          </w:tcPr>
          <w:p w14:paraId="78F16BD4" w14:textId="77777777" w:rsidR="00613FF1" w:rsidRPr="00056C3B" w:rsidRDefault="00613FF1" w:rsidP="00236FFE">
            <w:pPr>
              <w:pStyle w:val="08-Tabelageral"/>
              <w:ind w:left="113"/>
              <w:rPr>
                <w:rFonts w:cs="Arial"/>
                <w:bCs/>
                <w:szCs w:val="14"/>
              </w:rPr>
            </w:pPr>
            <w:r w:rsidRPr="0094376D">
              <w:rPr>
                <w:rFonts w:cs="Arial"/>
                <w:bCs/>
                <w:szCs w:val="14"/>
                <w:lang w:eastAsia="en-US"/>
              </w:rPr>
              <w:t>13</w:t>
            </w:r>
            <w:r>
              <w:rPr>
                <w:rFonts w:cs="Arial"/>
                <w:bCs/>
                <w:szCs w:val="14"/>
                <w:lang w:eastAsia="en-US"/>
              </w:rPr>
              <w:t>,</w:t>
            </w:r>
            <w:r w:rsidRPr="0094376D">
              <w:rPr>
                <w:rFonts w:cs="Arial"/>
                <w:bCs/>
                <w:szCs w:val="14"/>
                <w:lang w:eastAsia="en-US"/>
              </w:rPr>
              <w:t>117</w:t>
            </w:r>
          </w:p>
        </w:tc>
        <w:tc>
          <w:tcPr>
            <w:tcW w:w="1424" w:type="dxa"/>
            <w:tcBorders>
              <w:top w:val="single" w:sz="2" w:space="0" w:color="1F4E79" w:themeColor="accent1" w:themeShade="80"/>
            </w:tcBorders>
            <w:shd w:val="clear" w:color="auto" w:fill="auto"/>
          </w:tcPr>
          <w:p w14:paraId="60C28A71" w14:textId="77777777" w:rsidR="00613FF1" w:rsidRPr="00056C3B" w:rsidRDefault="00613FF1" w:rsidP="00236FFE">
            <w:pPr>
              <w:pStyle w:val="08-Tabelageral"/>
              <w:ind w:left="113"/>
              <w:rPr>
                <w:rFonts w:cs="Arial"/>
                <w:bCs/>
                <w:szCs w:val="14"/>
              </w:rPr>
            </w:pPr>
            <w:r w:rsidRPr="0094376D">
              <w:rPr>
                <w:rFonts w:cs="Arial"/>
                <w:bCs/>
                <w:szCs w:val="14"/>
              </w:rPr>
              <w:t>17</w:t>
            </w:r>
            <w:r>
              <w:rPr>
                <w:rFonts w:cs="Arial"/>
                <w:bCs/>
                <w:szCs w:val="14"/>
              </w:rPr>
              <w:t>,</w:t>
            </w:r>
            <w:r w:rsidRPr="0094376D">
              <w:rPr>
                <w:rFonts w:cs="Arial"/>
                <w:bCs/>
                <w:szCs w:val="14"/>
              </w:rPr>
              <w:t>003</w:t>
            </w:r>
          </w:p>
        </w:tc>
        <w:tc>
          <w:tcPr>
            <w:tcW w:w="1384" w:type="dxa"/>
            <w:tcBorders>
              <w:top w:val="single" w:sz="2" w:space="0" w:color="1F4E79" w:themeColor="accent1" w:themeShade="80"/>
            </w:tcBorders>
            <w:shd w:val="clear" w:color="auto" w:fill="auto"/>
          </w:tcPr>
          <w:p w14:paraId="2245F695" w14:textId="77777777" w:rsidR="00613FF1" w:rsidRPr="00056C3B" w:rsidRDefault="00613FF1" w:rsidP="00236FFE">
            <w:pPr>
              <w:pStyle w:val="08-Tabelageral"/>
              <w:ind w:left="113"/>
              <w:rPr>
                <w:rFonts w:cs="Arial"/>
                <w:bCs/>
                <w:szCs w:val="14"/>
              </w:rPr>
            </w:pPr>
            <w:r w:rsidRPr="0094376D">
              <w:rPr>
                <w:rFonts w:cs="Arial"/>
                <w:bCs/>
                <w:szCs w:val="14"/>
                <w:lang w:eastAsia="en-US"/>
              </w:rPr>
              <w:t>8</w:t>
            </w:r>
            <w:r>
              <w:rPr>
                <w:rFonts w:cs="Arial"/>
                <w:bCs/>
                <w:szCs w:val="14"/>
                <w:lang w:eastAsia="en-US"/>
              </w:rPr>
              <w:t>,</w:t>
            </w:r>
            <w:r w:rsidRPr="0094376D">
              <w:rPr>
                <w:rFonts w:cs="Arial"/>
                <w:bCs/>
                <w:szCs w:val="14"/>
                <w:lang w:eastAsia="en-US"/>
              </w:rPr>
              <w:t>999</w:t>
            </w:r>
          </w:p>
        </w:tc>
        <w:tc>
          <w:tcPr>
            <w:tcW w:w="1505" w:type="dxa"/>
            <w:tcBorders>
              <w:top w:val="single" w:sz="2" w:space="0" w:color="1F4E79" w:themeColor="accent1" w:themeShade="80"/>
            </w:tcBorders>
            <w:shd w:val="clear" w:color="auto" w:fill="auto"/>
          </w:tcPr>
          <w:p w14:paraId="71116A53" w14:textId="77777777" w:rsidR="00613FF1" w:rsidRPr="00056C3B" w:rsidRDefault="00613FF1" w:rsidP="00236FFE">
            <w:pPr>
              <w:pStyle w:val="08-Tabelageral"/>
              <w:ind w:left="113"/>
              <w:rPr>
                <w:rFonts w:cs="Arial"/>
                <w:bCs/>
                <w:szCs w:val="14"/>
              </w:rPr>
            </w:pPr>
            <w:r w:rsidRPr="0094376D">
              <w:rPr>
                <w:rFonts w:cs="Arial"/>
                <w:bCs/>
                <w:szCs w:val="14"/>
              </w:rPr>
              <w:t>5</w:t>
            </w:r>
            <w:r>
              <w:rPr>
                <w:rFonts w:cs="Arial"/>
                <w:bCs/>
                <w:szCs w:val="14"/>
              </w:rPr>
              <w:t>,</w:t>
            </w:r>
            <w:r w:rsidRPr="0094376D">
              <w:rPr>
                <w:rFonts w:cs="Arial"/>
                <w:bCs/>
                <w:szCs w:val="14"/>
              </w:rPr>
              <w:t>050</w:t>
            </w:r>
          </w:p>
        </w:tc>
        <w:tc>
          <w:tcPr>
            <w:tcW w:w="1309" w:type="dxa"/>
            <w:tcBorders>
              <w:top w:val="single" w:sz="2" w:space="0" w:color="1F4E79" w:themeColor="accent1" w:themeShade="80"/>
            </w:tcBorders>
            <w:shd w:val="clear" w:color="auto" w:fill="auto"/>
          </w:tcPr>
          <w:p w14:paraId="4428D4D5" w14:textId="77777777" w:rsidR="00613FF1" w:rsidRPr="00062947" w:rsidRDefault="00613FF1" w:rsidP="00236FFE">
            <w:pPr>
              <w:pStyle w:val="08-Tabelageral"/>
              <w:ind w:left="113"/>
              <w:rPr>
                <w:rFonts w:cs="Arial"/>
                <w:b/>
                <w:szCs w:val="14"/>
              </w:rPr>
            </w:pPr>
            <w:r>
              <w:rPr>
                <w:rFonts w:cs="Arial"/>
                <w:b/>
                <w:szCs w:val="14"/>
                <w:lang w:eastAsia="en-US"/>
              </w:rPr>
              <w:t>44,169</w:t>
            </w:r>
          </w:p>
        </w:tc>
      </w:tr>
      <w:tr w:rsidR="00613FF1" w:rsidRPr="00056C3B" w14:paraId="71A4AF78" w14:textId="77777777" w:rsidTr="002A0482">
        <w:trPr>
          <w:trHeight w:val="238"/>
        </w:trPr>
        <w:tc>
          <w:tcPr>
            <w:tcW w:w="2629" w:type="dxa"/>
            <w:shd w:val="clear" w:color="auto" w:fill="auto"/>
          </w:tcPr>
          <w:p w14:paraId="7570EC45" w14:textId="77777777" w:rsidR="00613FF1" w:rsidRPr="00056C3B" w:rsidRDefault="00613FF1" w:rsidP="00236FFE">
            <w:pPr>
              <w:pStyle w:val="070-TabelaPadro"/>
              <w:spacing w:line="276" w:lineRule="auto"/>
              <w:ind w:left="-108" w:firstLine="426"/>
              <w:jc w:val="left"/>
              <w:rPr>
                <w:bCs/>
              </w:rPr>
            </w:pPr>
            <w:r w:rsidRPr="00B4618F">
              <w:t>Shares to Distribute</w:t>
            </w:r>
          </w:p>
        </w:tc>
        <w:tc>
          <w:tcPr>
            <w:tcW w:w="1388" w:type="dxa"/>
            <w:shd w:val="clear" w:color="auto" w:fill="auto"/>
          </w:tcPr>
          <w:p w14:paraId="08250962" w14:textId="77777777" w:rsidR="00613FF1" w:rsidRPr="00056C3B" w:rsidRDefault="00613FF1" w:rsidP="00236FFE">
            <w:pPr>
              <w:pStyle w:val="08-Tabelageral"/>
              <w:ind w:left="113"/>
              <w:rPr>
                <w:rFonts w:cs="Arial"/>
                <w:bCs/>
                <w:szCs w:val="14"/>
              </w:rPr>
            </w:pPr>
            <w:r w:rsidRPr="0094376D">
              <w:rPr>
                <w:rFonts w:cs="Arial"/>
                <w:bCs/>
                <w:szCs w:val="14"/>
              </w:rPr>
              <w:t>3</w:t>
            </w:r>
            <w:r>
              <w:rPr>
                <w:rFonts w:cs="Arial"/>
                <w:bCs/>
                <w:szCs w:val="14"/>
              </w:rPr>
              <w:t>,</w:t>
            </w:r>
            <w:r w:rsidRPr="0094376D">
              <w:rPr>
                <w:rFonts w:cs="Arial"/>
                <w:bCs/>
                <w:szCs w:val="14"/>
              </w:rPr>
              <w:t>276</w:t>
            </w:r>
          </w:p>
        </w:tc>
        <w:tc>
          <w:tcPr>
            <w:tcW w:w="1424" w:type="dxa"/>
            <w:shd w:val="clear" w:color="auto" w:fill="auto"/>
          </w:tcPr>
          <w:p w14:paraId="0FE5A0E3" w14:textId="77777777" w:rsidR="00613FF1" w:rsidRPr="00056C3B" w:rsidRDefault="00613FF1" w:rsidP="00236FFE">
            <w:pPr>
              <w:pStyle w:val="08-Tabelageral"/>
              <w:ind w:left="113"/>
              <w:rPr>
                <w:rFonts w:cs="Arial"/>
                <w:bCs/>
                <w:szCs w:val="14"/>
              </w:rPr>
            </w:pPr>
            <w:r w:rsidRPr="0094376D">
              <w:rPr>
                <w:rFonts w:cs="Arial"/>
                <w:bCs/>
                <w:szCs w:val="14"/>
              </w:rPr>
              <w:t>11</w:t>
            </w:r>
            <w:r>
              <w:rPr>
                <w:rFonts w:cs="Arial"/>
                <w:bCs/>
                <w:szCs w:val="14"/>
              </w:rPr>
              <w:t>,</w:t>
            </w:r>
            <w:r w:rsidRPr="0094376D">
              <w:rPr>
                <w:rFonts w:cs="Arial"/>
                <w:bCs/>
                <w:szCs w:val="14"/>
              </w:rPr>
              <w:t>330</w:t>
            </w:r>
          </w:p>
        </w:tc>
        <w:tc>
          <w:tcPr>
            <w:tcW w:w="1384" w:type="dxa"/>
            <w:shd w:val="clear" w:color="auto" w:fill="auto"/>
          </w:tcPr>
          <w:p w14:paraId="7759E55A" w14:textId="77777777" w:rsidR="00613FF1" w:rsidRPr="00056C3B" w:rsidRDefault="00613FF1" w:rsidP="00236FFE">
            <w:pPr>
              <w:pStyle w:val="08-Tabelageral"/>
              <w:ind w:left="113"/>
              <w:rPr>
                <w:rFonts w:cs="Arial"/>
                <w:bCs/>
                <w:szCs w:val="14"/>
              </w:rPr>
            </w:pPr>
            <w:r w:rsidRPr="0094376D">
              <w:rPr>
                <w:rFonts w:cs="Arial"/>
                <w:bCs/>
                <w:szCs w:val="14"/>
              </w:rPr>
              <w:t>13</w:t>
            </w:r>
            <w:r>
              <w:rPr>
                <w:rFonts w:cs="Arial"/>
                <w:bCs/>
                <w:szCs w:val="14"/>
              </w:rPr>
              <w:t>,</w:t>
            </w:r>
            <w:r w:rsidRPr="0094376D">
              <w:rPr>
                <w:rFonts w:cs="Arial"/>
                <w:bCs/>
                <w:szCs w:val="14"/>
              </w:rPr>
              <w:t>461</w:t>
            </w:r>
          </w:p>
        </w:tc>
        <w:tc>
          <w:tcPr>
            <w:tcW w:w="1505" w:type="dxa"/>
            <w:shd w:val="clear" w:color="auto" w:fill="auto"/>
          </w:tcPr>
          <w:p w14:paraId="4EC09313" w14:textId="77777777" w:rsidR="00613FF1" w:rsidRPr="00056C3B" w:rsidRDefault="00613FF1" w:rsidP="00236FFE">
            <w:pPr>
              <w:pStyle w:val="08-Tabelageral"/>
              <w:ind w:left="113"/>
              <w:rPr>
                <w:rFonts w:cs="Arial"/>
                <w:bCs/>
                <w:szCs w:val="14"/>
              </w:rPr>
            </w:pPr>
            <w:r w:rsidRPr="0094376D">
              <w:rPr>
                <w:rFonts w:cs="Arial"/>
                <w:bCs/>
                <w:szCs w:val="14"/>
              </w:rPr>
              <w:t>20</w:t>
            </w:r>
            <w:r>
              <w:rPr>
                <w:rFonts w:cs="Arial"/>
                <w:bCs/>
                <w:szCs w:val="14"/>
              </w:rPr>
              <w:t>,</w:t>
            </w:r>
            <w:r w:rsidRPr="0094376D">
              <w:rPr>
                <w:rFonts w:cs="Arial"/>
                <w:bCs/>
                <w:szCs w:val="14"/>
              </w:rPr>
              <w:t>148</w:t>
            </w:r>
          </w:p>
        </w:tc>
        <w:tc>
          <w:tcPr>
            <w:tcW w:w="1309" w:type="dxa"/>
            <w:shd w:val="clear" w:color="auto" w:fill="auto"/>
          </w:tcPr>
          <w:p w14:paraId="4CD7109A" w14:textId="77777777" w:rsidR="00613FF1" w:rsidRPr="00062947" w:rsidRDefault="00613FF1" w:rsidP="00236FFE">
            <w:pPr>
              <w:pStyle w:val="08-Tabelageral"/>
              <w:ind w:left="113"/>
              <w:rPr>
                <w:rFonts w:cs="Arial"/>
                <w:b/>
                <w:szCs w:val="14"/>
              </w:rPr>
            </w:pPr>
            <w:r>
              <w:rPr>
                <w:rFonts w:cs="Arial"/>
                <w:b/>
                <w:szCs w:val="14"/>
                <w:lang w:eastAsia="en-US"/>
              </w:rPr>
              <w:t>48,215</w:t>
            </w:r>
          </w:p>
        </w:tc>
      </w:tr>
      <w:tr w:rsidR="00613FF1" w:rsidRPr="00810C05" w14:paraId="66D1A4E4" w14:textId="77777777" w:rsidTr="002A0482">
        <w:trPr>
          <w:trHeight w:val="238"/>
        </w:trPr>
        <w:tc>
          <w:tcPr>
            <w:tcW w:w="2629" w:type="dxa"/>
            <w:shd w:val="clear" w:color="auto" w:fill="auto"/>
          </w:tcPr>
          <w:p w14:paraId="55EC9264" w14:textId="77777777" w:rsidR="00613FF1" w:rsidRPr="00810C05" w:rsidRDefault="00613FF1" w:rsidP="00236FFE">
            <w:pPr>
              <w:pStyle w:val="070-TabelaPadro"/>
              <w:spacing w:line="276" w:lineRule="auto"/>
              <w:jc w:val="left"/>
              <w:rPr>
                <w:b/>
                <w:bCs/>
              </w:rPr>
            </w:pPr>
            <w:r w:rsidRPr="00810C05">
              <w:rPr>
                <w:b/>
                <w:bCs/>
              </w:rPr>
              <w:t>Total Program Shares</w:t>
            </w:r>
          </w:p>
        </w:tc>
        <w:tc>
          <w:tcPr>
            <w:tcW w:w="1388" w:type="dxa"/>
            <w:shd w:val="clear" w:color="auto" w:fill="auto"/>
          </w:tcPr>
          <w:p w14:paraId="6FB8F3A5" w14:textId="77777777" w:rsidR="00613FF1" w:rsidRPr="00810C05" w:rsidRDefault="00613FF1" w:rsidP="00236FFE">
            <w:pPr>
              <w:pStyle w:val="08-Tabelageral"/>
              <w:ind w:left="113"/>
              <w:rPr>
                <w:rFonts w:cs="Arial"/>
                <w:b/>
                <w:bCs/>
                <w:szCs w:val="14"/>
              </w:rPr>
            </w:pPr>
            <w:r w:rsidRPr="0094376D">
              <w:rPr>
                <w:rFonts w:cs="Arial"/>
                <w:b/>
                <w:szCs w:val="14"/>
                <w:lang w:eastAsia="en-US"/>
              </w:rPr>
              <w:t>16</w:t>
            </w:r>
            <w:r>
              <w:rPr>
                <w:rFonts w:cs="Arial"/>
                <w:b/>
                <w:szCs w:val="14"/>
                <w:lang w:eastAsia="en-US"/>
              </w:rPr>
              <w:t>,</w:t>
            </w:r>
            <w:r w:rsidRPr="0094376D">
              <w:rPr>
                <w:rFonts w:cs="Arial"/>
                <w:b/>
                <w:szCs w:val="14"/>
                <w:lang w:eastAsia="en-US"/>
              </w:rPr>
              <w:t>393</w:t>
            </w:r>
          </w:p>
        </w:tc>
        <w:tc>
          <w:tcPr>
            <w:tcW w:w="1424" w:type="dxa"/>
            <w:shd w:val="clear" w:color="auto" w:fill="auto"/>
          </w:tcPr>
          <w:p w14:paraId="256801AC" w14:textId="77777777" w:rsidR="00613FF1" w:rsidRPr="00810C05" w:rsidRDefault="00613FF1" w:rsidP="00236FFE">
            <w:pPr>
              <w:pStyle w:val="08-Tabelageral"/>
              <w:ind w:left="113"/>
              <w:rPr>
                <w:rFonts w:cs="Arial"/>
                <w:b/>
                <w:bCs/>
                <w:szCs w:val="14"/>
              </w:rPr>
            </w:pPr>
            <w:r w:rsidRPr="0094376D">
              <w:rPr>
                <w:rFonts w:cs="Arial"/>
                <w:b/>
                <w:szCs w:val="14"/>
                <w:lang w:eastAsia="en-US"/>
              </w:rPr>
              <w:t>28</w:t>
            </w:r>
            <w:r>
              <w:rPr>
                <w:rFonts w:cs="Arial"/>
                <w:b/>
                <w:szCs w:val="14"/>
                <w:lang w:eastAsia="en-US"/>
              </w:rPr>
              <w:t>,</w:t>
            </w:r>
            <w:r w:rsidRPr="0094376D">
              <w:rPr>
                <w:rFonts w:cs="Arial"/>
                <w:b/>
                <w:szCs w:val="14"/>
                <w:lang w:eastAsia="en-US"/>
              </w:rPr>
              <w:t>333</w:t>
            </w:r>
          </w:p>
        </w:tc>
        <w:tc>
          <w:tcPr>
            <w:tcW w:w="1384" w:type="dxa"/>
            <w:shd w:val="clear" w:color="auto" w:fill="auto"/>
          </w:tcPr>
          <w:p w14:paraId="2214D95C" w14:textId="77777777" w:rsidR="00613FF1" w:rsidRPr="00810C05" w:rsidRDefault="00613FF1" w:rsidP="00236FFE">
            <w:pPr>
              <w:pStyle w:val="08-Tabelageral"/>
              <w:ind w:left="113"/>
              <w:rPr>
                <w:rFonts w:cs="Arial"/>
                <w:b/>
                <w:bCs/>
                <w:szCs w:val="14"/>
              </w:rPr>
            </w:pPr>
            <w:r w:rsidRPr="0094376D">
              <w:rPr>
                <w:rFonts w:cs="Arial"/>
                <w:b/>
                <w:szCs w:val="14"/>
                <w:lang w:eastAsia="en-US"/>
              </w:rPr>
              <w:t>22</w:t>
            </w:r>
            <w:r>
              <w:rPr>
                <w:rFonts w:cs="Arial"/>
                <w:b/>
                <w:szCs w:val="14"/>
                <w:lang w:eastAsia="en-US"/>
              </w:rPr>
              <w:t>,</w:t>
            </w:r>
            <w:r w:rsidRPr="0094376D">
              <w:rPr>
                <w:rFonts w:cs="Arial"/>
                <w:b/>
                <w:szCs w:val="14"/>
                <w:lang w:eastAsia="en-US"/>
              </w:rPr>
              <w:t>460</w:t>
            </w:r>
          </w:p>
        </w:tc>
        <w:tc>
          <w:tcPr>
            <w:tcW w:w="1505" w:type="dxa"/>
            <w:shd w:val="clear" w:color="auto" w:fill="auto"/>
          </w:tcPr>
          <w:p w14:paraId="14E368E7" w14:textId="77777777" w:rsidR="00613FF1" w:rsidRPr="00810C05" w:rsidRDefault="00613FF1" w:rsidP="00236FFE">
            <w:pPr>
              <w:pStyle w:val="08-Tabelageral"/>
              <w:ind w:left="113"/>
              <w:rPr>
                <w:rFonts w:cs="Arial"/>
                <w:b/>
                <w:bCs/>
                <w:szCs w:val="14"/>
              </w:rPr>
            </w:pPr>
            <w:r w:rsidRPr="0094376D">
              <w:rPr>
                <w:rFonts w:cs="Arial"/>
                <w:b/>
                <w:szCs w:val="14"/>
              </w:rPr>
              <w:t>25</w:t>
            </w:r>
            <w:r>
              <w:rPr>
                <w:rFonts w:cs="Arial"/>
                <w:b/>
                <w:szCs w:val="14"/>
              </w:rPr>
              <w:t>,</w:t>
            </w:r>
            <w:r w:rsidRPr="0094376D">
              <w:rPr>
                <w:rFonts w:cs="Arial"/>
                <w:b/>
                <w:szCs w:val="14"/>
              </w:rPr>
              <w:t>198</w:t>
            </w:r>
          </w:p>
        </w:tc>
        <w:tc>
          <w:tcPr>
            <w:tcW w:w="1309" w:type="dxa"/>
            <w:shd w:val="clear" w:color="auto" w:fill="auto"/>
          </w:tcPr>
          <w:p w14:paraId="733C2E85" w14:textId="77777777" w:rsidR="00613FF1" w:rsidRPr="00810C05" w:rsidRDefault="00613FF1" w:rsidP="00236FFE">
            <w:pPr>
              <w:pStyle w:val="08-Tabelageral"/>
              <w:ind w:left="113"/>
              <w:rPr>
                <w:rFonts w:cs="Arial"/>
                <w:b/>
                <w:bCs/>
                <w:szCs w:val="14"/>
              </w:rPr>
            </w:pPr>
            <w:r>
              <w:rPr>
                <w:rFonts w:cs="Arial"/>
                <w:b/>
                <w:szCs w:val="14"/>
                <w:lang w:eastAsia="en-US"/>
              </w:rPr>
              <w:t>92,384</w:t>
            </w:r>
          </w:p>
        </w:tc>
      </w:tr>
      <w:tr w:rsidR="00613FF1" w:rsidRPr="00733251" w14:paraId="01B617F0" w14:textId="77777777" w:rsidTr="002A0482">
        <w:trPr>
          <w:trHeight w:val="238"/>
        </w:trPr>
        <w:tc>
          <w:tcPr>
            <w:tcW w:w="2629" w:type="dxa"/>
            <w:shd w:val="clear" w:color="auto" w:fill="auto"/>
          </w:tcPr>
          <w:p w14:paraId="13AFB358" w14:textId="77777777" w:rsidR="00613FF1" w:rsidRPr="00A84550" w:rsidRDefault="00613FF1" w:rsidP="00236FFE">
            <w:pPr>
              <w:pStyle w:val="070-TabelaPadro"/>
              <w:spacing w:line="276" w:lineRule="auto"/>
              <w:jc w:val="left"/>
              <w:rPr>
                <w:b/>
              </w:rPr>
            </w:pPr>
          </w:p>
        </w:tc>
        <w:tc>
          <w:tcPr>
            <w:tcW w:w="1388" w:type="dxa"/>
            <w:shd w:val="clear" w:color="auto" w:fill="auto"/>
          </w:tcPr>
          <w:p w14:paraId="567FFBC0" w14:textId="77777777" w:rsidR="00613FF1" w:rsidRPr="00E31A92" w:rsidRDefault="00613FF1" w:rsidP="00236FFE">
            <w:pPr>
              <w:pStyle w:val="08-Tabelageral"/>
              <w:ind w:left="113"/>
              <w:rPr>
                <w:rFonts w:cs="Arial"/>
                <w:szCs w:val="14"/>
              </w:rPr>
            </w:pPr>
          </w:p>
        </w:tc>
        <w:tc>
          <w:tcPr>
            <w:tcW w:w="1424" w:type="dxa"/>
            <w:shd w:val="clear" w:color="auto" w:fill="auto"/>
          </w:tcPr>
          <w:p w14:paraId="06E9EB37" w14:textId="77777777" w:rsidR="00613FF1" w:rsidRPr="00E31A92" w:rsidRDefault="00613FF1" w:rsidP="00236FFE">
            <w:pPr>
              <w:pStyle w:val="08-Tabelageral"/>
              <w:ind w:left="113"/>
              <w:rPr>
                <w:rFonts w:cs="Arial"/>
                <w:szCs w:val="14"/>
              </w:rPr>
            </w:pPr>
          </w:p>
        </w:tc>
        <w:tc>
          <w:tcPr>
            <w:tcW w:w="1384" w:type="dxa"/>
            <w:shd w:val="clear" w:color="auto" w:fill="auto"/>
          </w:tcPr>
          <w:p w14:paraId="56F15720" w14:textId="77777777" w:rsidR="00613FF1" w:rsidRPr="00E31A92" w:rsidRDefault="00613FF1" w:rsidP="00236FFE">
            <w:pPr>
              <w:pStyle w:val="08-Tabelageral"/>
              <w:ind w:left="113"/>
              <w:rPr>
                <w:rFonts w:cs="Arial"/>
                <w:szCs w:val="14"/>
              </w:rPr>
            </w:pPr>
          </w:p>
        </w:tc>
        <w:tc>
          <w:tcPr>
            <w:tcW w:w="1505" w:type="dxa"/>
            <w:shd w:val="clear" w:color="auto" w:fill="auto"/>
          </w:tcPr>
          <w:p w14:paraId="03A83EAB" w14:textId="77777777" w:rsidR="00613FF1" w:rsidRPr="00090360" w:rsidRDefault="00613FF1" w:rsidP="00236FFE">
            <w:pPr>
              <w:pStyle w:val="08-Tabelageral"/>
              <w:ind w:left="113"/>
              <w:rPr>
                <w:rFonts w:cs="Arial"/>
                <w:szCs w:val="14"/>
              </w:rPr>
            </w:pPr>
          </w:p>
        </w:tc>
        <w:tc>
          <w:tcPr>
            <w:tcW w:w="1309" w:type="dxa"/>
            <w:shd w:val="clear" w:color="auto" w:fill="auto"/>
          </w:tcPr>
          <w:p w14:paraId="6878EA01" w14:textId="77777777" w:rsidR="00613FF1" w:rsidRPr="00E31A92" w:rsidRDefault="00613FF1" w:rsidP="00236FFE">
            <w:pPr>
              <w:pStyle w:val="08-Tabelageral"/>
              <w:ind w:left="113"/>
              <w:rPr>
                <w:rFonts w:cs="Arial"/>
                <w:b/>
                <w:szCs w:val="14"/>
              </w:rPr>
            </w:pPr>
          </w:p>
        </w:tc>
      </w:tr>
      <w:tr w:rsidR="00613FF1" w:rsidRPr="00733251" w14:paraId="113091A8" w14:textId="77777777" w:rsidTr="002A0482">
        <w:trPr>
          <w:trHeight w:val="238"/>
        </w:trPr>
        <w:tc>
          <w:tcPr>
            <w:tcW w:w="2629" w:type="dxa"/>
            <w:shd w:val="clear" w:color="auto" w:fill="auto"/>
          </w:tcPr>
          <w:p w14:paraId="41C0F10F" w14:textId="77777777" w:rsidR="00613FF1" w:rsidRPr="00056C3B" w:rsidRDefault="00613FF1" w:rsidP="00236FFE">
            <w:pPr>
              <w:pStyle w:val="070-TabelaPadro"/>
              <w:spacing w:line="276" w:lineRule="auto"/>
              <w:ind w:left="-108"/>
              <w:jc w:val="left"/>
              <w:rPr>
                <w:bCs/>
              </w:rPr>
            </w:pPr>
            <w:r w:rsidRPr="00B14041">
              <w:t>Minimum</w:t>
            </w:r>
            <w:r>
              <w:t xml:space="preserve"> cost</w:t>
            </w:r>
          </w:p>
        </w:tc>
        <w:tc>
          <w:tcPr>
            <w:tcW w:w="1388" w:type="dxa"/>
            <w:shd w:val="clear" w:color="auto" w:fill="auto"/>
          </w:tcPr>
          <w:p w14:paraId="21ECA000" w14:textId="77777777" w:rsidR="00613FF1" w:rsidRPr="00E31A92" w:rsidRDefault="00613FF1" w:rsidP="00236FFE">
            <w:pPr>
              <w:pStyle w:val="08-Tabelageral"/>
              <w:ind w:left="113"/>
              <w:rPr>
                <w:rFonts w:cs="Arial"/>
                <w:b/>
                <w:szCs w:val="14"/>
              </w:rPr>
            </w:pPr>
            <w:r w:rsidRPr="0094376D">
              <w:rPr>
                <w:rFonts w:cs="Arial"/>
                <w:szCs w:val="14"/>
                <w:lang w:eastAsia="en-US"/>
              </w:rPr>
              <w:t>27</w:t>
            </w:r>
            <w:r>
              <w:rPr>
                <w:rFonts w:cs="Arial"/>
                <w:szCs w:val="14"/>
                <w:lang w:eastAsia="en-US"/>
              </w:rPr>
              <w:t>.</w:t>
            </w:r>
            <w:r w:rsidRPr="0094376D">
              <w:rPr>
                <w:rFonts w:cs="Arial"/>
                <w:szCs w:val="14"/>
                <w:lang w:eastAsia="en-US"/>
              </w:rPr>
              <w:t>78</w:t>
            </w:r>
          </w:p>
        </w:tc>
        <w:tc>
          <w:tcPr>
            <w:tcW w:w="1424" w:type="dxa"/>
            <w:shd w:val="clear" w:color="auto" w:fill="auto"/>
          </w:tcPr>
          <w:p w14:paraId="0DC2D86D" w14:textId="77777777" w:rsidR="00613FF1" w:rsidRPr="00E31A92" w:rsidRDefault="00613FF1" w:rsidP="00236FFE">
            <w:pPr>
              <w:pStyle w:val="08-Tabelageral"/>
              <w:ind w:left="113"/>
              <w:rPr>
                <w:rFonts w:cs="Arial"/>
                <w:b/>
                <w:szCs w:val="14"/>
              </w:rPr>
            </w:pPr>
            <w:r>
              <w:rPr>
                <w:rFonts w:cs="Arial"/>
                <w:szCs w:val="14"/>
                <w:lang w:eastAsia="en-US"/>
              </w:rPr>
              <w:t>31.</w:t>
            </w:r>
            <w:r w:rsidRPr="0094376D">
              <w:rPr>
                <w:rFonts w:cs="Arial"/>
                <w:szCs w:val="14"/>
                <w:lang w:eastAsia="en-US"/>
              </w:rPr>
              <w:t>93</w:t>
            </w:r>
          </w:p>
        </w:tc>
        <w:tc>
          <w:tcPr>
            <w:tcW w:w="1384" w:type="dxa"/>
            <w:shd w:val="clear" w:color="auto" w:fill="auto"/>
          </w:tcPr>
          <w:p w14:paraId="06F57876" w14:textId="77777777" w:rsidR="00613FF1" w:rsidRPr="00E31A92" w:rsidRDefault="00613FF1" w:rsidP="00236FFE">
            <w:pPr>
              <w:pStyle w:val="08-Tabelageral"/>
              <w:ind w:left="113"/>
              <w:rPr>
                <w:rFonts w:cs="Arial"/>
                <w:b/>
                <w:szCs w:val="14"/>
              </w:rPr>
            </w:pPr>
            <w:r>
              <w:rPr>
                <w:rFonts w:cs="Arial"/>
                <w:szCs w:val="14"/>
                <w:lang w:eastAsia="en-US"/>
              </w:rPr>
              <w:t>24.</w:t>
            </w:r>
            <w:r w:rsidRPr="0094376D">
              <w:rPr>
                <w:rFonts w:cs="Arial"/>
                <w:szCs w:val="14"/>
                <w:lang w:eastAsia="en-US"/>
              </w:rPr>
              <w:t>37</w:t>
            </w:r>
          </w:p>
        </w:tc>
        <w:tc>
          <w:tcPr>
            <w:tcW w:w="1505" w:type="dxa"/>
            <w:shd w:val="clear" w:color="auto" w:fill="auto"/>
          </w:tcPr>
          <w:p w14:paraId="121AF673" w14:textId="77777777" w:rsidR="00613FF1" w:rsidRPr="00E31A92" w:rsidRDefault="00613FF1" w:rsidP="00236FFE">
            <w:pPr>
              <w:pStyle w:val="08-Tabelageral"/>
              <w:ind w:left="113"/>
              <w:rPr>
                <w:rFonts w:cs="Arial"/>
                <w:b/>
                <w:szCs w:val="14"/>
              </w:rPr>
            </w:pPr>
            <w:r>
              <w:rPr>
                <w:rFonts w:cs="Arial"/>
                <w:b/>
                <w:szCs w:val="14"/>
              </w:rPr>
              <w:t>26.</w:t>
            </w:r>
            <w:r w:rsidRPr="0094376D">
              <w:rPr>
                <w:rFonts w:cs="Arial"/>
                <w:b/>
                <w:szCs w:val="14"/>
              </w:rPr>
              <w:t>37</w:t>
            </w:r>
          </w:p>
        </w:tc>
        <w:tc>
          <w:tcPr>
            <w:tcW w:w="1309" w:type="dxa"/>
            <w:shd w:val="clear" w:color="auto" w:fill="auto"/>
          </w:tcPr>
          <w:p w14:paraId="2F6D5A5E" w14:textId="77777777" w:rsidR="00613FF1" w:rsidRPr="00AC6F81" w:rsidRDefault="00613FF1" w:rsidP="00236FFE">
            <w:pPr>
              <w:pStyle w:val="08-Tabelageral"/>
              <w:ind w:left="113"/>
              <w:rPr>
                <w:rFonts w:cs="Arial"/>
                <w:b/>
                <w:szCs w:val="14"/>
              </w:rPr>
            </w:pPr>
            <w:r w:rsidRPr="0094376D">
              <w:rPr>
                <w:rFonts w:cs="Arial"/>
                <w:bCs/>
                <w:szCs w:val="14"/>
                <w:lang w:eastAsia="en-US"/>
              </w:rPr>
              <w:t>--</w:t>
            </w:r>
          </w:p>
        </w:tc>
      </w:tr>
      <w:tr w:rsidR="00613FF1" w:rsidRPr="00733251" w14:paraId="5D1148EC" w14:textId="77777777" w:rsidTr="002A0482">
        <w:trPr>
          <w:trHeight w:val="238"/>
        </w:trPr>
        <w:tc>
          <w:tcPr>
            <w:tcW w:w="2629" w:type="dxa"/>
            <w:tcBorders>
              <w:bottom w:val="nil"/>
            </w:tcBorders>
            <w:shd w:val="clear" w:color="auto" w:fill="auto"/>
            <w:vAlign w:val="center"/>
          </w:tcPr>
          <w:p w14:paraId="0F5094C7" w14:textId="77777777" w:rsidR="00613FF1" w:rsidRPr="00056C3B" w:rsidRDefault="00613FF1" w:rsidP="00236FFE">
            <w:pPr>
              <w:pStyle w:val="070-TabelaPadro"/>
              <w:spacing w:line="276" w:lineRule="auto"/>
              <w:ind w:left="-108"/>
              <w:jc w:val="left"/>
              <w:rPr>
                <w:bCs/>
              </w:rPr>
            </w:pPr>
            <w:r>
              <w:t>Averege</w:t>
            </w:r>
            <w:r w:rsidRPr="00B14041">
              <w:t xml:space="preserve"> cost</w:t>
            </w:r>
          </w:p>
        </w:tc>
        <w:tc>
          <w:tcPr>
            <w:tcW w:w="1388" w:type="dxa"/>
            <w:tcBorders>
              <w:bottom w:val="nil"/>
            </w:tcBorders>
            <w:shd w:val="clear" w:color="auto" w:fill="auto"/>
          </w:tcPr>
          <w:p w14:paraId="2168595B" w14:textId="77777777" w:rsidR="00613FF1" w:rsidRPr="00E31A92" w:rsidRDefault="00613FF1" w:rsidP="00236FFE">
            <w:pPr>
              <w:pStyle w:val="08-Tabelageral"/>
              <w:ind w:left="113"/>
              <w:rPr>
                <w:rFonts w:cs="Arial"/>
                <w:szCs w:val="14"/>
              </w:rPr>
            </w:pPr>
            <w:r>
              <w:rPr>
                <w:rFonts w:cs="Arial"/>
                <w:szCs w:val="14"/>
                <w:lang w:eastAsia="en-US"/>
              </w:rPr>
              <w:t>27.</w:t>
            </w:r>
            <w:r w:rsidRPr="0094376D">
              <w:rPr>
                <w:rFonts w:cs="Arial"/>
                <w:szCs w:val="14"/>
                <w:lang w:eastAsia="en-US"/>
              </w:rPr>
              <w:t>78</w:t>
            </w:r>
          </w:p>
        </w:tc>
        <w:tc>
          <w:tcPr>
            <w:tcW w:w="1424" w:type="dxa"/>
            <w:tcBorders>
              <w:bottom w:val="nil"/>
            </w:tcBorders>
            <w:shd w:val="clear" w:color="auto" w:fill="auto"/>
          </w:tcPr>
          <w:p w14:paraId="3B38C157" w14:textId="77777777" w:rsidR="00613FF1" w:rsidRPr="00E31A92" w:rsidRDefault="00613FF1" w:rsidP="00236FFE">
            <w:pPr>
              <w:pStyle w:val="08-Tabelageral"/>
              <w:ind w:left="113"/>
              <w:rPr>
                <w:rFonts w:cs="Arial"/>
                <w:szCs w:val="14"/>
              </w:rPr>
            </w:pPr>
            <w:r>
              <w:rPr>
                <w:rFonts w:cs="Arial"/>
                <w:szCs w:val="14"/>
                <w:lang w:eastAsia="en-US"/>
              </w:rPr>
              <w:t>31.</w:t>
            </w:r>
            <w:r w:rsidRPr="0094376D">
              <w:rPr>
                <w:rFonts w:cs="Arial"/>
                <w:szCs w:val="14"/>
                <w:lang w:eastAsia="en-US"/>
              </w:rPr>
              <w:t>93</w:t>
            </w:r>
          </w:p>
        </w:tc>
        <w:tc>
          <w:tcPr>
            <w:tcW w:w="1384" w:type="dxa"/>
            <w:tcBorders>
              <w:bottom w:val="nil"/>
            </w:tcBorders>
            <w:shd w:val="clear" w:color="auto" w:fill="auto"/>
          </w:tcPr>
          <w:p w14:paraId="0B5DF2D0" w14:textId="77777777" w:rsidR="00613FF1" w:rsidRPr="00E31A92" w:rsidRDefault="00613FF1" w:rsidP="00236FFE">
            <w:pPr>
              <w:pStyle w:val="08-Tabelageral"/>
              <w:ind w:left="113"/>
              <w:rPr>
                <w:rFonts w:cs="Arial"/>
                <w:szCs w:val="14"/>
              </w:rPr>
            </w:pPr>
            <w:r>
              <w:rPr>
                <w:rFonts w:cs="Arial"/>
                <w:szCs w:val="14"/>
                <w:lang w:eastAsia="en-US"/>
              </w:rPr>
              <w:t>24.</w:t>
            </w:r>
            <w:r w:rsidRPr="0094376D">
              <w:rPr>
                <w:rFonts w:cs="Arial"/>
                <w:szCs w:val="14"/>
                <w:lang w:eastAsia="en-US"/>
              </w:rPr>
              <w:t>37</w:t>
            </w:r>
          </w:p>
        </w:tc>
        <w:tc>
          <w:tcPr>
            <w:tcW w:w="1505" w:type="dxa"/>
            <w:tcBorders>
              <w:bottom w:val="nil"/>
            </w:tcBorders>
            <w:shd w:val="clear" w:color="auto" w:fill="auto"/>
          </w:tcPr>
          <w:p w14:paraId="2E38BEA0" w14:textId="77777777" w:rsidR="00613FF1" w:rsidRPr="00E31A92" w:rsidRDefault="00613FF1" w:rsidP="00236FFE">
            <w:pPr>
              <w:pStyle w:val="08-Tabelageral"/>
              <w:ind w:left="113"/>
              <w:rPr>
                <w:rFonts w:cs="Arial"/>
                <w:szCs w:val="14"/>
              </w:rPr>
            </w:pPr>
            <w:r>
              <w:rPr>
                <w:rFonts w:cs="Arial"/>
                <w:szCs w:val="14"/>
              </w:rPr>
              <w:t>26.</w:t>
            </w:r>
            <w:r w:rsidRPr="0094376D">
              <w:rPr>
                <w:rFonts w:cs="Arial"/>
                <w:szCs w:val="14"/>
              </w:rPr>
              <w:t>37</w:t>
            </w:r>
          </w:p>
        </w:tc>
        <w:tc>
          <w:tcPr>
            <w:tcW w:w="1309" w:type="dxa"/>
            <w:tcBorders>
              <w:bottom w:val="nil"/>
            </w:tcBorders>
            <w:shd w:val="clear" w:color="auto" w:fill="auto"/>
          </w:tcPr>
          <w:p w14:paraId="51F5C848" w14:textId="77777777" w:rsidR="00613FF1" w:rsidRPr="00AC6F81" w:rsidRDefault="00613FF1" w:rsidP="00236FFE">
            <w:pPr>
              <w:pStyle w:val="08-Tabelageral"/>
              <w:ind w:left="113"/>
              <w:rPr>
                <w:rFonts w:cs="Arial"/>
                <w:b/>
                <w:szCs w:val="14"/>
              </w:rPr>
            </w:pPr>
            <w:r w:rsidRPr="0094376D">
              <w:rPr>
                <w:rFonts w:cs="Arial"/>
                <w:bCs/>
                <w:szCs w:val="14"/>
                <w:lang w:eastAsia="en-US"/>
              </w:rPr>
              <w:t>--</w:t>
            </w:r>
          </w:p>
        </w:tc>
      </w:tr>
      <w:tr w:rsidR="00613FF1" w:rsidRPr="00733251" w14:paraId="23CC687B" w14:textId="77777777" w:rsidTr="002A0482">
        <w:trPr>
          <w:trHeight w:val="238"/>
        </w:trPr>
        <w:tc>
          <w:tcPr>
            <w:tcW w:w="2629" w:type="dxa"/>
            <w:tcBorders>
              <w:top w:val="nil"/>
              <w:bottom w:val="single" w:sz="2" w:space="0" w:color="1F4E79" w:themeColor="accent1" w:themeShade="80"/>
            </w:tcBorders>
            <w:shd w:val="clear" w:color="auto" w:fill="auto"/>
          </w:tcPr>
          <w:p w14:paraId="7B276C9C" w14:textId="77777777" w:rsidR="00613FF1" w:rsidRPr="00056C3B" w:rsidRDefault="00613FF1" w:rsidP="00236FFE">
            <w:pPr>
              <w:pStyle w:val="070-TabelaPadro"/>
              <w:spacing w:line="276" w:lineRule="auto"/>
              <w:ind w:left="-108"/>
              <w:jc w:val="left"/>
              <w:rPr>
                <w:bCs/>
              </w:rPr>
            </w:pPr>
            <w:r>
              <w:t>Max</w:t>
            </w:r>
            <w:r w:rsidRPr="00B14041">
              <w:t>imum cost</w:t>
            </w:r>
          </w:p>
        </w:tc>
        <w:tc>
          <w:tcPr>
            <w:tcW w:w="1388" w:type="dxa"/>
            <w:tcBorders>
              <w:top w:val="nil"/>
              <w:bottom w:val="single" w:sz="2" w:space="0" w:color="1F4E79" w:themeColor="accent1" w:themeShade="80"/>
            </w:tcBorders>
            <w:shd w:val="clear" w:color="auto" w:fill="auto"/>
          </w:tcPr>
          <w:p w14:paraId="327E8593" w14:textId="77777777" w:rsidR="00613FF1" w:rsidRPr="00E31A92" w:rsidRDefault="00613FF1" w:rsidP="00236FFE">
            <w:pPr>
              <w:pStyle w:val="08-Tabelageral"/>
              <w:ind w:left="113"/>
              <w:rPr>
                <w:rFonts w:cs="Arial"/>
                <w:szCs w:val="14"/>
              </w:rPr>
            </w:pPr>
            <w:r>
              <w:rPr>
                <w:rFonts w:cs="Arial"/>
                <w:szCs w:val="14"/>
                <w:lang w:eastAsia="en-US"/>
              </w:rPr>
              <w:t>27.</w:t>
            </w:r>
            <w:r w:rsidRPr="0094376D">
              <w:rPr>
                <w:rFonts w:cs="Arial"/>
                <w:szCs w:val="14"/>
                <w:lang w:eastAsia="en-US"/>
              </w:rPr>
              <w:t>78</w:t>
            </w:r>
          </w:p>
        </w:tc>
        <w:tc>
          <w:tcPr>
            <w:tcW w:w="1424" w:type="dxa"/>
            <w:tcBorders>
              <w:top w:val="nil"/>
              <w:bottom w:val="single" w:sz="2" w:space="0" w:color="1F4E79" w:themeColor="accent1" w:themeShade="80"/>
            </w:tcBorders>
            <w:shd w:val="clear" w:color="auto" w:fill="auto"/>
          </w:tcPr>
          <w:p w14:paraId="3AD71745" w14:textId="77777777" w:rsidR="00613FF1" w:rsidRPr="00E31A92" w:rsidRDefault="00613FF1" w:rsidP="00236FFE">
            <w:pPr>
              <w:pStyle w:val="08-Tabelageral"/>
              <w:ind w:left="113"/>
              <w:rPr>
                <w:rFonts w:cs="Arial"/>
                <w:szCs w:val="14"/>
              </w:rPr>
            </w:pPr>
            <w:r>
              <w:rPr>
                <w:rFonts w:cs="Arial"/>
                <w:szCs w:val="14"/>
                <w:lang w:eastAsia="en-US"/>
              </w:rPr>
              <w:t>31.</w:t>
            </w:r>
            <w:r w:rsidRPr="0094376D">
              <w:rPr>
                <w:rFonts w:cs="Arial"/>
                <w:szCs w:val="14"/>
                <w:lang w:eastAsia="en-US"/>
              </w:rPr>
              <w:t>93</w:t>
            </w:r>
          </w:p>
        </w:tc>
        <w:tc>
          <w:tcPr>
            <w:tcW w:w="1384" w:type="dxa"/>
            <w:tcBorders>
              <w:top w:val="nil"/>
              <w:bottom w:val="single" w:sz="2" w:space="0" w:color="1F4E79" w:themeColor="accent1" w:themeShade="80"/>
            </w:tcBorders>
            <w:shd w:val="clear" w:color="auto" w:fill="auto"/>
          </w:tcPr>
          <w:p w14:paraId="68A474C0" w14:textId="77777777" w:rsidR="00613FF1" w:rsidRPr="00E31A92" w:rsidRDefault="00613FF1" w:rsidP="00236FFE">
            <w:pPr>
              <w:pStyle w:val="08-Tabelageral"/>
              <w:ind w:left="113"/>
              <w:rPr>
                <w:rFonts w:cs="Arial"/>
                <w:szCs w:val="14"/>
              </w:rPr>
            </w:pPr>
            <w:r>
              <w:rPr>
                <w:rFonts w:cs="Arial"/>
                <w:szCs w:val="14"/>
                <w:lang w:eastAsia="en-US"/>
              </w:rPr>
              <w:t>24.</w:t>
            </w:r>
            <w:r w:rsidRPr="0094376D">
              <w:rPr>
                <w:rFonts w:cs="Arial"/>
                <w:szCs w:val="14"/>
                <w:lang w:eastAsia="en-US"/>
              </w:rPr>
              <w:t>37</w:t>
            </w:r>
          </w:p>
        </w:tc>
        <w:tc>
          <w:tcPr>
            <w:tcW w:w="1505" w:type="dxa"/>
            <w:tcBorders>
              <w:top w:val="nil"/>
              <w:bottom w:val="single" w:sz="2" w:space="0" w:color="1F4E79" w:themeColor="accent1" w:themeShade="80"/>
            </w:tcBorders>
            <w:shd w:val="clear" w:color="auto" w:fill="auto"/>
          </w:tcPr>
          <w:p w14:paraId="081FDCEB" w14:textId="77777777" w:rsidR="00613FF1" w:rsidRPr="00E31A92" w:rsidRDefault="00613FF1" w:rsidP="00236FFE">
            <w:pPr>
              <w:pStyle w:val="08-Tabelageral"/>
              <w:ind w:left="113"/>
              <w:rPr>
                <w:rFonts w:cs="Arial"/>
                <w:szCs w:val="14"/>
              </w:rPr>
            </w:pPr>
            <w:r w:rsidRPr="0094376D">
              <w:rPr>
                <w:rFonts w:cs="Arial"/>
                <w:szCs w:val="14"/>
              </w:rPr>
              <w:t>26</w:t>
            </w:r>
            <w:r>
              <w:rPr>
                <w:rFonts w:cs="Arial"/>
                <w:szCs w:val="14"/>
              </w:rPr>
              <w:t>.</w:t>
            </w:r>
            <w:r w:rsidRPr="0094376D">
              <w:rPr>
                <w:rFonts w:cs="Arial"/>
                <w:szCs w:val="14"/>
              </w:rPr>
              <w:t>37</w:t>
            </w:r>
          </w:p>
        </w:tc>
        <w:tc>
          <w:tcPr>
            <w:tcW w:w="1309" w:type="dxa"/>
            <w:tcBorders>
              <w:top w:val="nil"/>
              <w:bottom w:val="single" w:sz="2" w:space="0" w:color="1F4E79" w:themeColor="accent1" w:themeShade="80"/>
            </w:tcBorders>
            <w:shd w:val="clear" w:color="auto" w:fill="auto"/>
          </w:tcPr>
          <w:p w14:paraId="496ADDD1" w14:textId="77777777" w:rsidR="00613FF1" w:rsidRPr="00AC6F81" w:rsidRDefault="00613FF1" w:rsidP="00236FFE">
            <w:pPr>
              <w:pStyle w:val="08-Tabelageral"/>
              <w:ind w:left="113"/>
              <w:rPr>
                <w:rFonts w:cs="Arial"/>
                <w:b/>
                <w:szCs w:val="14"/>
              </w:rPr>
            </w:pPr>
            <w:r w:rsidRPr="0094376D">
              <w:rPr>
                <w:rFonts w:cs="Arial"/>
                <w:bCs/>
                <w:szCs w:val="14"/>
                <w:lang w:eastAsia="en-US"/>
              </w:rPr>
              <w:t>--</w:t>
            </w:r>
          </w:p>
        </w:tc>
      </w:tr>
    </w:tbl>
    <w:p w14:paraId="73D0EA15" w14:textId="77777777" w:rsidR="00613FF1" w:rsidRDefault="00613FF1" w:rsidP="0093782B">
      <w:pPr>
        <w:pStyle w:val="01-TtulodeNota"/>
        <w:shd w:val="clear" w:color="auto" w:fill="FFFFFF" w:themeFill="background1"/>
        <w:rPr>
          <w:color w:val="1F4E79" w:themeColor="accent1" w:themeShade="80"/>
        </w:rPr>
      </w:pPr>
    </w:p>
    <w:tbl>
      <w:tblPr>
        <w:tblW w:w="9639" w:type="dxa"/>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2217"/>
        <w:gridCol w:w="1095"/>
        <w:gridCol w:w="1296"/>
        <w:gridCol w:w="1297"/>
        <w:gridCol w:w="1297"/>
        <w:gridCol w:w="1297"/>
        <w:gridCol w:w="1128"/>
        <w:gridCol w:w="12"/>
      </w:tblGrid>
      <w:tr w:rsidR="00613FF1" w:rsidRPr="009E6BBD" w14:paraId="150D4241" w14:textId="77777777" w:rsidTr="00236FFE">
        <w:trPr>
          <w:gridAfter w:val="1"/>
          <w:wAfter w:w="12" w:type="dxa"/>
          <w:trHeight w:val="238"/>
        </w:trPr>
        <w:tc>
          <w:tcPr>
            <w:tcW w:w="9627" w:type="dxa"/>
            <w:gridSpan w:val="7"/>
            <w:tcBorders>
              <w:top w:val="single" w:sz="4" w:space="0" w:color="1F4E79" w:themeColor="accent1" w:themeShade="80"/>
              <w:bottom w:val="single" w:sz="4" w:space="0" w:color="1F4E79" w:themeColor="accent1" w:themeShade="80"/>
            </w:tcBorders>
            <w:shd w:val="clear" w:color="auto" w:fill="auto"/>
          </w:tcPr>
          <w:p w14:paraId="30B118B2" w14:textId="77777777" w:rsidR="00613FF1" w:rsidRPr="009E6BBD" w:rsidRDefault="00613FF1" w:rsidP="00391E90">
            <w:pPr>
              <w:pStyle w:val="08-Tabelageral"/>
              <w:ind w:left="113"/>
              <w:jc w:val="center"/>
              <w:rPr>
                <w:b/>
                <w:bCs/>
              </w:rPr>
            </w:pPr>
            <w:r w:rsidRPr="009E6BBD">
              <w:rPr>
                <w:b/>
                <w:bCs/>
              </w:rPr>
              <w:t>Estimated Schedule Transfers</w:t>
            </w:r>
          </w:p>
        </w:tc>
      </w:tr>
      <w:tr w:rsidR="00613FF1" w:rsidRPr="00733251" w14:paraId="741CAD50" w14:textId="77777777" w:rsidTr="00236FFE">
        <w:trPr>
          <w:trHeight w:val="238"/>
        </w:trPr>
        <w:tc>
          <w:tcPr>
            <w:tcW w:w="2217" w:type="dxa"/>
            <w:tcBorders>
              <w:top w:val="single" w:sz="4" w:space="0" w:color="8EAADB" w:themeColor="accent5" w:themeTint="99"/>
            </w:tcBorders>
            <w:shd w:val="clear" w:color="auto" w:fill="auto"/>
          </w:tcPr>
          <w:p w14:paraId="38B36612" w14:textId="77777777" w:rsidR="00613FF1" w:rsidRPr="00733251" w:rsidRDefault="00613FF1" w:rsidP="009E6BBD">
            <w:pPr>
              <w:pStyle w:val="070-TabelaPadro"/>
              <w:spacing w:line="276" w:lineRule="auto"/>
              <w:jc w:val="left"/>
            </w:pPr>
          </w:p>
        </w:tc>
        <w:tc>
          <w:tcPr>
            <w:tcW w:w="1095" w:type="dxa"/>
            <w:tcBorders>
              <w:top w:val="single" w:sz="4" w:space="0" w:color="8EAADB" w:themeColor="accent5" w:themeTint="99"/>
            </w:tcBorders>
            <w:shd w:val="clear" w:color="auto" w:fill="auto"/>
          </w:tcPr>
          <w:p w14:paraId="555F8BB1" w14:textId="77777777" w:rsidR="00613FF1" w:rsidRPr="00E1087E" w:rsidRDefault="00613FF1" w:rsidP="00CC753E">
            <w:pPr>
              <w:pStyle w:val="08-Tabelageral"/>
              <w:ind w:left="113"/>
              <w:rPr>
                <w:rFonts w:cs="Arial"/>
                <w:b/>
                <w:bCs/>
                <w:szCs w:val="14"/>
              </w:rPr>
            </w:pPr>
            <w:r w:rsidRPr="00E1087E">
              <w:rPr>
                <w:rFonts w:cs="Arial"/>
                <w:b/>
                <w:bCs/>
                <w:szCs w:val="14"/>
              </w:rPr>
              <w:t>Per</w:t>
            </w:r>
            <w:r>
              <w:rPr>
                <w:rFonts w:cs="Arial"/>
                <w:b/>
                <w:bCs/>
                <w:szCs w:val="14"/>
              </w:rPr>
              <w:t>i</w:t>
            </w:r>
            <w:r w:rsidRPr="00E1087E">
              <w:rPr>
                <w:rFonts w:cs="Arial"/>
                <w:b/>
                <w:bCs/>
                <w:szCs w:val="14"/>
              </w:rPr>
              <w:t>o</w:t>
            </w:r>
            <w:r>
              <w:rPr>
                <w:rFonts w:cs="Arial"/>
                <w:b/>
                <w:bCs/>
                <w:szCs w:val="14"/>
              </w:rPr>
              <w:t>d</w:t>
            </w:r>
          </w:p>
        </w:tc>
        <w:tc>
          <w:tcPr>
            <w:tcW w:w="1296" w:type="dxa"/>
            <w:tcBorders>
              <w:top w:val="single" w:sz="4" w:space="0" w:color="8EAADB" w:themeColor="accent5" w:themeTint="99"/>
            </w:tcBorders>
            <w:shd w:val="clear" w:color="auto" w:fill="auto"/>
          </w:tcPr>
          <w:p w14:paraId="4D7EE642" w14:textId="77777777" w:rsidR="00613FF1" w:rsidRPr="00E31A92" w:rsidRDefault="00613FF1" w:rsidP="00236FFE">
            <w:pPr>
              <w:pStyle w:val="08-Tabelageral"/>
              <w:ind w:left="113"/>
              <w:rPr>
                <w:rFonts w:cs="Arial"/>
                <w:szCs w:val="14"/>
              </w:rPr>
            </w:pPr>
            <w:r w:rsidRPr="0093782B">
              <w:rPr>
                <w:b/>
              </w:rPr>
              <w:t>201</w:t>
            </w:r>
            <w:r>
              <w:rPr>
                <w:b/>
              </w:rPr>
              <w:t>8</w:t>
            </w:r>
            <w:r w:rsidRPr="0093782B">
              <w:rPr>
                <w:b/>
              </w:rPr>
              <w:t xml:space="preserve"> Program</w:t>
            </w:r>
          </w:p>
        </w:tc>
        <w:tc>
          <w:tcPr>
            <w:tcW w:w="1297" w:type="dxa"/>
            <w:tcBorders>
              <w:top w:val="single" w:sz="4" w:space="0" w:color="8EAADB" w:themeColor="accent5" w:themeTint="99"/>
            </w:tcBorders>
            <w:shd w:val="clear" w:color="auto" w:fill="auto"/>
          </w:tcPr>
          <w:p w14:paraId="18544D77" w14:textId="77777777" w:rsidR="00613FF1" w:rsidRPr="00E31A92" w:rsidRDefault="00613FF1" w:rsidP="00236FFE">
            <w:pPr>
              <w:pStyle w:val="08-Tabelageral"/>
              <w:ind w:left="113"/>
              <w:rPr>
                <w:rFonts w:cs="Arial"/>
                <w:szCs w:val="14"/>
              </w:rPr>
            </w:pPr>
            <w:r w:rsidRPr="0093782B">
              <w:rPr>
                <w:b/>
              </w:rPr>
              <w:t>201</w:t>
            </w:r>
            <w:r>
              <w:rPr>
                <w:b/>
              </w:rPr>
              <w:t>9</w:t>
            </w:r>
            <w:r w:rsidRPr="0093782B">
              <w:rPr>
                <w:b/>
              </w:rPr>
              <w:t xml:space="preserve"> Program</w:t>
            </w:r>
          </w:p>
        </w:tc>
        <w:tc>
          <w:tcPr>
            <w:tcW w:w="1297" w:type="dxa"/>
            <w:tcBorders>
              <w:top w:val="single" w:sz="4" w:space="0" w:color="8EAADB" w:themeColor="accent5" w:themeTint="99"/>
            </w:tcBorders>
            <w:shd w:val="clear" w:color="auto" w:fill="auto"/>
          </w:tcPr>
          <w:p w14:paraId="752C9FC0" w14:textId="77777777" w:rsidR="00613FF1" w:rsidRPr="00E31A92" w:rsidRDefault="00613FF1" w:rsidP="00236FFE">
            <w:pPr>
              <w:pStyle w:val="08-Tabelageral"/>
              <w:ind w:left="113"/>
              <w:rPr>
                <w:rFonts w:cs="Arial"/>
                <w:szCs w:val="14"/>
              </w:rPr>
            </w:pPr>
            <w:r w:rsidRPr="0093782B">
              <w:rPr>
                <w:b/>
              </w:rPr>
              <w:t>20</w:t>
            </w:r>
            <w:r>
              <w:rPr>
                <w:b/>
              </w:rPr>
              <w:t>20</w:t>
            </w:r>
            <w:r w:rsidRPr="0093782B">
              <w:rPr>
                <w:b/>
              </w:rPr>
              <w:t xml:space="preserve"> Program</w:t>
            </w:r>
          </w:p>
        </w:tc>
        <w:tc>
          <w:tcPr>
            <w:tcW w:w="1297" w:type="dxa"/>
            <w:tcBorders>
              <w:top w:val="single" w:sz="4" w:space="0" w:color="8EAADB" w:themeColor="accent5" w:themeTint="99"/>
            </w:tcBorders>
            <w:shd w:val="clear" w:color="auto" w:fill="auto"/>
          </w:tcPr>
          <w:p w14:paraId="4BF97A91" w14:textId="77777777" w:rsidR="00613FF1" w:rsidRPr="00E31A92" w:rsidRDefault="00613FF1" w:rsidP="00236FFE">
            <w:pPr>
              <w:pStyle w:val="08-Tabelageral"/>
              <w:ind w:left="113"/>
              <w:rPr>
                <w:rFonts w:cs="Arial"/>
                <w:szCs w:val="14"/>
              </w:rPr>
            </w:pPr>
            <w:r w:rsidRPr="0093782B">
              <w:rPr>
                <w:b/>
              </w:rPr>
              <w:t>202</w:t>
            </w:r>
            <w:r>
              <w:rPr>
                <w:b/>
              </w:rPr>
              <w:t>1</w:t>
            </w:r>
            <w:r w:rsidRPr="0093782B">
              <w:rPr>
                <w:b/>
              </w:rPr>
              <w:t xml:space="preserve"> Program</w:t>
            </w:r>
          </w:p>
        </w:tc>
        <w:tc>
          <w:tcPr>
            <w:tcW w:w="1140" w:type="dxa"/>
            <w:gridSpan w:val="2"/>
            <w:tcBorders>
              <w:top w:val="single" w:sz="4" w:space="0" w:color="8EAADB" w:themeColor="accent5" w:themeTint="99"/>
            </w:tcBorders>
            <w:shd w:val="clear" w:color="auto" w:fill="auto"/>
          </w:tcPr>
          <w:p w14:paraId="3CDFE338" w14:textId="77777777" w:rsidR="00613FF1" w:rsidRPr="00056C3B" w:rsidRDefault="00613FF1" w:rsidP="009E6BBD">
            <w:pPr>
              <w:pStyle w:val="08-Tabelageral"/>
              <w:ind w:left="113"/>
              <w:rPr>
                <w:b/>
                <w:bCs/>
              </w:rPr>
            </w:pPr>
            <w:r>
              <w:rPr>
                <w:b/>
                <w:bCs/>
              </w:rPr>
              <w:t>Total</w:t>
            </w:r>
          </w:p>
        </w:tc>
      </w:tr>
      <w:tr w:rsidR="00613FF1" w:rsidRPr="00733251" w14:paraId="5849DE5D" w14:textId="77777777" w:rsidTr="00236FFE">
        <w:trPr>
          <w:trHeight w:val="238"/>
        </w:trPr>
        <w:tc>
          <w:tcPr>
            <w:tcW w:w="2217" w:type="dxa"/>
            <w:shd w:val="clear" w:color="auto" w:fill="auto"/>
          </w:tcPr>
          <w:p w14:paraId="0B31CB54" w14:textId="77777777" w:rsidR="00613FF1" w:rsidRPr="00E31A92" w:rsidRDefault="00613FF1" w:rsidP="00236FFE">
            <w:pPr>
              <w:pStyle w:val="070-TabelaPadro"/>
              <w:spacing w:line="276" w:lineRule="auto"/>
              <w:ind w:firstLine="318"/>
              <w:jc w:val="left"/>
              <w:rPr>
                <w:b/>
              </w:rPr>
            </w:pPr>
            <w:r w:rsidRPr="00B4618F">
              <w:t>Shares to Distribute</w:t>
            </w:r>
          </w:p>
        </w:tc>
        <w:tc>
          <w:tcPr>
            <w:tcW w:w="1095" w:type="dxa"/>
            <w:shd w:val="clear" w:color="auto" w:fill="auto"/>
          </w:tcPr>
          <w:p w14:paraId="10521356" w14:textId="77777777" w:rsidR="00613FF1" w:rsidRPr="00062947" w:rsidRDefault="00613FF1" w:rsidP="00236FFE">
            <w:pPr>
              <w:pStyle w:val="08-Tabelageral"/>
              <w:ind w:left="113"/>
              <w:rPr>
                <w:rFonts w:cs="Arial"/>
                <w:bCs/>
                <w:szCs w:val="14"/>
              </w:rPr>
            </w:pPr>
            <w:r w:rsidRPr="00B8356C">
              <w:t>March 202</w:t>
            </w:r>
            <w:r>
              <w:t>3</w:t>
            </w:r>
          </w:p>
        </w:tc>
        <w:tc>
          <w:tcPr>
            <w:tcW w:w="1296" w:type="dxa"/>
            <w:shd w:val="clear" w:color="auto" w:fill="auto"/>
          </w:tcPr>
          <w:p w14:paraId="37BC7819" w14:textId="77777777" w:rsidR="00613FF1" w:rsidRPr="00062947" w:rsidRDefault="00613FF1" w:rsidP="00236FFE">
            <w:pPr>
              <w:pStyle w:val="08-Tabelageral"/>
              <w:ind w:left="113"/>
              <w:rPr>
                <w:rFonts w:cs="Arial"/>
                <w:bCs/>
                <w:szCs w:val="14"/>
              </w:rPr>
            </w:pPr>
            <w:r>
              <w:rPr>
                <w:rFonts w:cs="Arial"/>
                <w:bCs/>
                <w:szCs w:val="14"/>
                <w:lang w:eastAsia="en-US"/>
              </w:rPr>
              <w:t>3,276</w:t>
            </w:r>
          </w:p>
        </w:tc>
        <w:tc>
          <w:tcPr>
            <w:tcW w:w="1297" w:type="dxa"/>
            <w:shd w:val="clear" w:color="auto" w:fill="auto"/>
          </w:tcPr>
          <w:p w14:paraId="54583737" w14:textId="77777777" w:rsidR="00613FF1" w:rsidRPr="00062947" w:rsidRDefault="00613FF1" w:rsidP="00236FFE">
            <w:pPr>
              <w:pStyle w:val="08-Tabelageral"/>
              <w:ind w:left="113"/>
              <w:rPr>
                <w:rFonts w:cs="Arial"/>
                <w:bCs/>
                <w:szCs w:val="14"/>
              </w:rPr>
            </w:pPr>
            <w:r>
              <w:rPr>
                <w:rFonts w:cs="Arial"/>
                <w:bCs/>
                <w:szCs w:val="14"/>
                <w:lang w:eastAsia="en-US"/>
              </w:rPr>
              <w:t>5,665</w:t>
            </w:r>
          </w:p>
        </w:tc>
        <w:tc>
          <w:tcPr>
            <w:tcW w:w="1297" w:type="dxa"/>
            <w:shd w:val="clear" w:color="auto" w:fill="auto"/>
          </w:tcPr>
          <w:p w14:paraId="574B148B" w14:textId="77777777" w:rsidR="00613FF1" w:rsidRPr="00062947" w:rsidRDefault="00613FF1" w:rsidP="00236FFE">
            <w:pPr>
              <w:pStyle w:val="08-Tabelageral"/>
              <w:ind w:left="113"/>
              <w:rPr>
                <w:rFonts w:cs="Arial"/>
                <w:bCs/>
                <w:szCs w:val="14"/>
              </w:rPr>
            </w:pPr>
            <w:r>
              <w:rPr>
                <w:rFonts w:cs="Arial"/>
                <w:bCs/>
                <w:szCs w:val="14"/>
                <w:lang w:eastAsia="en-US"/>
              </w:rPr>
              <w:t>4,487</w:t>
            </w:r>
          </w:p>
        </w:tc>
        <w:tc>
          <w:tcPr>
            <w:tcW w:w="1297" w:type="dxa"/>
            <w:shd w:val="clear" w:color="auto" w:fill="auto"/>
          </w:tcPr>
          <w:p w14:paraId="765FF0FC" w14:textId="77777777" w:rsidR="00613FF1" w:rsidRPr="00062947" w:rsidRDefault="00613FF1" w:rsidP="00236FFE">
            <w:pPr>
              <w:pStyle w:val="08-Tabelageral"/>
              <w:ind w:left="113"/>
              <w:rPr>
                <w:rFonts w:cs="Arial"/>
                <w:bCs/>
                <w:szCs w:val="14"/>
              </w:rPr>
            </w:pPr>
            <w:r>
              <w:rPr>
                <w:rFonts w:cs="Arial"/>
                <w:bCs/>
                <w:szCs w:val="14"/>
              </w:rPr>
              <w:t>5,037</w:t>
            </w:r>
          </w:p>
        </w:tc>
        <w:tc>
          <w:tcPr>
            <w:tcW w:w="1140" w:type="dxa"/>
            <w:gridSpan w:val="2"/>
            <w:shd w:val="clear" w:color="auto" w:fill="auto"/>
          </w:tcPr>
          <w:p w14:paraId="59ACE13E" w14:textId="77777777" w:rsidR="00613FF1" w:rsidRPr="00187166" w:rsidRDefault="00613FF1" w:rsidP="00236FFE">
            <w:pPr>
              <w:pStyle w:val="08-Tabelageral"/>
              <w:ind w:left="113"/>
              <w:rPr>
                <w:rFonts w:cs="Arial"/>
                <w:b/>
                <w:szCs w:val="14"/>
              </w:rPr>
            </w:pPr>
            <w:r>
              <w:rPr>
                <w:rFonts w:cs="Arial"/>
                <w:b/>
                <w:szCs w:val="14"/>
                <w:lang w:eastAsia="en-US"/>
              </w:rPr>
              <w:t>18,465</w:t>
            </w:r>
          </w:p>
        </w:tc>
      </w:tr>
      <w:tr w:rsidR="00613FF1" w:rsidRPr="00733251" w14:paraId="7505E3C7" w14:textId="77777777" w:rsidTr="00236FFE">
        <w:trPr>
          <w:trHeight w:val="238"/>
        </w:trPr>
        <w:tc>
          <w:tcPr>
            <w:tcW w:w="2217" w:type="dxa"/>
            <w:shd w:val="clear" w:color="auto" w:fill="auto"/>
          </w:tcPr>
          <w:p w14:paraId="24E483A2" w14:textId="77777777" w:rsidR="00613FF1" w:rsidRPr="00E31A92" w:rsidRDefault="00613FF1" w:rsidP="00236FFE">
            <w:pPr>
              <w:pStyle w:val="070-TabelaPadro"/>
              <w:spacing w:line="276" w:lineRule="auto"/>
              <w:ind w:firstLine="318"/>
              <w:jc w:val="left"/>
            </w:pPr>
            <w:r w:rsidRPr="00B4618F">
              <w:t>Shares to Distribute</w:t>
            </w:r>
          </w:p>
        </w:tc>
        <w:tc>
          <w:tcPr>
            <w:tcW w:w="1095" w:type="dxa"/>
            <w:shd w:val="clear" w:color="auto" w:fill="auto"/>
          </w:tcPr>
          <w:p w14:paraId="6D9A9C44" w14:textId="77777777" w:rsidR="00613FF1" w:rsidRPr="00062947" w:rsidRDefault="00613FF1" w:rsidP="00236FFE">
            <w:pPr>
              <w:pStyle w:val="08-Tabelageral"/>
              <w:ind w:left="113"/>
              <w:rPr>
                <w:rFonts w:cs="Arial"/>
                <w:bCs/>
                <w:szCs w:val="14"/>
              </w:rPr>
            </w:pPr>
            <w:r w:rsidRPr="00B8356C">
              <w:t>March 202</w:t>
            </w:r>
            <w:r>
              <w:t>4</w:t>
            </w:r>
          </w:p>
        </w:tc>
        <w:tc>
          <w:tcPr>
            <w:tcW w:w="1296" w:type="dxa"/>
            <w:shd w:val="clear" w:color="auto" w:fill="auto"/>
          </w:tcPr>
          <w:p w14:paraId="5F69C24E" w14:textId="77777777" w:rsidR="00613FF1" w:rsidRPr="00062947" w:rsidRDefault="00613FF1" w:rsidP="00236FFE">
            <w:pPr>
              <w:pStyle w:val="08-Tabelageral"/>
              <w:ind w:left="113"/>
              <w:rPr>
                <w:rFonts w:cs="Arial"/>
                <w:bCs/>
                <w:szCs w:val="14"/>
              </w:rPr>
            </w:pPr>
            <w:r>
              <w:rPr>
                <w:rFonts w:cs="Arial"/>
                <w:bCs/>
                <w:szCs w:val="14"/>
                <w:lang w:eastAsia="en-US"/>
              </w:rPr>
              <w:t>--</w:t>
            </w:r>
          </w:p>
        </w:tc>
        <w:tc>
          <w:tcPr>
            <w:tcW w:w="1297" w:type="dxa"/>
            <w:shd w:val="clear" w:color="auto" w:fill="auto"/>
          </w:tcPr>
          <w:p w14:paraId="77500FDC" w14:textId="77777777" w:rsidR="00613FF1" w:rsidRPr="00062947" w:rsidRDefault="00613FF1" w:rsidP="00236FFE">
            <w:pPr>
              <w:pStyle w:val="08-Tabelageral"/>
              <w:ind w:left="113"/>
              <w:rPr>
                <w:rFonts w:cs="Arial"/>
                <w:bCs/>
                <w:szCs w:val="14"/>
              </w:rPr>
            </w:pPr>
            <w:r>
              <w:rPr>
                <w:rFonts w:cs="Arial"/>
                <w:bCs/>
                <w:szCs w:val="14"/>
                <w:lang w:eastAsia="en-US"/>
              </w:rPr>
              <w:t>5,665</w:t>
            </w:r>
          </w:p>
        </w:tc>
        <w:tc>
          <w:tcPr>
            <w:tcW w:w="1297" w:type="dxa"/>
            <w:shd w:val="clear" w:color="auto" w:fill="auto"/>
          </w:tcPr>
          <w:p w14:paraId="557D6FD8" w14:textId="77777777" w:rsidR="00613FF1" w:rsidRPr="00062947" w:rsidRDefault="00613FF1" w:rsidP="00236FFE">
            <w:pPr>
              <w:pStyle w:val="08-Tabelageral"/>
              <w:ind w:left="113"/>
              <w:rPr>
                <w:rFonts w:cs="Arial"/>
                <w:bCs/>
                <w:szCs w:val="14"/>
              </w:rPr>
            </w:pPr>
            <w:r>
              <w:rPr>
                <w:rFonts w:cs="Arial"/>
                <w:bCs/>
                <w:szCs w:val="14"/>
                <w:lang w:eastAsia="en-US"/>
              </w:rPr>
              <w:t>4,487</w:t>
            </w:r>
          </w:p>
        </w:tc>
        <w:tc>
          <w:tcPr>
            <w:tcW w:w="1297" w:type="dxa"/>
            <w:shd w:val="clear" w:color="auto" w:fill="auto"/>
          </w:tcPr>
          <w:p w14:paraId="4838944D" w14:textId="77777777" w:rsidR="00613FF1" w:rsidRPr="00062947" w:rsidRDefault="00613FF1" w:rsidP="00236FFE">
            <w:pPr>
              <w:pStyle w:val="08-Tabelageral"/>
              <w:ind w:left="113"/>
              <w:rPr>
                <w:rFonts w:cs="Arial"/>
                <w:bCs/>
                <w:szCs w:val="14"/>
              </w:rPr>
            </w:pPr>
            <w:r>
              <w:rPr>
                <w:rFonts w:cs="Arial"/>
                <w:bCs/>
                <w:szCs w:val="14"/>
              </w:rPr>
              <w:t>5,037</w:t>
            </w:r>
          </w:p>
        </w:tc>
        <w:tc>
          <w:tcPr>
            <w:tcW w:w="1140" w:type="dxa"/>
            <w:gridSpan w:val="2"/>
            <w:shd w:val="clear" w:color="auto" w:fill="auto"/>
          </w:tcPr>
          <w:p w14:paraId="3D9E17DA" w14:textId="77777777" w:rsidR="00613FF1" w:rsidRPr="00187166" w:rsidRDefault="00613FF1" w:rsidP="00236FFE">
            <w:pPr>
              <w:pStyle w:val="08-Tabelageral"/>
              <w:ind w:left="113"/>
              <w:rPr>
                <w:rFonts w:cs="Arial"/>
                <w:b/>
                <w:szCs w:val="14"/>
              </w:rPr>
            </w:pPr>
            <w:r>
              <w:rPr>
                <w:rFonts w:cs="Arial"/>
                <w:b/>
                <w:szCs w:val="14"/>
                <w:lang w:eastAsia="en-US"/>
              </w:rPr>
              <w:t>15,189</w:t>
            </w:r>
          </w:p>
        </w:tc>
      </w:tr>
      <w:tr w:rsidR="00613FF1" w:rsidRPr="00733251" w14:paraId="0A5D8E88" w14:textId="77777777" w:rsidTr="00236FFE">
        <w:trPr>
          <w:trHeight w:val="238"/>
        </w:trPr>
        <w:tc>
          <w:tcPr>
            <w:tcW w:w="2217" w:type="dxa"/>
            <w:shd w:val="clear" w:color="auto" w:fill="auto"/>
          </w:tcPr>
          <w:p w14:paraId="7E004479" w14:textId="77777777" w:rsidR="00613FF1" w:rsidRPr="00E31A92" w:rsidRDefault="00613FF1" w:rsidP="00236FFE">
            <w:pPr>
              <w:pStyle w:val="070-TabelaPadro"/>
              <w:spacing w:line="276" w:lineRule="auto"/>
              <w:ind w:firstLine="318"/>
              <w:jc w:val="left"/>
              <w:rPr>
                <w:b/>
              </w:rPr>
            </w:pPr>
            <w:r w:rsidRPr="00B4618F">
              <w:t>Shares to Distribute</w:t>
            </w:r>
          </w:p>
        </w:tc>
        <w:tc>
          <w:tcPr>
            <w:tcW w:w="1095" w:type="dxa"/>
            <w:shd w:val="clear" w:color="auto" w:fill="auto"/>
          </w:tcPr>
          <w:p w14:paraId="6B4FC779" w14:textId="77777777" w:rsidR="00613FF1" w:rsidRPr="00062947" w:rsidRDefault="00613FF1" w:rsidP="00236FFE">
            <w:pPr>
              <w:pStyle w:val="08-Tabelageral"/>
              <w:ind w:left="113"/>
              <w:rPr>
                <w:rFonts w:cs="Arial"/>
                <w:bCs/>
                <w:szCs w:val="14"/>
              </w:rPr>
            </w:pPr>
            <w:r w:rsidRPr="00B8356C">
              <w:t>March 202</w:t>
            </w:r>
            <w:r>
              <w:t>5</w:t>
            </w:r>
          </w:p>
        </w:tc>
        <w:tc>
          <w:tcPr>
            <w:tcW w:w="1296" w:type="dxa"/>
            <w:shd w:val="clear" w:color="auto" w:fill="auto"/>
          </w:tcPr>
          <w:p w14:paraId="6EA44DFD" w14:textId="77777777" w:rsidR="00613FF1" w:rsidRPr="00062947" w:rsidRDefault="00613FF1" w:rsidP="00236FFE">
            <w:pPr>
              <w:pStyle w:val="08-Tabelageral"/>
              <w:ind w:left="113"/>
              <w:rPr>
                <w:rFonts w:cs="Arial"/>
                <w:bCs/>
                <w:szCs w:val="14"/>
              </w:rPr>
            </w:pPr>
            <w:r>
              <w:rPr>
                <w:rFonts w:cs="Arial"/>
                <w:bCs/>
                <w:szCs w:val="14"/>
                <w:lang w:eastAsia="en-US"/>
              </w:rPr>
              <w:t>--</w:t>
            </w:r>
          </w:p>
        </w:tc>
        <w:tc>
          <w:tcPr>
            <w:tcW w:w="1297" w:type="dxa"/>
            <w:shd w:val="clear" w:color="auto" w:fill="auto"/>
          </w:tcPr>
          <w:p w14:paraId="3050C571" w14:textId="77777777" w:rsidR="00613FF1" w:rsidRPr="00062947" w:rsidRDefault="00613FF1" w:rsidP="00236FFE">
            <w:pPr>
              <w:pStyle w:val="08-Tabelageral"/>
              <w:ind w:left="113"/>
              <w:rPr>
                <w:rFonts w:cs="Arial"/>
                <w:bCs/>
                <w:szCs w:val="14"/>
              </w:rPr>
            </w:pPr>
            <w:r>
              <w:rPr>
                <w:rFonts w:cs="Arial"/>
                <w:bCs/>
                <w:szCs w:val="14"/>
                <w:lang w:eastAsia="en-US"/>
              </w:rPr>
              <w:t>--</w:t>
            </w:r>
          </w:p>
        </w:tc>
        <w:tc>
          <w:tcPr>
            <w:tcW w:w="1297" w:type="dxa"/>
            <w:shd w:val="clear" w:color="auto" w:fill="auto"/>
          </w:tcPr>
          <w:p w14:paraId="25B3547F" w14:textId="77777777" w:rsidR="00613FF1" w:rsidRPr="00062947" w:rsidRDefault="00613FF1" w:rsidP="00236FFE">
            <w:pPr>
              <w:pStyle w:val="08-Tabelageral"/>
              <w:ind w:left="113"/>
              <w:rPr>
                <w:rFonts w:cs="Arial"/>
                <w:bCs/>
                <w:szCs w:val="14"/>
              </w:rPr>
            </w:pPr>
            <w:r>
              <w:rPr>
                <w:rFonts w:cs="Arial"/>
                <w:bCs/>
                <w:szCs w:val="14"/>
                <w:lang w:eastAsia="en-US"/>
              </w:rPr>
              <w:t>4,487</w:t>
            </w:r>
          </w:p>
        </w:tc>
        <w:tc>
          <w:tcPr>
            <w:tcW w:w="1297" w:type="dxa"/>
            <w:shd w:val="clear" w:color="auto" w:fill="auto"/>
          </w:tcPr>
          <w:p w14:paraId="6BBD5ACF" w14:textId="77777777" w:rsidR="00613FF1" w:rsidRPr="00062947" w:rsidRDefault="00613FF1" w:rsidP="00236FFE">
            <w:pPr>
              <w:pStyle w:val="08-Tabelageral"/>
              <w:ind w:left="113"/>
              <w:rPr>
                <w:rFonts w:cs="Arial"/>
                <w:bCs/>
                <w:szCs w:val="14"/>
              </w:rPr>
            </w:pPr>
            <w:r>
              <w:rPr>
                <w:rFonts w:cs="Arial"/>
                <w:bCs/>
                <w:szCs w:val="14"/>
              </w:rPr>
              <w:t>5,037</w:t>
            </w:r>
          </w:p>
        </w:tc>
        <w:tc>
          <w:tcPr>
            <w:tcW w:w="1140" w:type="dxa"/>
            <w:gridSpan w:val="2"/>
            <w:shd w:val="clear" w:color="auto" w:fill="auto"/>
          </w:tcPr>
          <w:p w14:paraId="5A51ACC3" w14:textId="77777777" w:rsidR="00613FF1" w:rsidRPr="00187166" w:rsidRDefault="00613FF1" w:rsidP="00236FFE">
            <w:pPr>
              <w:pStyle w:val="08-Tabelageral"/>
              <w:ind w:left="113"/>
              <w:rPr>
                <w:rFonts w:cs="Arial"/>
                <w:b/>
                <w:szCs w:val="14"/>
              </w:rPr>
            </w:pPr>
            <w:r>
              <w:rPr>
                <w:rFonts w:cs="Arial"/>
                <w:b/>
                <w:szCs w:val="14"/>
                <w:lang w:eastAsia="en-US"/>
              </w:rPr>
              <w:t>9,524</w:t>
            </w:r>
          </w:p>
        </w:tc>
      </w:tr>
      <w:tr w:rsidR="00613FF1" w:rsidRPr="00733251" w14:paraId="5F088442" w14:textId="77777777" w:rsidTr="00236FFE">
        <w:trPr>
          <w:trHeight w:val="238"/>
        </w:trPr>
        <w:tc>
          <w:tcPr>
            <w:tcW w:w="2217" w:type="dxa"/>
            <w:tcBorders>
              <w:bottom w:val="nil"/>
            </w:tcBorders>
            <w:shd w:val="clear" w:color="auto" w:fill="auto"/>
          </w:tcPr>
          <w:p w14:paraId="4231BB24" w14:textId="77777777" w:rsidR="00613FF1" w:rsidRPr="00E31A92" w:rsidRDefault="00613FF1" w:rsidP="00236FFE">
            <w:pPr>
              <w:pStyle w:val="070-TabelaPadro"/>
              <w:spacing w:line="276" w:lineRule="auto"/>
              <w:ind w:firstLine="318"/>
              <w:jc w:val="left"/>
              <w:rPr>
                <w:b/>
              </w:rPr>
            </w:pPr>
            <w:r w:rsidRPr="00B4618F">
              <w:t>Shares to Distribute</w:t>
            </w:r>
          </w:p>
        </w:tc>
        <w:tc>
          <w:tcPr>
            <w:tcW w:w="1095" w:type="dxa"/>
            <w:tcBorders>
              <w:bottom w:val="nil"/>
            </w:tcBorders>
            <w:shd w:val="clear" w:color="auto" w:fill="auto"/>
          </w:tcPr>
          <w:p w14:paraId="08E535B7" w14:textId="77777777" w:rsidR="00613FF1" w:rsidRPr="00062947" w:rsidRDefault="00613FF1" w:rsidP="00236FFE">
            <w:pPr>
              <w:pStyle w:val="08-Tabelageral"/>
              <w:ind w:left="113"/>
              <w:rPr>
                <w:rFonts w:cs="Arial"/>
                <w:bCs/>
                <w:szCs w:val="14"/>
              </w:rPr>
            </w:pPr>
            <w:r w:rsidRPr="00B8356C">
              <w:t>March 202</w:t>
            </w:r>
            <w:r>
              <w:t>6</w:t>
            </w:r>
          </w:p>
        </w:tc>
        <w:tc>
          <w:tcPr>
            <w:tcW w:w="1296" w:type="dxa"/>
            <w:tcBorders>
              <w:bottom w:val="nil"/>
            </w:tcBorders>
            <w:shd w:val="clear" w:color="auto" w:fill="auto"/>
          </w:tcPr>
          <w:p w14:paraId="5C4A5497" w14:textId="77777777" w:rsidR="00613FF1" w:rsidRPr="00062947" w:rsidRDefault="00613FF1" w:rsidP="00236FFE">
            <w:pPr>
              <w:pStyle w:val="08-Tabelageral"/>
              <w:ind w:left="113"/>
              <w:rPr>
                <w:rFonts w:cs="Arial"/>
                <w:bCs/>
                <w:szCs w:val="14"/>
              </w:rPr>
            </w:pPr>
            <w:r>
              <w:rPr>
                <w:rFonts w:cs="Arial"/>
                <w:bCs/>
                <w:szCs w:val="14"/>
                <w:lang w:eastAsia="en-US"/>
              </w:rPr>
              <w:t>--</w:t>
            </w:r>
          </w:p>
        </w:tc>
        <w:tc>
          <w:tcPr>
            <w:tcW w:w="1297" w:type="dxa"/>
            <w:tcBorders>
              <w:bottom w:val="nil"/>
            </w:tcBorders>
            <w:shd w:val="clear" w:color="auto" w:fill="auto"/>
          </w:tcPr>
          <w:p w14:paraId="2A9C1E04" w14:textId="77777777" w:rsidR="00613FF1" w:rsidRPr="00062947" w:rsidRDefault="00613FF1" w:rsidP="00236FFE">
            <w:pPr>
              <w:pStyle w:val="08-Tabelageral"/>
              <w:ind w:left="113"/>
              <w:rPr>
                <w:rFonts w:cs="Arial"/>
                <w:bCs/>
                <w:szCs w:val="14"/>
              </w:rPr>
            </w:pPr>
            <w:r>
              <w:rPr>
                <w:rFonts w:cs="Arial"/>
                <w:bCs/>
                <w:szCs w:val="14"/>
                <w:lang w:eastAsia="en-US"/>
              </w:rPr>
              <w:t>--</w:t>
            </w:r>
          </w:p>
        </w:tc>
        <w:tc>
          <w:tcPr>
            <w:tcW w:w="1297" w:type="dxa"/>
            <w:tcBorders>
              <w:bottom w:val="nil"/>
            </w:tcBorders>
            <w:shd w:val="clear" w:color="auto" w:fill="auto"/>
          </w:tcPr>
          <w:p w14:paraId="42384E47" w14:textId="77777777" w:rsidR="00613FF1" w:rsidRPr="00062947" w:rsidRDefault="00613FF1" w:rsidP="00236FFE">
            <w:pPr>
              <w:pStyle w:val="08-Tabelageral"/>
              <w:ind w:left="113"/>
              <w:rPr>
                <w:rFonts w:cs="Arial"/>
                <w:bCs/>
                <w:szCs w:val="14"/>
              </w:rPr>
            </w:pPr>
            <w:r>
              <w:rPr>
                <w:rFonts w:cs="Arial"/>
                <w:bCs/>
                <w:szCs w:val="14"/>
                <w:lang w:eastAsia="en-US"/>
              </w:rPr>
              <w:t>--</w:t>
            </w:r>
          </w:p>
        </w:tc>
        <w:tc>
          <w:tcPr>
            <w:tcW w:w="1297" w:type="dxa"/>
            <w:tcBorders>
              <w:bottom w:val="nil"/>
            </w:tcBorders>
            <w:shd w:val="clear" w:color="auto" w:fill="auto"/>
          </w:tcPr>
          <w:p w14:paraId="051FD6EF" w14:textId="77777777" w:rsidR="00613FF1" w:rsidRPr="00062947" w:rsidRDefault="00613FF1" w:rsidP="00236FFE">
            <w:pPr>
              <w:pStyle w:val="08-Tabelageral"/>
              <w:ind w:left="113"/>
              <w:rPr>
                <w:rFonts w:cs="Arial"/>
                <w:bCs/>
                <w:szCs w:val="14"/>
              </w:rPr>
            </w:pPr>
            <w:r w:rsidRPr="003E5461">
              <w:rPr>
                <w:rFonts w:cs="Arial"/>
                <w:szCs w:val="14"/>
              </w:rPr>
              <w:t>5</w:t>
            </w:r>
            <w:r>
              <w:rPr>
                <w:rFonts w:cs="Arial"/>
                <w:szCs w:val="14"/>
              </w:rPr>
              <w:t>,</w:t>
            </w:r>
            <w:r w:rsidRPr="003E5461">
              <w:rPr>
                <w:rFonts w:cs="Arial"/>
                <w:szCs w:val="14"/>
              </w:rPr>
              <w:t>037</w:t>
            </w:r>
          </w:p>
        </w:tc>
        <w:tc>
          <w:tcPr>
            <w:tcW w:w="1140" w:type="dxa"/>
            <w:gridSpan w:val="2"/>
            <w:tcBorders>
              <w:bottom w:val="nil"/>
            </w:tcBorders>
            <w:shd w:val="clear" w:color="auto" w:fill="auto"/>
          </w:tcPr>
          <w:p w14:paraId="318539D6" w14:textId="77777777" w:rsidR="00613FF1" w:rsidRPr="00187166" w:rsidRDefault="00613FF1" w:rsidP="00236FFE">
            <w:pPr>
              <w:pStyle w:val="08-Tabelageral"/>
              <w:ind w:left="113"/>
              <w:rPr>
                <w:rFonts w:cs="Arial"/>
                <w:b/>
                <w:szCs w:val="14"/>
              </w:rPr>
            </w:pPr>
            <w:r>
              <w:rPr>
                <w:rFonts w:cs="Arial"/>
                <w:b/>
                <w:szCs w:val="14"/>
                <w:lang w:eastAsia="en-US"/>
              </w:rPr>
              <w:t>5,037</w:t>
            </w:r>
          </w:p>
        </w:tc>
      </w:tr>
      <w:tr w:rsidR="00613FF1" w:rsidRPr="00733251" w14:paraId="5F972A8D" w14:textId="77777777" w:rsidTr="00236FFE">
        <w:trPr>
          <w:trHeight w:val="238"/>
        </w:trPr>
        <w:tc>
          <w:tcPr>
            <w:tcW w:w="2217" w:type="dxa"/>
            <w:tcBorders>
              <w:top w:val="nil"/>
              <w:bottom w:val="single" w:sz="2" w:space="0" w:color="1F4E79" w:themeColor="accent1" w:themeShade="80"/>
            </w:tcBorders>
            <w:shd w:val="clear" w:color="auto" w:fill="auto"/>
          </w:tcPr>
          <w:p w14:paraId="64C6B6AF" w14:textId="77777777" w:rsidR="00613FF1" w:rsidRPr="00E2299D" w:rsidRDefault="00613FF1" w:rsidP="00236FFE">
            <w:pPr>
              <w:pStyle w:val="070-TabelaPadro"/>
              <w:spacing w:line="276" w:lineRule="auto"/>
              <w:jc w:val="left"/>
              <w:rPr>
                <w:b/>
                <w:bCs/>
                <w:lang w:val="en-US"/>
              </w:rPr>
            </w:pPr>
            <w:r w:rsidRPr="00E2299D">
              <w:rPr>
                <w:b/>
                <w:bCs/>
                <w:lang w:val="en-US"/>
              </w:rPr>
              <w:t>Total shares to be distributed</w:t>
            </w:r>
          </w:p>
        </w:tc>
        <w:tc>
          <w:tcPr>
            <w:tcW w:w="1095" w:type="dxa"/>
            <w:tcBorders>
              <w:top w:val="nil"/>
              <w:bottom w:val="single" w:sz="2" w:space="0" w:color="1F4E79" w:themeColor="accent1" w:themeShade="80"/>
            </w:tcBorders>
            <w:shd w:val="clear" w:color="auto" w:fill="auto"/>
          </w:tcPr>
          <w:p w14:paraId="365B4831" w14:textId="77777777" w:rsidR="00613FF1" w:rsidRPr="00E2299D" w:rsidRDefault="00613FF1" w:rsidP="00236FFE">
            <w:pPr>
              <w:pStyle w:val="08-Tabelageral"/>
              <w:ind w:left="113"/>
              <w:rPr>
                <w:rFonts w:cs="Arial"/>
                <w:b/>
                <w:szCs w:val="14"/>
                <w:lang w:val="en-US"/>
              </w:rPr>
            </w:pPr>
          </w:p>
        </w:tc>
        <w:tc>
          <w:tcPr>
            <w:tcW w:w="1296" w:type="dxa"/>
            <w:tcBorders>
              <w:top w:val="nil"/>
              <w:bottom w:val="single" w:sz="2" w:space="0" w:color="1F4E79" w:themeColor="accent1" w:themeShade="80"/>
            </w:tcBorders>
            <w:shd w:val="clear" w:color="auto" w:fill="auto"/>
          </w:tcPr>
          <w:p w14:paraId="66ED59DD" w14:textId="77777777" w:rsidR="00613FF1" w:rsidRPr="00090360" w:rsidRDefault="00613FF1" w:rsidP="00236FFE">
            <w:pPr>
              <w:pStyle w:val="08-Tabelageral"/>
              <w:ind w:left="113"/>
              <w:rPr>
                <w:rFonts w:cs="Arial"/>
                <w:b/>
                <w:szCs w:val="14"/>
              </w:rPr>
            </w:pPr>
            <w:r>
              <w:rPr>
                <w:rFonts w:cs="Arial"/>
                <w:b/>
                <w:szCs w:val="14"/>
              </w:rPr>
              <w:t>3,276</w:t>
            </w:r>
          </w:p>
        </w:tc>
        <w:tc>
          <w:tcPr>
            <w:tcW w:w="1297" w:type="dxa"/>
            <w:tcBorders>
              <w:top w:val="nil"/>
              <w:bottom w:val="single" w:sz="2" w:space="0" w:color="1F4E79" w:themeColor="accent1" w:themeShade="80"/>
            </w:tcBorders>
            <w:shd w:val="clear" w:color="auto" w:fill="auto"/>
          </w:tcPr>
          <w:p w14:paraId="3A9D59DD" w14:textId="77777777" w:rsidR="00613FF1" w:rsidRPr="00090360" w:rsidRDefault="00613FF1" w:rsidP="00236FFE">
            <w:pPr>
              <w:pStyle w:val="08-Tabelageral"/>
              <w:ind w:left="113"/>
              <w:rPr>
                <w:rFonts w:cs="Arial"/>
                <w:b/>
                <w:szCs w:val="14"/>
              </w:rPr>
            </w:pPr>
            <w:r>
              <w:rPr>
                <w:rFonts w:cs="Arial"/>
                <w:b/>
                <w:szCs w:val="14"/>
              </w:rPr>
              <w:t>11,330</w:t>
            </w:r>
          </w:p>
        </w:tc>
        <w:tc>
          <w:tcPr>
            <w:tcW w:w="1297" w:type="dxa"/>
            <w:tcBorders>
              <w:top w:val="nil"/>
              <w:bottom w:val="single" w:sz="2" w:space="0" w:color="1F4E79" w:themeColor="accent1" w:themeShade="80"/>
            </w:tcBorders>
            <w:shd w:val="clear" w:color="auto" w:fill="auto"/>
          </w:tcPr>
          <w:p w14:paraId="418D4050" w14:textId="77777777" w:rsidR="00613FF1" w:rsidRPr="00090360" w:rsidRDefault="00613FF1" w:rsidP="00236FFE">
            <w:pPr>
              <w:pStyle w:val="08-Tabelageral"/>
              <w:ind w:left="113"/>
              <w:rPr>
                <w:rFonts w:cs="Arial"/>
                <w:b/>
                <w:szCs w:val="14"/>
              </w:rPr>
            </w:pPr>
            <w:r>
              <w:rPr>
                <w:rFonts w:cs="Arial"/>
                <w:b/>
                <w:szCs w:val="14"/>
              </w:rPr>
              <w:t>13,461</w:t>
            </w:r>
          </w:p>
        </w:tc>
        <w:tc>
          <w:tcPr>
            <w:tcW w:w="1297" w:type="dxa"/>
            <w:tcBorders>
              <w:top w:val="nil"/>
              <w:bottom w:val="single" w:sz="2" w:space="0" w:color="1F4E79" w:themeColor="accent1" w:themeShade="80"/>
            </w:tcBorders>
            <w:shd w:val="clear" w:color="auto" w:fill="auto"/>
          </w:tcPr>
          <w:p w14:paraId="62E90C69" w14:textId="77777777" w:rsidR="00613FF1" w:rsidRPr="00090360" w:rsidRDefault="00613FF1" w:rsidP="00236FFE">
            <w:pPr>
              <w:pStyle w:val="08-Tabelageral"/>
              <w:ind w:left="113"/>
              <w:rPr>
                <w:rFonts w:cs="Arial"/>
                <w:b/>
                <w:szCs w:val="14"/>
              </w:rPr>
            </w:pPr>
            <w:r w:rsidRPr="005A2F7F">
              <w:rPr>
                <w:rFonts w:cs="Arial"/>
                <w:b/>
                <w:szCs w:val="14"/>
              </w:rPr>
              <w:t>20</w:t>
            </w:r>
            <w:r>
              <w:rPr>
                <w:rFonts w:cs="Arial"/>
                <w:b/>
                <w:szCs w:val="14"/>
              </w:rPr>
              <w:t>,</w:t>
            </w:r>
            <w:r w:rsidRPr="005A2F7F">
              <w:rPr>
                <w:rFonts w:cs="Arial"/>
                <w:b/>
                <w:szCs w:val="14"/>
              </w:rPr>
              <w:t>148</w:t>
            </w:r>
          </w:p>
        </w:tc>
        <w:tc>
          <w:tcPr>
            <w:tcW w:w="1140" w:type="dxa"/>
            <w:gridSpan w:val="2"/>
            <w:tcBorders>
              <w:top w:val="nil"/>
              <w:bottom w:val="single" w:sz="2" w:space="0" w:color="1F4E79" w:themeColor="accent1" w:themeShade="80"/>
            </w:tcBorders>
            <w:shd w:val="clear" w:color="auto" w:fill="auto"/>
          </w:tcPr>
          <w:p w14:paraId="218DFFB3" w14:textId="77777777" w:rsidR="00613FF1" w:rsidRPr="00187166" w:rsidRDefault="00613FF1" w:rsidP="00236FFE">
            <w:pPr>
              <w:pStyle w:val="08-Tabelageral"/>
              <w:ind w:left="113"/>
              <w:rPr>
                <w:rFonts w:cs="Arial"/>
                <w:b/>
                <w:szCs w:val="14"/>
              </w:rPr>
            </w:pPr>
            <w:r>
              <w:rPr>
                <w:rFonts w:cs="Arial"/>
                <w:b/>
                <w:szCs w:val="14"/>
              </w:rPr>
              <w:t>48,215</w:t>
            </w:r>
          </w:p>
        </w:tc>
      </w:tr>
    </w:tbl>
    <w:p w14:paraId="454849B9" w14:textId="77777777" w:rsidR="00613FF1" w:rsidRPr="00F55DD0" w:rsidRDefault="00613FF1" w:rsidP="00112530">
      <w:pPr>
        <w:pStyle w:val="01-Textonormal"/>
        <w:keepNext/>
        <w:keepLines/>
        <w:pageBreakBefore/>
        <w:rPr>
          <w:b/>
          <w:color w:val="1F4E79" w:themeColor="accent1" w:themeShade="80"/>
        </w:rPr>
      </w:pPr>
      <w:r w:rsidRPr="00F55DD0">
        <w:rPr>
          <w:b/>
          <w:color w:val="1F4E79" w:themeColor="accent1" w:themeShade="80"/>
        </w:rPr>
        <w:lastRenderedPageBreak/>
        <w:t xml:space="preserve">g.2) </w:t>
      </w:r>
      <w:r w:rsidRPr="00F55DD0">
        <w:rPr>
          <w:b/>
          <w:color w:val="1F4E79" w:themeColor="accent1" w:themeShade="80"/>
          <w:lang w:val="en-US"/>
        </w:rPr>
        <w:t>Repurcharse Program</w:t>
      </w:r>
    </w:p>
    <w:p w14:paraId="01412AA2" w14:textId="77777777" w:rsidR="00613FF1" w:rsidRPr="00874D6A" w:rsidRDefault="00613FF1" w:rsidP="00874D6A">
      <w:pPr>
        <w:pStyle w:val="01-Textonormal"/>
        <w:rPr>
          <w:lang w:val="en-US"/>
        </w:rPr>
      </w:pPr>
      <w:r w:rsidRPr="00874D6A">
        <w:rPr>
          <w:lang w:val="en-US"/>
        </w:rPr>
        <w:t>On October 15, 2015, the Board of Directors approved the Buyback Program for up to 10,000,000 shares issued by the company to be held in treasury and subsequently sold or cancelled. The term was up to 365 days from the approval date, in line with the limit stipulated by CVM Instruction 567. The Buyback Program ended on 10.14.2016 and 3,360,000 shares were acquired in the amount of R$ 82,201 thousand, with a minimum, average and maximum cost per share of R$</w:t>
      </w:r>
      <w:r>
        <w:rPr>
          <w:lang w:val="en-US"/>
        </w:rPr>
        <w:t xml:space="preserve"> </w:t>
      </w:r>
      <w:r w:rsidRPr="00874D6A">
        <w:rPr>
          <w:lang w:val="en-US"/>
        </w:rPr>
        <w:t>21.09, R$</w:t>
      </w:r>
      <w:r>
        <w:rPr>
          <w:lang w:val="en-US"/>
        </w:rPr>
        <w:t xml:space="preserve"> </w:t>
      </w:r>
      <w:r w:rsidRPr="00874D6A">
        <w:rPr>
          <w:lang w:val="en-US"/>
        </w:rPr>
        <w:t>24.46 and R$</w:t>
      </w:r>
      <w:r>
        <w:rPr>
          <w:lang w:val="en-US"/>
        </w:rPr>
        <w:t xml:space="preserve"> </w:t>
      </w:r>
      <w:r w:rsidRPr="00874D6A">
        <w:rPr>
          <w:lang w:val="en-US"/>
        </w:rPr>
        <w:t>27.76, respectively. The following programs did not carry out share buybacks, and the last program, the IV Buyback Program, ended on 10.31.2019. The Company, to date, has not approved a new Buyback Program.</w:t>
      </w:r>
    </w:p>
    <w:p w14:paraId="3C0D35F5" w14:textId="77777777" w:rsidR="00613FF1" w:rsidRDefault="00613FF1" w:rsidP="00874D6A">
      <w:pPr>
        <w:pStyle w:val="01-Textonormal"/>
        <w:rPr>
          <w:lang w:val="en-US"/>
        </w:rPr>
      </w:pPr>
      <w:r w:rsidRPr="00874D6A">
        <w:rPr>
          <w:lang w:val="en-US"/>
        </w:rPr>
        <w:t>On October 30, 2019, the General Shareholders' Meeting authorized the trading of shares issued by BB Seguridade held in treasury, specifically for employee awards and variable compensation of the Company's directors, up to the limit of 3,359,550 shares, and authorized the Board of Directors to define and implement the best way and time to carry out said negotiation.</w:t>
      </w:r>
    </w:p>
    <w:p w14:paraId="61DBDF2E" w14:textId="77777777" w:rsidR="00613FF1" w:rsidRPr="00E2299D" w:rsidRDefault="00613FF1" w:rsidP="00874D6A">
      <w:pPr>
        <w:pStyle w:val="01-Textonormal"/>
        <w:rPr>
          <w:b/>
          <w:color w:val="1F4E79" w:themeColor="accent1" w:themeShade="80"/>
          <w:lang w:val="en-US"/>
        </w:rPr>
      </w:pPr>
      <w:r w:rsidRPr="00E2299D">
        <w:rPr>
          <w:b/>
          <w:color w:val="1F4E79" w:themeColor="accent1" w:themeShade="80"/>
          <w:lang w:val="en-US"/>
        </w:rPr>
        <w:t>g.3) Employee Reward</w:t>
      </w:r>
      <w:r>
        <w:rPr>
          <w:b/>
          <w:color w:val="1F4E79" w:themeColor="accent1" w:themeShade="80"/>
          <w:lang w:val="en-US"/>
        </w:rPr>
        <w:t>s</w:t>
      </w:r>
      <w:r w:rsidRPr="00E2299D">
        <w:rPr>
          <w:b/>
          <w:color w:val="1F4E79" w:themeColor="accent1" w:themeShade="80"/>
          <w:lang w:val="en-US"/>
        </w:rPr>
        <w:t xml:space="preserve"> Program</w:t>
      </w:r>
    </w:p>
    <w:p w14:paraId="4B0DD196" w14:textId="77777777" w:rsidR="00613FF1" w:rsidRPr="008F0257" w:rsidRDefault="00613FF1" w:rsidP="008F0257">
      <w:pPr>
        <w:pStyle w:val="01-Textonormal"/>
        <w:rPr>
          <w:lang w:val="en-US"/>
        </w:rPr>
      </w:pPr>
      <w:r w:rsidRPr="008F0257">
        <w:rPr>
          <w:lang w:val="en-US"/>
        </w:rPr>
        <w:t>On December 18, 2019, the Board of Directors approved the Employee Reward</w:t>
      </w:r>
      <w:r>
        <w:rPr>
          <w:lang w:val="en-US"/>
        </w:rPr>
        <w:t>s</w:t>
      </w:r>
      <w:r w:rsidRPr="008F0257">
        <w:rPr>
          <w:lang w:val="en-US"/>
        </w:rPr>
        <w:t xml:space="preserve"> Program, which aims to recognize BB Seguros employees in non-statutory positions, with outstanding performance in the Development and Career Committee. Considering the new wording of § 4 of art. 457 of the CLT, amended by Law No. 13,467/2017, the program is classified as an award and there is no incidence of labor and social security charges.</w:t>
      </w:r>
    </w:p>
    <w:p w14:paraId="6C2E3437" w14:textId="77777777" w:rsidR="00613FF1" w:rsidRPr="008F0257" w:rsidRDefault="00613FF1" w:rsidP="008F0257">
      <w:pPr>
        <w:pStyle w:val="01-Textonormal"/>
        <w:rPr>
          <w:lang w:val="en-US"/>
        </w:rPr>
      </w:pPr>
      <w:r w:rsidRPr="008F0257">
        <w:rPr>
          <w:lang w:val="en-US"/>
        </w:rPr>
        <w:t>On October 28, 2022, the Board of Directors approved an update to the program rules, which maintained the same objective and the same legal framework.</w:t>
      </w:r>
    </w:p>
    <w:p w14:paraId="4396222F" w14:textId="77777777" w:rsidR="00613FF1" w:rsidRDefault="00613FF1" w:rsidP="008F0257">
      <w:pPr>
        <w:pStyle w:val="01-Textonormal"/>
        <w:rPr>
          <w:lang w:val="en-US"/>
        </w:rPr>
      </w:pPr>
      <w:r w:rsidRPr="008F0257">
        <w:rPr>
          <w:lang w:val="en-US"/>
        </w:rPr>
        <w:t>The activation of the program occurs annually and is conditioned to the achievement of the score defined in the work agreement defined by the company. The target audience is limited to a maximum of 40% of employees per position, in the case of managerial or equivalent functions, and per position and per board, in the case of technical functions. The criteria for choosing employees involves the assessment of technical and behavioral skills, achievement of goals and management style. The award is credited 100% (one hundred percent) in cash, after due payment of Income Tax, in a single installment, within 30 days after the results of the Development and Career Commission are published.</w:t>
      </w:r>
    </w:p>
    <w:p w14:paraId="71AA36D1" w14:textId="77777777" w:rsidR="00613FF1" w:rsidRPr="00F55DD0" w:rsidRDefault="00613FF1" w:rsidP="008F0257">
      <w:pPr>
        <w:pStyle w:val="01-Textonormal"/>
        <w:rPr>
          <w:rFonts w:cs="Arial"/>
          <w:b/>
          <w:color w:val="1F4E79" w:themeColor="accent1" w:themeShade="80"/>
        </w:rPr>
      </w:pPr>
      <w:r w:rsidRPr="00F55DD0">
        <w:rPr>
          <w:b/>
          <w:color w:val="1F4E79" w:themeColor="accent1" w:themeShade="80"/>
        </w:rPr>
        <w:t xml:space="preserve">g.4) Number of Treasury Shares </w:t>
      </w:r>
    </w:p>
    <w:tbl>
      <w:tblPr>
        <w:tblStyle w:val="TabeladeLista6Colorida-nfase5"/>
        <w:tblW w:w="9639" w:type="dxa"/>
        <w:tblLook w:val="04A0" w:firstRow="1" w:lastRow="0" w:firstColumn="1" w:lastColumn="0" w:noHBand="0" w:noVBand="1"/>
      </w:tblPr>
      <w:tblGrid>
        <w:gridCol w:w="7088"/>
        <w:gridCol w:w="1276"/>
        <w:gridCol w:w="1275"/>
      </w:tblGrid>
      <w:tr w:rsidR="00613FF1" w14:paraId="7E593002" w14:textId="77777777" w:rsidTr="004E195E">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7088" w:type="dxa"/>
            <w:vMerge w:val="restart"/>
            <w:tcBorders>
              <w:top w:val="single" w:sz="2" w:space="0" w:color="1F4E79" w:themeColor="accent1" w:themeShade="80"/>
            </w:tcBorders>
            <w:shd w:val="clear" w:color="auto" w:fill="auto"/>
            <w:vAlign w:val="center"/>
          </w:tcPr>
          <w:p w14:paraId="2A05F6A6" w14:textId="77777777" w:rsidR="00613FF1" w:rsidRPr="00F22E66" w:rsidRDefault="00613FF1" w:rsidP="00F22E66">
            <w:pPr>
              <w:rPr>
                <w:rFonts w:cs="Arial"/>
                <w:b w:val="0"/>
                <w:sz w:val="14"/>
                <w:szCs w:val="14"/>
              </w:rPr>
            </w:pPr>
            <w:r>
              <w:rPr>
                <w:rFonts w:cs="Arial"/>
                <w:kern w:val="2"/>
                <w:sz w:val="14"/>
                <w:szCs w:val="14"/>
              </w:rPr>
              <w:t>D</w:t>
            </w:r>
            <w:r w:rsidRPr="00746120">
              <w:rPr>
                <w:rFonts w:cs="Arial"/>
                <w:kern w:val="2"/>
                <w:sz w:val="14"/>
                <w:szCs w:val="14"/>
              </w:rPr>
              <w:t>escription</w:t>
            </w:r>
          </w:p>
        </w:tc>
        <w:tc>
          <w:tcPr>
            <w:tcW w:w="2551" w:type="dxa"/>
            <w:gridSpan w:val="2"/>
            <w:tcBorders>
              <w:top w:val="single" w:sz="2" w:space="0" w:color="1F4E79" w:themeColor="accent1" w:themeShade="80"/>
              <w:bottom w:val="single" w:sz="2" w:space="0" w:color="1F4E79" w:themeColor="accent1" w:themeShade="80"/>
            </w:tcBorders>
            <w:shd w:val="clear" w:color="auto" w:fill="auto"/>
            <w:vAlign w:val="center"/>
          </w:tcPr>
          <w:p w14:paraId="41D4088F" w14:textId="77777777" w:rsidR="00613FF1" w:rsidRPr="0038031F" w:rsidRDefault="00613FF1" w:rsidP="00884F16">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BE198A">
              <w:rPr>
                <w:rFonts w:cs="Arial"/>
                <w:sz w:val="14"/>
                <w:szCs w:val="14"/>
                <w:lang w:val="en-US"/>
              </w:rPr>
              <w:t>Parent and Consolidated</w:t>
            </w:r>
          </w:p>
        </w:tc>
      </w:tr>
      <w:tr w:rsidR="00613FF1" w:rsidRPr="001D6BE8" w14:paraId="79C7889B" w14:textId="77777777" w:rsidTr="004E195E">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vMerge/>
            <w:tcBorders>
              <w:bottom w:val="single" w:sz="2" w:space="0" w:color="1F4E79" w:themeColor="accent1" w:themeShade="80"/>
            </w:tcBorders>
            <w:shd w:val="clear" w:color="auto" w:fill="auto"/>
          </w:tcPr>
          <w:p w14:paraId="3E93C9AB" w14:textId="77777777" w:rsidR="00613FF1" w:rsidRPr="001D6BE8" w:rsidRDefault="00613FF1" w:rsidP="00874D6A">
            <w:pPr>
              <w:pStyle w:val="08-Tabelageral"/>
              <w:rPr>
                <w:rFonts w:cs="Arial"/>
                <w:b w:val="0"/>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46AC7239" w14:textId="77777777" w:rsidR="00613FF1" w:rsidRPr="001D6BE8" w:rsidRDefault="00613FF1" w:rsidP="005659D8">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Dec 31, 2022</w:t>
            </w:r>
          </w:p>
        </w:tc>
        <w:tc>
          <w:tcPr>
            <w:tcW w:w="1275" w:type="dxa"/>
            <w:tcBorders>
              <w:top w:val="single" w:sz="2" w:space="0" w:color="1F4E79" w:themeColor="accent1" w:themeShade="80"/>
              <w:bottom w:val="single" w:sz="2" w:space="0" w:color="1F4E79" w:themeColor="accent1" w:themeShade="80"/>
            </w:tcBorders>
            <w:shd w:val="clear" w:color="auto" w:fill="auto"/>
            <w:vAlign w:val="center"/>
          </w:tcPr>
          <w:p w14:paraId="60A6CB06" w14:textId="77777777" w:rsidR="00613FF1" w:rsidRPr="00B253DA" w:rsidRDefault="00613FF1" w:rsidP="00112530">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rPr>
              <w:t>Dec 31, 2021</w:t>
            </w:r>
          </w:p>
        </w:tc>
      </w:tr>
      <w:tr w:rsidR="00613FF1" w:rsidRPr="002F79A6" w14:paraId="586967AA" w14:textId="77777777" w:rsidTr="004E195E">
        <w:trPr>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single" w:sz="2" w:space="0" w:color="1F4E79" w:themeColor="accent1" w:themeShade="80"/>
              <w:bottom w:val="nil"/>
            </w:tcBorders>
            <w:shd w:val="clear" w:color="auto" w:fill="auto"/>
          </w:tcPr>
          <w:p w14:paraId="76D0A3EE" w14:textId="77777777" w:rsidR="00613FF1" w:rsidRPr="004B332C" w:rsidRDefault="00613FF1" w:rsidP="00236FFE">
            <w:pPr>
              <w:pStyle w:val="08-Tabelageral"/>
              <w:tabs>
                <w:tab w:val="left" w:pos="264"/>
              </w:tabs>
              <w:ind w:firstLine="318"/>
              <w:jc w:val="left"/>
              <w:rPr>
                <w:rFonts w:cs="Arial"/>
                <w:b w:val="0"/>
                <w:bCs w:val="0"/>
                <w:color w:val="auto"/>
                <w:szCs w:val="14"/>
              </w:rPr>
            </w:pPr>
            <w:r w:rsidRPr="004B332C">
              <w:rPr>
                <w:rFonts w:cs="Arial"/>
                <w:b w:val="0"/>
                <w:bCs w:val="0"/>
                <w:color w:val="auto"/>
                <w:szCs w:val="14"/>
              </w:rPr>
              <w:t>Variable Wage Program</w:t>
            </w:r>
          </w:p>
        </w:tc>
        <w:tc>
          <w:tcPr>
            <w:tcW w:w="1276" w:type="dxa"/>
            <w:tcBorders>
              <w:top w:val="single" w:sz="2" w:space="0" w:color="1F4E79" w:themeColor="accent1" w:themeShade="80"/>
              <w:bottom w:val="nil"/>
            </w:tcBorders>
            <w:shd w:val="clear" w:color="auto" w:fill="auto"/>
          </w:tcPr>
          <w:p w14:paraId="3D2DEAF4" w14:textId="77777777" w:rsidR="00613FF1" w:rsidRPr="007569D3" w:rsidRDefault="00613FF1" w:rsidP="00236F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48,215</w:t>
            </w:r>
          </w:p>
        </w:tc>
        <w:tc>
          <w:tcPr>
            <w:tcW w:w="1275" w:type="dxa"/>
            <w:tcBorders>
              <w:top w:val="single" w:sz="2" w:space="0" w:color="1F4E79" w:themeColor="accent1" w:themeShade="80"/>
              <w:bottom w:val="nil"/>
            </w:tcBorders>
            <w:shd w:val="clear" w:color="auto" w:fill="auto"/>
          </w:tcPr>
          <w:p w14:paraId="259B7878" w14:textId="77777777" w:rsidR="00613FF1" w:rsidRPr="00324C24" w:rsidRDefault="00613FF1" w:rsidP="00236F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lang w:eastAsia="en-US"/>
              </w:rPr>
              <w:t>45,365</w:t>
            </w:r>
          </w:p>
        </w:tc>
      </w:tr>
      <w:tr w:rsidR="00613FF1" w:rsidRPr="002F79A6" w14:paraId="086D87E9" w14:textId="77777777" w:rsidTr="004E195E">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shd w:val="clear" w:color="auto" w:fill="auto"/>
          </w:tcPr>
          <w:p w14:paraId="5EBAB6F4" w14:textId="77777777" w:rsidR="00613FF1" w:rsidRPr="004B332C" w:rsidRDefault="00613FF1" w:rsidP="00236FFE">
            <w:pPr>
              <w:pStyle w:val="08-Tabelageral"/>
              <w:tabs>
                <w:tab w:val="left" w:pos="264"/>
                <w:tab w:val="left" w:pos="1936"/>
              </w:tabs>
              <w:ind w:firstLine="318"/>
              <w:jc w:val="left"/>
              <w:rPr>
                <w:rFonts w:cs="Arial"/>
                <w:b w:val="0"/>
                <w:bCs w:val="0"/>
                <w:color w:val="auto"/>
                <w:szCs w:val="14"/>
              </w:rPr>
            </w:pPr>
            <w:r w:rsidRPr="004B332C">
              <w:rPr>
                <w:rFonts w:cs="Arial"/>
                <w:b w:val="0"/>
                <w:bCs w:val="0"/>
                <w:color w:val="auto"/>
                <w:szCs w:val="14"/>
              </w:rPr>
              <w:t>Repurcharse Program</w:t>
            </w:r>
            <w:r>
              <w:rPr>
                <w:rFonts w:cs="Arial"/>
                <w:b w:val="0"/>
                <w:bCs w:val="0"/>
                <w:color w:val="auto"/>
                <w:szCs w:val="14"/>
              </w:rPr>
              <w:t xml:space="preserve"> </w:t>
            </w:r>
            <w:r w:rsidRPr="00A96722">
              <w:rPr>
                <w:rFonts w:cs="Arial"/>
                <w:b w:val="0"/>
                <w:bCs w:val="0"/>
                <w:color w:val="auto"/>
                <w:sz w:val="12"/>
                <w:szCs w:val="12"/>
                <w:vertAlign w:val="superscript"/>
              </w:rPr>
              <w:t>(1)</w:t>
            </w:r>
            <w:r>
              <w:rPr>
                <w:rFonts w:cs="Arial"/>
                <w:b w:val="0"/>
                <w:bCs w:val="0"/>
                <w:color w:val="auto"/>
                <w:szCs w:val="14"/>
              </w:rPr>
              <w:tab/>
            </w:r>
          </w:p>
        </w:tc>
        <w:tc>
          <w:tcPr>
            <w:tcW w:w="1276" w:type="dxa"/>
            <w:tcBorders>
              <w:top w:val="nil"/>
              <w:bottom w:val="nil"/>
            </w:tcBorders>
            <w:shd w:val="clear" w:color="auto" w:fill="auto"/>
          </w:tcPr>
          <w:p w14:paraId="3C099272" w14:textId="77777777" w:rsidR="00613FF1" w:rsidRPr="007569D3" w:rsidRDefault="00613FF1" w:rsidP="00236F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3,225,352</w:t>
            </w:r>
          </w:p>
        </w:tc>
        <w:tc>
          <w:tcPr>
            <w:tcW w:w="1275" w:type="dxa"/>
            <w:tcBorders>
              <w:top w:val="nil"/>
              <w:bottom w:val="nil"/>
            </w:tcBorders>
            <w:shd w:val="clear" w:color="auto" w:fill="auto"/>
          </w:tcPr>
          <w:p w14:paraId="5643F727" w14:textId="77777777" w:rsidR="00613FF1" w:rsidRPr="00324C24" w:rsidRDefault="00613FF1" w:rsidP="00236F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lang w:eastAsia="en-US"/>
              </w:rPr>
              <w:t>3,247,991</w:t>
            </w:r>
          </w:p>
        </w:tc>
      </w:tr>
      <w:tr w:rsidR="00613FF1" w:rsidRPr="002F79A6" w14:paraId="255420CD" w14:textId="77777777" w:rsidTr="004E195E">
        <w:trPr>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shd w:val="clear" w:color="auto" w:fill="auto"/>
          </w:tcPr>
          <w:p w14:paraId="6D03A8F8" w14:textId="77777777" w:rsidR="00613FF1" w:rsidRPr="004B332C" w:rsidRDefault="00613FF1" w:rsidP="00236FFE">
            <w:pPr>
              <w:pStyle w:val="08-Tabelageral"/>
              <w:tabs>
                <w:tab w:val="left" w:pos="264"/>
              </w:tabs>
              <w:ind w:firstLine="318"/>
              <w:jc w:val="left"/>
              <w:rPr>
                <w:rFonts w:cs="Arial"/>
                <w:szCs w:val="14"/>
              </w:rPr>
            </w:pPr>
            <w:r w:rsidRPr="00746120">
              <w:rPr>
                <w:rFonts w:cs="Arial"/>
                <w:b w:val="0"/>
                <w:bCs w:val="0"/>
                <w:color w:val="auto"/>
                <w:szCs w:val="14"/>
              </w:rPr>
              <w:t>Employee Reward Program</w:t>
            </w:r>
          </w:p>
        </w:tc>
        <w:tc>
          <w:tcPr>
            <w:tcW w:w="1276" w:type="dxa"/>
            <w:tcBorders>
              <w:top w:val="nil"/>
              <w:bottom w:val="nil"/>
            </w:tcBorders>
            <w:shd w:val="clear" w:color="auto" w:fill="auto"/>
          </w:tcPr>
          <w:p w14:paraId="40761C31" w14:textId="77777777" w:rsidR="00613FF1" w:rsidRDefault="00613FF1" w:rsidP="00236F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lang w:eastAsia="en-US"/>
              </w:rPr>
              <w:t>--</w:t>
            </w:r>
          </w:p>
        </w:tc>
        <w:tc>
          <w:tcPr>
            <w:tcW w:w="1275" w:type="dxa"/>
            <w:tcBorders>
              <w:top w:val="nil"/>
              <w:bottom w:val="nil"/>
            </w:tcBorders>
            <w:shd w:val="clear" w:color="auto" w:fill="auto"/>
          </w:tcPr>
          <w:p w14:paraId="0E246570" w14:textId="77777777" w:rsidR="00613FF1" w:rsidRPr="007569D3" w:rsidRDefault="00613FF1" w:rsidP="00236F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lang w:eastAsia="en-US"/>
              </w:rPr>
              <w:t>20,115</w:t>
            </w:r>
          </w:p>
        </w:tc>
      </w:tr>
      <w:tr w:rsidR="00613FF1" w:rsidRPr="00F139E2" w14:paraId="5CCE441A" w14:textId="77777777" w:rsidTr="004E195E">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sz="2" w:space="0" w:color="1F4E79" w:themeColor="accent1" w:themeShade="80"/>
            </w:tcBorders>
            <w:shd w:val="clear" w:color="auto" w:fill="auto"/>
          </w:tcPr>
          <w:p w14:paraId="277B2B45" w14:textId="77777777" w:rsidR="00613FF1" w:rsidRPr="00F139E2" w:rsidRDefault="00613FF1" w:rsidP="00236FFE">
            <w:pPr>
              <w:pStyle w:val="08-Tabelageral"/>
              <w:jc w:val="left"/>
              <w:rPr>
                <w:rFonts w:cs="Arial"/>
                <w:color w:val="auto"/>
                <w:szCs w:val="14"/>
              </w:rPr>
            </w:pPr>
            <w:r w:rsidRPr="00F139E2">
              <w:rPr>
                <w:rFonts w:cs="Arial"/>
                <w:color w:val="auto"/>
                <w:szCs w:val="14"/>
              </w:rPr>
              <w:t>Total</w:t>
            </w:r>
          </w:p>
        </w:tc>
        <w:tc>
          <w:tcPr>
            <w:tcW w:w="1276" w:type="dxa"/>
            <w:tcBorders>
              <w:top w:val="nil"/>
              <w:bottom w:val="single" w:sz="2" w:space="0" w:color="1F4E79" w:themeColor="accent1" w:themeShade="80"/>
            </w:tcBorders>
            <w:shd w:val="clear" w:color="auto" w:fill="auto"/>
          </w:tcPr>
          <w:p w14:paraId="3B37C4E4" w14:textId="77777777" w:rsidR="00613FF1" w:rsidRPr="00F139E2" w:rsidRDefault="00613FF1" w:rsidP="00236F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szCs w:val="14"/>
              </w:rPr>
              <w:t>3,273,567</w:t>
            </w:r>
          </w:p>
        </w:tc>
        <w:tc>
          <w:tcPr>
            <w:tcW w:w="1275" w:type="dxa"/>
            <w:tcBorders>
              <w:top w:val="nil"/>
              <w:bottom w:val="single" w:sz="2" w:space="0" w:color="1F4E79" w:themeColor="accent1" w:themeShade="80"/>
            </w:tcBorders>
            <w:shd w:val="clear" w:color="auto" w:fill="auto"/>
          </w:tcPr>
          <w:p w14:paraId="65893BF6" w14:textId="77777777" w:rsidR="00613FF1" w:rsidRPr="00F139E2" w:rsidRDefault="00613FF1" w:rsidP="00236F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szCs w:val="14"/>
              </w:rPr>
              <w:t>3,313,471</w:t>
            </w:r>
          </w:p>
        </w:tc>
      </w:tr>
    </w:tbl>
    <w:p w14:paraId="70177D52" w14:textId="77777777" w:rsidR="00613FF1" w:rsidRPr="009801DB" w:rsidRDefault="00613FF1" w:rsidP="00F42C27">
      <w:pPr>
        <w:pStyle w:val="04-TtuloNegrito"/>
        <w:keepNext/>
        <w:rPr>
          <w:b w:val="0"/>
          <w:sz w:val="14"/>
          <w:szCs w:val="14"/>
          <w:lang w:val="en-US"/>
        </w:rPr>
      </w:pPr>
      <w:r w:rsidRPr="009801DB">
        <w:rPr>
          <w:rStyle w:val="rynqvb"/>
          <w:b w:val="0"/>
          <w:sz w:val="14"/>
          <w:szCs w:val="14"/>
          <w:lang w:val="en"/>
        </w:rPr>
        <w:t>(1) The variation in the balance in the interval results from the transfer of 25,198 shares from the Repurchase Program to the Variable Remuneration Program for 2021 directors and the return of 2,559 shares from the 2019 and 2020 Reward Programs to the Repurchase Program.</w:t>
      </w:r>
    </w:p>
    <w:p w14:paraId="502FB7DC" w14:textId="77777777" w:rsidR="00613FF1" w:rsidRPr="00F42C27" w:rsidRDefault="00613FF1" w:rsidP="00F42C27">
      <w:pPr>
        <w:pStyle w:val="04-TtuloNegrito"/>
        <w:keepNext/>
        <w:rPr>
          <w:b w:val="0"/>
          <w:sz w:val="18"/>
          <w:szCs w:val="18"/>
          <w:lang w:val="en-US"/>
        </w:rPr>
      </w:pPr>
      <w:r w:rsidRPr="00F42C27">
        <w:rPr>
          <w:b w:val="0"/>
          <w:sz w:val="18"/>
          <w:szCs w:val="18"/>
          <w:lang w:val="en-US"/>
        </w:rPr>
        <w:t xml:space="preserve">The cost value of treasury </w:t>
      </w:r>
      <w:r w:rsidRPr="00AB50BA">
        <w:rPr>
          <w:b w:val="0"/>
          <w:sz w:val="18"/>
          <w:szCs w:val="18"/>
          <w:lang w:val="en-US"/>
        </w:rPr>
        <w:t xml:space="preserve">shares is R$ </w:t>
      </w:r>
      <w:r w:rsidRPr="00E2299D">
        <w:rPr>
          <w:b w:val="0"/>
          <w:bCs/>
          <w:sz w:val="18"/>
          <w:szCs w:val="18"/>
          <w:lang w:val="en-US"/>
        </w:rPr>
        <w:t xml:space="preserve">80,344 </w:t>
      </w:r>
      <w:r w:rsidRPr="00AB50BA">
        <w:rPr>
          <w:b w:val="0"/>
          <w:sz w:val="18"/>
          <w:szCs w:val="18"/>
          <w:lang w:val="en-US"/>
        </w:rPr>
        <w:t>thousand and the exchange price</w:t>
      </w:r>
      <w:r w:rsidRPr="00F42C27">
        <w:rPr>
          <w:b w:val="0"/>
          <w:sz w:val="18"/>
          <w:szCs w:val="18"/>
          <w:lang w:val="en-US"/>
        </w:rPr>
        <w:t xml:space="preserve"> on </w:t>
      </w:r>
      <w:r>
        <w:rPr>
          <w:b w:val="0"/>
          <w:sz w:val="18"/>
          <w:szCs w:val="18"/>
          <w:lang w:val="en-US"/>
        </w:rPr>
        <w:t xml:space="preserve">December </w:t>
      </w:r>
      <w:r w:rsidRPr="00F42C27">
        <w:rPr>
          <w:b w:val="0"/>
          <w:sz w:val="18"/>
          <w:szCs w:val="18"/>
          <w:lang w:val="en-US"/>
        </w:rPr>
        <w:t>3</w:t>
      </w:r>
      <w:r>
        <w:rPr>
          <w:b w:val="0"/>
          <w:sz w:val="18"/>
          <w:szCs w:val="18"/>
          <w:lang w:val="en-US"/>
        </w:rPr>
        <w:t xml:space="preserve">1, </w:t>
      </w:r>
      <w:r w:rsidRPr="00F42C27">
        <w:rPr>
          <w:b w:val="0"/>
          <w:sz w:val="18"/>
          <w:szCs w:val="18"/>
          <w:lang w:val="en-US"/>
        </w:rPr>
        <w:t>20</w:t>
      </w:r>
      <w:r>
        <w:rPr>
          <w:b w:val="0"/>
          <w:sz w:val="18"/>
          <w:szCs w:val="18"/>
          <w:lang w:val="en-US"/>
        </w:rPr>
        <w:t>22</w:t>
      </w:r>
      <w:r w:rsidRPr="00F42C27">
        <w:rPr>
          <w:b w:val="0"/>
          <w:sz w:val="18"/>
          <w:szCs w:val="18"/>
          <w:lang w:val="en-US"/>
        </w:rPr>
        <w:t xml:space="preserve"> is R$ </w:t>
      </w:r>
      <w:r>
        <w:rPr>
          <w:b w:val="0"/>
          <w:sz w:val="18"/>
          <w:szCs w:val="18"/>
          <w:lang w:val="en-US"/>
        </w:rPr>
        <w:t>110,</w:t>
      </w:r>
      <w:r w:rsidRPr="005659D8">
        <w:rPr>
          <w:b w:val="0"/>
          <w:sz w:val="18"/>
          <w:szCs w:val="18"/>
          <w:lang w:val="en-US"/>
        </w:rPr>
        <w:t>352</w:t>
      </w:r>
      <w:r w:rsidRPr="00E2299D">
        <w:rPr>
          <w:sz w:val="18"/>
          <w:szCs w:val="18"/>
          <w:lang w:val="en-US"/>
        </w:rPr>
        <w:t xml:space="preserve"> </w:t>
      </w:r>
      <w:r w:rsidRPr="00F42C27">
        <w:rPr>
          <w:b w:val="0"/>
          <w:sz w:val="18"/>
          <w:szCs w:val="18"/>
          <w:lang w:val="en-US"/>
        </w:rPr>
        <w:t>thousand.</w:t>
      </w:r>
    </w:p>
    <w:p w14:paraId="1171132F" w14:textId="72EA27DC" w:rsidR="005678BA" w:rsidRPr="00E141D8" w:rsidRDefault="005678BA" w:rsidP="00FC4475">
      <w:pPr>
        <w:pStyle w:val="Ttulo1"/>
      </w:pPr>
    </w:p>
    <w:p w14:paraId="4476FFDA" w14:textId="5E1F5419" w:rsidR="00613FF1" w:rsidRPr="00FC4475" w:rsidRDefault="00613FF1" w:rsidP="00FC4475">
      <w:pPr>
        <w:pStyle w:val="Ttulo1"/>
      </w:pPr>
      <w:bookmarkStart w:id="65" w:name="_Toc126781117"/>
      <w:r w:rsidRPr="00FC4475">
        <w:t>26 – RELATED PARTY TRANSACTIONS</w:t>
      </w:r>
      <w:bookmarkEnd w:id="65"/>
    </w:p>
    <w:p w14:paraId="24422EEE" w14:textId="77777777" w:rsidR="00613FF1" w:rsidRPr="00613FF1" w:rsidRDefault="00613FF1" w:rsidP="00134991">
      <w:pPr>
        <w:pStyle w:val="05-Textonormal"/>
        <w:rPr>
          <w:lang w:val="en-US"/>
        </w:rPr>
      </w:pPr>
      <w:r w:rsidRPr="00613FF1">
        <w:rPr>
          <w:lang w:val="en-US"/>
        </w:rPr>
        <w:t>BB Seguridade and its subsidiaries have an agreement with Banco do Brasil S.A., signed on 01/09/2013, for a period of 20 years, for apportionment and/or reimbursement of expenses and direct and indirect costs resulting from the use of the staff, material, technological and administrative resources necessary to maintain the Companies' activities and, especially the sale of products in the banking channel.</w:t>
      </w:r>
    </w:p>
    <w:p w14:paraId="1A0F270C" w14:textId="77777777" w:rsidR="00613FF1" w:rsidRPr="00613FF1" w:rsidRDefault="00613FF1" w:rsidP="00134991">
      <w:pPr>
        <w:pStyle w:val="05-Textonormal"/>
        <w:rPr>
          <w:lang w:val="en-US"/>
        </w:rPr>
      </w:pPr>
      <w:r w:rsidRPr="00613FF1">
        <w:rPr>
          <w:lang w:val="en-US"/>
        </w:rPr>
        <w:t>The agreement aims to capture synergies resulting from the sharing of resources and its terms provide that the reimbursement follows apportionment criteria based on calculation methodologies foreseen in the referred agreement, observing the effective use of the resources. The apportionment amounts are calculated and paid monthly.</w:t>
      </w:r>
    </w:p>
    <w:p w14:paraId="5259AEE1" w14:textId="77777777" w:rsidR="00613FF1" w:rsidRPr="00613FF1" w:rsidRDefault="00613FF1" w:rsidP="00134991">
      <w:pPr>
        <w:pStyle w:val="05-Textonormal"/>
        <w:rPr>
          <w:lang w:val="en-US"/>
        </w:rPr>
      </w:pPr>
      <w:r w:rsidRPr="00613FF1">
        <w:rPr>
          <w:lang w:val="en-US"/>
        </w:rPr>
        <w:t>The costs of salaries and other benefits granted to key management personnel of the BB Seguridade (Executive Board, Audit Committee, Board of Directors, and Fiscal Council):</w:t>
      </w:r>
    </w:p>
    <w:p w14:paraId="4E492A1A" w14:textId="77777777" w:rsidR="00F12587" w:rsidRPr="001A2EC3" w:rsidRDefault="00F12587" w:rsidP="00680B15">
      <w:pPr>
        <w:pStyle w:val="05-Textonormal"/>
        <w:spacing w:before="0" w:after="0" w:line="240" w:lineRule="auto"/>
        <w:jc w:val="right"/>
        <w:rPr>
          <w:b/>
          <w:sz w:val="14"/>
          <w:szCs w:val="14"/>
          <w:lang w:val="en-US"/>
        </w:rPr>
      </w:pPr>
    </w:p>
    <w:p w14:paraId="3CE44BBD" w14:textId="77777777" w:rsidR="00F12587" w:rsidRPr="001A2EC3" w:rsidRDefault="00F12587" w:rsidP="00680B15">
      <w:pPr>
        <w:pStyle w:val="05-Textonormal"/>
        <w:spacing w:before="0" w:after="0" w:line="240" w:lineRule="auto"/>
        <w:jc w:val="right"/>
        <w:rPr>
          <w:b/>
          <w:sz w:val="14"/>
          <w:szCs w:val="14"/>
          <w:lang w:val="en-US"/>
        </w:rPr>
      </w:pPr>
    </w:p>
    <w:p w14:paraId="61D3E65B" w14:textId="77777777" w:rsidR="00F12587" w:rsidRPr="001A2EC3" w:rsidRDefault="00F12587" w:rsidP="00680B15">
      <w:pPr>
        <w:pStyle w:val="05-Textonormal"/>
        <w:spacing w:before="0" w:after="0" w:line="240" w:lineRule="auto"/>
        <w:jc w:val="right"/>
        <w:rPr>
          <w:b/>
          <w:sz w:val="14"/>
          <w:szCs w:val="14"/>
          <w:lang w:val="en-US"/>
        </w:rPr>
      </w:pPr>
    </w:p>
    <w:p w14:paraId="3F7A67AA" w14:textId="77777777" w:rsidR="00F12587" w:rsidRPr="001A2EC3" w:rsidRDefault="00F12587" w:rsidP="00680B15">
      <w:pPr>
        <w:pStyle w:val="05-Textonormal"/>
        <w:spacing w:before="0" w:after="0" w:line="240" w:lineRule="auto"/>
        <w:jc w:val="right"/>
        <w:rPr>
          <w:b/>
          <w:sz w:val="14"/>
          <w:szCs w:val="14"/>
          <w:lang w:val="en-US"/>
        </w:rPr>
      </w:pPr>
    </w:p>
    <w:p w14:paraId="335A49DB" w14:textId="77777777" w:rsidR="00F12587" w:rsidRPr="001A2EC3" w:rsidRDefault="00F12587" w:rsidP="00680B15">
      <w:pPr>
        <w:pStyle w:val="05-Textonormal"/>
        <w:spacing w:before="0" w:after="0" w:line="240" w:lineRule="auto"/>
        <w:jc w:val="right"/>
        <w:rPr>
          <w:b/>
          <w:sz w:val="14"/>
          <w:szCs w:val="14"/>
          <w:lang w:val="en-US"/>
        </w:rPr>
      </w:pPr>
    </w:p>
    <w:p w14:paraId="2F59D335" w14:textId="77777777" w:rsidR="00F12587" w:rsidRPr="001A2EC3" w:rsidRDefault="00F12587" w:rsidP="00680B15">
      <w:pPr>
        <w:pStyle w:val="05-Textonormal"/>
        <w:spacing w:before="0" w:after="0" w:line="240" w:lineRule="auto"/>
        <w:jc w:val="right"/>
        <w:rPr>
          <w:b/>
          <w:sz w:val="14"/>
          <w:szCs w:val="14"/>
          <w:lang w:val="en-US"/>
        </w:rPr>
      </w:pPr>
    </w:p>
    <w:p w14:paraId="70D1CE20" w14:textId="77777777" w:rsidR="00F12587" w:rsidRPr="001A2EC3" w:rsidRDefault="00F12587" w:rsidP="00680B15">
      <w:pPr>
        <w:pStyle w:val="05-Textonormal"/>
        <w:spacing w:before="0" w:after="0" w:line="240" w:lineRule="auto"/>
        <w:jc w:val="right"/>
        <w:rPr>
          <w:b/>
          <w:sz w:val="14"/>
          <w:szCs w:val="14"/>
          <w:lang w:val="en-US"/>
        </w:rPr>
      </w:pPr>
    </w:p>
    <w:p w14:paraId="3CEFDDDE" w14:textId="77777777" w:rsidR="00F12587" w:rsidRPr="001A2EC3" w:rsidRDefault="00F12587" w:rsidP="00680B15">
      <w:pPr>
        <w:pStyle w:val="05-Textonormal"/>
        <w:spacing w:before="0" w:after="0" w:line="240" w:lineRule="auto"/>
        <w:jc w:val="right"/>
        <w:rPr>
          <w:b/>
          <w:sz w:val="14"/>
          <w:szCs w:val="14"/>
          <w:lang w:val="en-US"/>
        </w:rPr>
      </w:pPr>
    </w:p>
    <w:p w14:paraId="265606A0" w14:textId="77777777" w:rsidR="00F12587" w:rsidRPr="001A2EC3" w:rsidRDefault="00F12587" w:rsidP="00680B15">
      <w:pPr>
        <w:pStyle w:val="05-Textonormal"/>
        <w:spacing w:before="0" w:after="0" w:line="240" w:lineRule="auto"/>
        <w:jc w:val="right"/>
        <w:rPr>
          <w:b/>
          <w:sz w:val="14"/>
          <w:szCs w:val="14"/>
          <w:lang w:val="en-US"/>
        </w:rPr>
      </w:pPr>
    </w:p>
    <w:p w14:paraId="01E9346B" w14:textId="77777777" w:rsidR="00F12587" w:rsidRPr="001A2EC3" w:rsidRDefault="00F12587" w:rsidP="00680B15">
      <w:pPr>
        <w:pStyle w:val="05-Textonormal"/>
        <w:spacing w:before="0" w:after="0" w:line="240" w:lineRule="auto"/>
        <w:jc w:val="right"/>
        <w:rPr>
          <w:b/>
          <w:sz w:val="14"/>
          <w:szCs w:val="14"/>
          <w:lang w:val="en-US"/>
        </w:rPr>
      </w:pPr>
    </w:p>
    <w:p w14:paraId="3151D81A" w14:textId="77777777" w:rsidR="00F12587" w:rsidRPr="001A2EC3" w:rsidRDefault="00F12587" w:rsidP="00680B15">
      <w:pPr>
        <w:pStyle w:val="05-Textonormal"/>
        <w:spacing w:before="0" w:after="0" w:line="240" w:lineRule="auto"/>
        <w:jc w:val="right"/>
        <w:rPr>
          <w:b/>
          <w:sz w:val="14"/>
          <w:szCs w:val="14"/>
          <w:lang w:val="en-US"/>
        </w:rPr>
      </w:pPr>
    </w:p>
    <w:p w14:paraId="36A9E694" w14:textId="77777777" w:rsidR="00F12587" w:rsidRPr="001A2EC3" w:rsidRDefault="00F12587" w:rsidP="00680B15">
      <w:pPr>
        <w:pStyle w:val="05-Textonormal"/>
        <w:spacing w:before="0" w:after="0" w:line="240" w:lineRule="auto"/>
        <w:jc w:val="right"/>
        <w:rPr>
          <w:b/>
          <w:sz w:val="14"/>
          <w:szCs w:val="14"/>
          <w:lang w:val="en-US"/>
        </w:rPr>
      </w:pPr>
    </w:p>
    <w:p w14:paraId="5596DE6E" w14:textId="2BDC1F4F" w:rsidR="00613FF1" w:rsidRPr="00D311AA" w:rsidRDefault="00613FF1" w:rsidP="00680B15">
      <w:pPr>
        <w:pStyle w:val="05-Textonormal"/>
        <w:spacing w:before="0" w:after="0" w:line="240" w:lineRule="auto"/>
        <w:jc w:val="right"/>
        <w:rPr>
          <w:b/>
          <w:sz w:val="14"/>
          <w:szCs w:val="14"/>
        </w:rPr>
      </w:pPr>
      <w:r w:rsidRPr="00D311AA">
        <w:rPr>
          <w:b/>
          <w:sz w:val="14"/>
          <w:szCs w:val="14"/>
        </w:rPr>
        <w:lastRenderedPageBreak/>
        <w:t>R$ thousand</w:t>
      </w:r>
    </w:p>
    <w:tbl>
      <w:tblPr>
        <w:tblStyle w:val="TabeladeLista6Colorida-nfase510"/>
        <w:tblW w:w="9639" w:type="dxa"/>
        <w:tblInd w:w="108" w:type="dxa"/>
        <w:tblLook w:val="04A0" w:firstRow="1" w:lastRow="0" w:firstColumn="1" w:lastColumn="0" w:noHBand="0" w:noVBand="1"/>
      </w:tblPr>
      <w:tblGrid>
        <w:gridCol w:w="2986"/>
        <w:gridCol w:w="604"/>
        <w:gridCol w:w="1411"/>
        <w:gridCol w:w="811"/>
        <w:gridCol w:w="709"/>
        <w:gridCol w:w="1592"/>
        <w:gridCol w:w="1526"/>
      </w:tblGrid>
      <w:tr w:rsidR="00613FF1" w:rsidRPr="00D311AA" w14:paraId="50F11F7C" w14:textId="77777777" w:rsidTr="0038786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812" w:type="dxa"/>
            <w:gridSpan w:val="4"/>
            <w:tcBorders>
              <w:top w:val="single" w:sz="4" w:space="0" w:color="1F4E79" w:themeColor="accent1" w:themeShade="80"/>
              <w:bottom w:val="single" w:sz="4" w:space="0" w:color="1F4E79" w:themeColor="accent1" w:themeShade="80"/>
            </w:tcBorders>
            <w:shd w:val="clear" w:color="auto" w:fill="auto"/>
          </w:tcPr>
          <w:p w14:paraId="17E002FF" w14:textId="77777777" w:rsidR="00613FF1" w:rsidRPr="00D311AA" w:rsidRDefault="00613FF1" w:rsidP="00835EAB">
            <w:pPr>
              <w:keepNext/>
              <w:keepLines/>
              <w:spacing w:before="40" w:after="40"/>
              <w:jc w:val="right"/>
              <w:rPr>
                <w:rFonts w:cs="Arial"/>
                <w:b w:val="0"/>
                <w:spacing w:val="-2"/>
                <w:sz w:val="14"/>
                <w:szCs w:val="14"/>
              </w:rPr>
            </w:pPr>
          </w:p>
        </w:tc>
        <w:tc>
          <w:tcPr>
            <w:tcW w:w="709" w:type="dxa"/>
            <w:tcBorders>
              <w:top w:val="single" w:sz="4" w:space="0" w:color="1F4E79" w:themeColor="accent1" w:themeShade="80"/>
              <w:bottom w:val="single" w:sz="4" w:space="0" w:color="1F4E79" w:themeColor="accent1" w:themeShade="80"/>
            </w:tcBorders>
            <w:shd w:val="clear" w:color="auto" w:fill="auto"/>
          </w:tcPr>
          <w:p w14:paraId="07DFACBC" w14:textId="77777777" w:rsidR="00613FF1" w:rsidRPr="00D311AA" w:rsidRDefault="00613FF1" w:rsidP="00835EAB">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4"/>
              </w:rPr>
            </w:pPr>
          </w:p>
        </w:tc>
        <w:tc>
          <w:tcPr>
            <w:tcW w:w="1592" w:type="dxa"/>
            <w:tcBorders>
              <w:top w:val="single" w:sz="4" w:space="0" w:color="1F4E79" w:themeColor="accent1" w:themeShade="80"/>
              <w:bottom w:val="single" w:sz="2" w:space="0" w:color="1F4E79" w:themeColor="accent1" w:themeShade="80"/>
            </w:tcBorders>
            <w:shd w:val="clear" w:color="auto" w:fill="auto"/>
          </w:tcPr>
          <w:p w14:paraId="2AF24F56" w14:textId="77777777" w:rsidR="00613FF1" w:rsidRPr="00D311AA" w:rsidRDefault="00613FF1" w:rsidP="00835EAB">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spacing w:val="-2"/>
                <w:sz w:val="14"/>
                <w:szCs w:val="14"/>
              </w:rPr>
            </w:pPr>
            <w:r>
              <w:rPr>
                <w:rFonts w:cs="Arial"/>
                <w:spacing w:val="-2"/>
                <w:sz w:val="14"/>
                <w:szCs w:val="14"/>
              </w:rPr>
              <w:t>2022</w:t>
            </w:r>
          </w:p>
        </w:tc>
        <w:tc>
          <w:tcPr>
            <w:tcW w:w="1526" w:type="dxa"/>
            <w:tcBorders>
              <w:top w:val="single" w:sz="4" w:space="0" w:color="1F4E79" w:themeColor="accent1" w:themeShade="80"/>
              <w:bottom w:val="single" w:sz="2" w:space="0" w:color="1F4E79" w:themeColor="accent1" w:themeShade="80"/>
            </w:tcBorders>
            <w:shd w:val="clear" w:color="auto" w:fill="auto"/>
          </w:tcPr>
          <w:p w14:paraId="2CDA6212" w14:textId="77777777" w:rsidR="00613FF1" w:rsidRPr="00D311AA" w:rsidRDefault="00613FF1" w:rsidP="00835EAB">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spacing w:val="-2"/>
                <w:sz w:val="14"/>
                <w:szCs w:val="14"/>
              </w:rPr>
            </w:pPr>
            <w:r>
              <w:rPr>
                <w:rFonts w:cs="Arial"/>
                <w:spacing w:val="-2"/>
                <w:sz w:val="14"/>
                <w:szCs w:val="14"/>
              </w:rPr>
              <w:t>2021</w:t>
            </w:r>
          </w:p>
        </w:tc>
      </w:tr>
      <w:tr w:rsidR="00613FF1" w:rsidRPr="00201CDF" w14:paraId="7FF8FDCE" w14:textId="77777777" w:rsidTr="003878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tcBorders>
              <w:top w:val="single" w:sz="4" w:space="0" w:color="1F4E79" w:themeColor="accent1" w:themeShade="80"/>
            </w:tcBorders>
            <w:shd w:val="clear" w:color="auto" w:fill="auto"/>
          </w:tcPr>
          <w:p w14:paraId="4D51B4CF" w14:textId="77777777" w:rsidR="00613FF1" w:rsidRPr="00201CDF" w:rsidRDefault="00613FF1" w:rsidP="00F24A70">
            <w:pPr>
              <w:pStyle w:val="08-Tabelageral"/>
              <w:jc w:val="left"/>
              <w:rPr>
                <w:rFonts w:cs="Arial"/>
                <w:bCs w:val="0"/>
                <w:szCs w:val="14"/>
              </w:rPr>
            </w:pPr>
            <w:r w:rsidRPr="00201CDF">
              <w:rPr>
                <w:rFonts w:cs="Arial"/>
                <w:bCs w:val="0"/>
                <w:szCs w:val="14"/>
              </w:rPr>
              <w:t>Short-term benefits</w:t>
            </w:r>
          </w:p>
        </w:tc>
        <w:tc>
          <w:tcPr>
            <w:tcW w:w="604" w:type="dxa"/>
            <w:tcBorders>
              <w:top w:val="single" w:sz="4" w:space="0" w:color="1F4E79" w:themeColor="accent1" w:themeShade="80"/>
            </w:tcBorders>
            <w:shd w:val="clear" w:color="auto" w:fill="auto"/>
          </w:tcPr>
          <w:p w14:paraId="52923E18" w14:textId="77777777" w:rsidR="00613FF1" w:rsidRPr="00201CDF"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single" w:sz="4" w:space="0" w:color="1F4E79" w:themeColor="accent1" w:themeShade="80"/>
            </w:tcBorders>
            <w:shd w:val="clear" w:color="auto" w:fill="auto"/>
          </w:tcPr>
          <w:p w14:paraId="4F64F0D7" w14:textId="77777777" w:rsidR="00613FF1" w:rsidRPr="00201CDF"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811" w:type="dxa"/>
            <w:tcBorders>
              <w:top w:val="single" w:sz="4" w:space="0" w:color="1F4E79" w:themeColor="accent1" w:themeShade="80"/>
            </w:tcBorders>
            <w:shd w:val="clear" w:color="auto" w:fill="auto"/>
          </w:tcPr>
          <w:p w14:paraId="6E7844F0" w14:textId="77777777" w:rsidR="00613FF1" w:rsidRPr="00201CDF"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709" w:type="dxa"/>
            <w:tcBorders>
              <w:top w:val="single" w:sz="4" w:space="0" w:color="1F4E79" w:themeColor="accent1" w:themeShade="80"/>
            </w:tcBorders>
            <w:shd w:val="clear" w:color="auto" w:fill="auto"/>
          </w:tcPr>
          <w:p w14:paraId="16F9AD6A" w14:textId="77777777" w:rsidR="00613FF1" w:rsidRPr="00201CDF"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92" w:type="dxa"/>
            <w:tcBorders>
              <w:top w:val="single" w:sz="2" w:space="0" w:color="8EAADB" w:themeColor="accent5" w:themeTint="99"/>
            </w:tcBorders>
            <w:shd w:val="clear" w:color="auto" w:fill="auto"/>
            <w:vAlign w:val="center"/>
          </w:tcPr>
          <w:p w14:paraId="037E89A9" w14:textId="77777777" w:rsidR="00613FF1" w:rsidRPr="00201CDF"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b/>
              </w:rPr>
              <w:t>7,207</w:t>
            </w:r>
          </w:p>
        </w:tc>
        <w:tc>
          <w:tcPr>
            <w:tcW w:w="1526" w:type="dxa"/>
            <w:tcBorders>
              <w:top w:val="single" w:sz="2" w:space="0" w:color="1F4E79" w:themeColor="accent1" w:themeShade="80"/>
            </w:tcBorders>
            <w:shd w:val="clear" w:color="auto" w:fill="auto"/>
            <w:vAlign w:val="center"/>
          </w:tcPr>
          <w:p w14:paraId="2873DD2E" w14:textId="77777777" w:rsidR="00613FF1" w:rsidRPr="00201CDF"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b/>
              </w:rPr>
              <w:t>6,676</w:t>
            </w:r>
          </w:p>
        </w:tc>
      </w:tr>
      <w:tr w:rsidR="00613FF1" w:rsidRPr="00201CDF" w14:paraId="5BDFCA62" w14:textId="77777777" w:rsidTr="003878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0E2DCEB6" w14:textId="77777777" w:rsidR="00613FF1" w:rsidRPr="00201CDF" w:rsidRDefault="00613FF1" w:rsidP="00F24A70">
            <w:pPr>
              <w:pStyle w:val="08-Tabelageral"/>
              <w:jc w:val="left"/>
              <w:rPr>
                <w:rFonts w:cs="Arial"/>
                <w:bCs w:val="0"/>
                <w:szCs w:val="14"/>
              </w:rPr>
            </w:pPr>
            <w:r w:rsidRPr="00201CDF">
              <w:rPr>
                <w:rFonts w:cs="Arial"/>
                <w:bCs w:val="0"/>
                <w:szCs w:val="14"/>
              </w:rPr>
              <w:t xml:space="preserve">  Fees and social charges</w:t>
            </w:r>
          </w:p>
        </w:tc>
        <w:tc>
          <w:tcPr>
            <w:tcW w:w="604" w:type="dxa"/>
            <w:shd w:val="clear" w:color="auto" w:fill="auto"/>
          </w:tcPr>
          <w:p w14:paraId="0E5FCDCC" w14:textId="77777777" w:rsidR="00613FF1" w:rsidRPr="00201CDF"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shd w:val="clear" w:color="auto" w:fill="auto"/>
          </w:tcPr>
          <w:p w14:paraId="0C66CEFF" w14:textId="77777777" w:rsidR="00613FF1" w:rsidRPr="00201CDF"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811" w:type="dxa"/>
            <w:shd w:val="clear" w:color="auto" w:fill="auto"/>
          </w:tcPr>
          <w:p w14:paraId="5F1FD5D7" w14:textId="77777777" w:rsidR="00613FF1" w:rsidRPr="00201CDF"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709" w:type="dxa"/>
            <w:shd w:val="clear" w:color="auto" w:fill="auto"/>
          </w:tcPr>
          <w:p w14:paraId="635B84B3" w14:textId="77777777" w:rsidR="00613FF1" w:rsidRPr="00201CDF"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92" w:type="dxa"/>
            <w:shd w:val="clear" w:color="auto" w:fill="auto"/>
            <w:vAlign w:val="center"/>
          </w:tcPr>
          <w:p w14:paraId="48FEC0EF" w14:textId="77777777" w:rsidR="00613FF1" w:rsidRPr="00201CDF"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F2574">
              <w:rPr>
                <w:b/>
              </w:rPr>
              <w:t>5</w:t>
            </w:r>
            <w:r>
              <w:rPr>
                <w:b/>
              </w:rPr>
              <w:t>,</w:t>
            </w:r>
            <w:r w:rsidRPr="002F2574">
              <w:rPr>
                <w:b/>
              </w:rPr>
              <w:t>952</w:t>
            </w:r>
          </w:p>
        </w:tc>
        <w:tc>
          <w:tcPr>
            <w:tcW w:w="1526" w:type="dxa"/>
            <w:shd w:val="clear" w:color="auto" w:fill="auto"/>
            <w:vAlign w:val="center"/>
          </w:tcPr>
          <w:p w14:paraId="703C7EF7" w14:textId="77777777" w:rsidR="00613FF1" w:rsidRPr="00201CDF"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b/>
              </w:rPr>
              <w:t>5,345</w:t>
            </w:r>
          </w:p>
        </w:tc>
      </w:tr>
      <w:tr w:rsidR="00613FF1" w:rsidRPr="00D311AA" w14:paraId="78C7C534" w14:textId="77777777" w:rsidTr="003878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3363E6CC" w14:textId="77777777" w:rsidR="00613FF1" w:rsidRPr="00D311AA" w:rsidRDefault="00613FF1" w:rsidP="00F24A70">
            <w:pPr>
              <w:pStyle w:val="08-Tabelageral"/>
              <w:jc w:val="left"/>
              <w:rPr>
                <w:rFonts w:cs="Arial"/>
                <w:b w:val="0"/>
                <w:szCs w:val="14"/>
              </w:rPr>
            </w:pPr>
            <w:r w:rsidRPr="00D311AA">
              <w:rPr>
                <w:rFonts w:cs="Arial"/>
                <w:b w:val="0"/>
                <w:szCs w:val="14"/>
              </w:rPr>
              <w:t xml:space="preserve">    Executive Board</w:t>
            </w:r>
          </w:p>
        </w:tc>
        <w:tc>
          <w:tcPr>
            <w:tcW w:w="604" w:type="dxa"/>
            <w:shd w:val="clear" w:color="auto" w:fill="auto"/>
          </w:tcPr>
          <w:p w14:paraId="1A99E7BE"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shd w:val="clear" w:color="auto" w:fill="auto"/>
          </w:tcPr>
          <w:p w14:paraId="1D5C3061"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811" w:type="dxa"/>
            <w:shd w:val="clear" w:color="auto" w:fill="auto"/>
          </w:tcPr>
          <w:p w14:paraId="74B8B03C"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709" w:type="dxa"/>
            <w:shd w:val="clear" w:color="auto" w:fill="auto"/>
          </w:tcPr>
          <w:p w14:paraId="6C4DD412"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2" w:type="dxa"/>
            <w:shd w:val="clear" w:color="auto" w:fill="auto"/>
            <w:vAlign w:val="center"/>
          </w:tcPr>
          <w:p w14:paraId="00CDB47F"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F2574">
              <w:t>4</w:t>
            </w:r>
            <w:r>
              <w:t>,</w:t>
            </w:r>
            <w:r w:rsidRPr="002F2574">
              <w:t>183</w:t>
            </w:r>
          </w:p>
        </w:tc>
        <w:tc>
          <w:tcPr>
            <w:tcW w:w="1526" w:type="dxa"/>
            <w:shd w:val="clear" w:color="auto" w:fill="auto"/>
            <w:vAlign w:val="center"/>
          </w:tcPr>
          <w:p w14:paraId="6E922CA6"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bCs/>
              </w:rPr>
              <w:t>3,920</w:t>
            </w:r>
          </w:p>
        </w:tc>
      </w:tr>
      <w:tr w:rsidR="00613FF1" w:rsidRPr="00D311AA" w14:paraId="2E2FC936" w14:textId="77777777" w:rsidTr="003878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22E54CA9" w14:textId="77777777" w:rsidR="00613FF1" w:rsidRPr="00D311AA" w:rsidRDefault="00613FF1" w:rsidP="00F24A70">
            <w:pPr>
              <w:pStyle w:val="08-Tabelageral"/>
              <w:jc w:val="left"/>
              <w:rPr>
                <w:rFonts w:cs="Arial"/>
                <w:b w:val="0"/>
                <w:szCs w:val="14"/>
              </w:rPr>
            </w:pPr>
            <w:r w:rsidRPr="00D311AA">
              <w:rPr>
                <w:rFonts w:cs="Arial"/>
                <w:b w:val="0"/>
                <w:szCs w:val="14"/>
              </w:rPr>
              <w:t xml:space="preserve">    Audit Committee</w:t>
            </w:r>
          </w:p>
        </w:tc>
        <w:tc>
          <w:tcPr>
            <w:tcW w:w="604" w:type="dxa"/>
            <w:shd w:val="clear" w:color="auto" w:fill="auto"/>
          </w:tcPr>
          <w:p w14:paraId="51BAB11B"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shd w:val="clear" w:color="auto" w:fill="auto"/>
          </w:tcPr>
          <w:p w14:paraId="02293E1E"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811" w:type="dxa"/>
            <w:shd w:val="clear" w:color="auto" w:fill="auto"/>
          </w:tcPr>
          <w:p w14:paraId="0340A832"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709" w:type="dxa"/>
            <w:shd w:val="clear" w:color="auto" w:fill="auto"/>
          </w:tcPr>
          <w:p w14:paraId="6281287B"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92" w:type="dxa"/>
            <w:shd w:val="clear" w:color="auto" w:fill="auto"/>
            <w:vAlign w:val="center"/>
          </w:tcPr>
          <w:p w14:paraId="0FFAEEDE"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F2574">
              <w:t>724</w:t>
            </w:r>
          </w:p>
        </w:tc>
        <w:tc>
          <w:tcPr>
            <w:tcW w:w="1526" w:type="dxa"/>
            <w:shd w:val="clear" w:color="auto" w:fill="auto"/>
            <w:vAlign w:val="center"/>
          </w:tcPr>
          <w:p w14:paraId="28AA73F8"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bCs/>
              </w:rPr>
              <w:t>725</w:t>
            </w:r>
          </w:p>
        </w:tc>
      </w:tr>
      <w:tr w:rsidR="00613FF1" w:rsidRPr="00D311AA" w14:paraId="2BDDED33" w14:textId="77777777" w:rsidTr="003878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7A46E778" w14:textId="77777777" w:rsidR="00613FF1" w:rsidRPr="00D311AA" w:rsidRDefault="00613FF1" w:rsidP="00F24A70">
            <w:pPr>
              <w:pStyle w:val="08-Tabelageral"/>
              <w:jc w:val="left"/>
              <w:rPr>
                <w:rFonts w:cs="Arial"/>
                <w:b w:val="0"/>
                <w:szCs w:val="14"/>
              </w:rPr>
            </w:pPr>
            <w:r w:rsidRPr="00D311AA">
              <w:rPr>
                <w:rFonts w:cs="Arial"/>
                <w:b w:val="0"/>
                <w:szCs w:val="14"/>
              </w:rPr>
              <w:t xml:space="preserve">    </w:t>
            </w:r>
            <w:bookmarkStart w:id="66" w:name="_Hlk109748176"/>
            <w:r w:rsidRPr="00D311AA">
              <w:rPr>
                <w:rFonts w:cs="Arial"/>
                <w:b w:val="0"/>
                <w:szCs w:val="14"/>
              </w:rPr>
              <w:t>Board of Directors</w:t>
            </w:r>
            <w:bookmarkEnd w:id="66"/>
          </w:p>
        </w:tc>
        <w:tc>
          <w:tcPr>
            <w:tcW w:w="604" w:type="dxa"/>
            <w:shd w:val="clear" w:color="auto" w:fill="auto"/>
          </w:tcPr>
          <w:p w14:paraId="0D2AD20B"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shd w:val="clear" w:color="auto" w:fill="auto"/>
          </w:tcPr>
          <w:p w14:paraId="3EC8B5C1"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811" w:type="dxa"/>
            <w:shd w:val="clear" w:color="auto" w:fill="auto"/>
          </w:tcPr>
          <w:p w14:paraId="34F18B13"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709" w:type="dxa"/>
            <w:shd w:val="clear" w:color="auto" w:fill="auto"/>
          </w:tcPr>
          <w:p w14:paraId="31712933"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2" w:type="dxa"/>
            <w:shd w:val="clear" w:color="auto" w:fill="auto"/>
            <w:vAlign w:val="center"/>
          </w:tcPr>
          <w:p w14:paraId="5D466670"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2F2574">
              <w:t>334</w:t>
            </w:r>
          </w:p>
        </w:tc>
        <w:tc>
          <w:tcPr>
            <w:tcW w:w="1526" w:type="dxa"/>
            <w:shd w:val="clear" w:color="auto" w:fill="auto"/>
            <w:vAlign w:val="center"/>
          </w:tcPr>
          <w:p w14:paraId="70D4B984"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bCs/>
              </w:rPr>
              <w:t>300</w:t>
            </w:r>
          </w:p>
        </w:tc>
      </w:tr>
      <w:tr w:rsidR="00613FF1" w:rsidRPr="00D311AA" w14:paraId="0EC9674E" w14:textId="77777777" w:rsidTr="003878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7BE174E5" w14:textId="77777777" w:rsidR="00613FF1" w:rsidRPr="00D311AA" w:rsidRDefault="00613FF1" w:rsidP="00F24A70">
            <w:pPr>
              <w:pStyle w:val="08-Tabelageral"/>
              <w:jc w:val="left"/>
              <w:rPr>
                <w:rFonts w:cs="Arial"/>
                <w:b w:val="0"/>
                <w:szCs w:val="14"/>
              </w:rPr>
            </w:pPr>
            <w:r w:rsidRPr="00D311AA">
              <w:rPr>
                <w:rFonts w:cs="Arial"/>
                <w:b w:val="0"/>
                <w:szCs w:val="14"/>
              </w:rPr>
              <w:t xml:space="preserve">    Fiscal Council</w:t>
            </w:r>
          </w:p>
        </w:tc>
        <w:tc>
          <w:tcPr>
            <w:tcW w:w="604" w:type="dxa"/>
            <w:shd w:val="clear" w:color="auto" w:fill="auto"/>
          </w:tcPr>
          <w:p w14:paraId="134E7E50"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shd w:val="clear" w:color="auto" w:fill="auto"/>
          </w:tcPr>
          <w:p w14:paraId="45508620"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811" w:type="dxa"/>
            <w:shd w:val="clear" w:color="auto" w:fill="auto"/>
          </w:tcPr>
          <w:p w14:paraId="3D3642E8"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709" w:type="dxa"/>
            <w:shd w:val="clear" w:color="auto" w:fill="auto"/>
          </w:tcPr>
          <w:p w14:paraId="65B18A7B"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592" w:type="dxa"/>
            <w:shd w:val="clear" w:color="auto" w:fill="auto"/>
            <w:vAlign w:val="center"/>
          </w:tcPr>
          <w:p w14:paraId="671A8678"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2F2574">
              <w:t>263</w:t>
            </w:r>
          </w:p>
        </w:tc>
        <w:tc>
          <w:tcPr>
            <w:tcW w:w="1526" w:type="dxa"/>
            <w:shd w:val="clear" w:color="auto" w:fill="auto"/>
            <w:vAlign w:val="center"/>
          </w:tcPr>
          <w:p w14:paraId="7FA5981C" w14:textId="77777777" w:rsidR="00613FF1" w:rsidRPr="00D311AA"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bCs/>
              </w:rPr>
              <w:t>255</w:t>
            </w:r>
          </w:p>
        </w:tc>
      </w:tr>
      <w:tr w:rsidR="00613FF1" w:rsidRPr="00D311AA" w14:paraId="771636EE" w14:textId="77777777" w:rsidTr="003A354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5F8CDBFF" w14:textId="77777777" w:rsidR="00613FF1" w:rsidRPr="00D311AA" w:rsidRDefault="00613FF1" w:rsidP="00F24A70">
            <w:pPr>
              <w:pStyle w:val="08-Tabelageral"/>
              <w:jc w:val="left"/>
              <w:rPr>
                <w:rFonts w:cs="Arial"/>
                <w:szCs w:val="14"/>
              </w:rPr>
            </w:pPr>
            <w:r w:rsidRPr="00D311AA">
              <w:rPr>
                <w:rFonts w:cs="Arial"/>
                <w:b w:val="0"/>
                <w:szCs w:val="14"/>
              </w:rPr>
              <w:t xml:space="preserve"> </w:t>
            </w:r>
            <w:r w:rsidRPr="00D311AA">
              <w:rPr>
                <w:rFonts w:cs="Arial"/>
                <w:szCs w:val="14"/>
              </w:rPr>
              <w:t xml:space="preserve">   </w:t>
            </w:r>
            <w:r w:rsidRPr="00D311AA">
              <w:rPr>
                <w:rFonts w:cs="Arial"/>
                <w:b w:val="0"/>
                <w:szCs w:val="14"/>
              </w:rPr>
              <w:t>Party Transactions Committee</w:t>
            </w:r>
            <w:r>
              <w:rPr>
                <w:rFonts w:cs="Arial"/>
                <w:b w:val="0"/>
                <w:szCs w:val="14"/>
              </w:rPr>
              <w:t xml:space="preserve"> </w:t>
            </w:r>
          </w:p>
        </w:tc>
        <w:tc>
          <w:tcPr>
            <w:tcW w:w="604" w:type="dxa"/>
            <w:shd w:val="clear" w:color="auto" w:fill="auto"/>
          </w:tcPr>
          <w:p w14:paraId="39E0BC79"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shd w:val="clear" w:color="auto" w:fill="auto"/>
          </w:tcPr>
          <w:p w14:paraId="7DAB4AF1"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811" w:type="dxa"/>
            <w:shd w:val="clear" w:color="auto" w:fill="auto"/>
          </w:tcPr>
          <w:p w14:paraId="2F66E95A"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709" w:type="dxa"/>
            <w:shd w:val="clear" w:color="auto" w:fill="auto"/>
          </w:tcPr>
          <w:p w14:paraId="1A12E775"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592" w:type="dxa"/>
            <w:shd w:val="clear" w:color="auto" w:fill="auto"/>
          </w:tcPr>
          <w:p w14:paraId="62462B19"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b/>
                <w:bCs/>
              </w:rPr>
            </w:pPr>
            <w:r w:rsidRPr="002F2574">
              <w:rPr>
                <w:rFonts w:cs="Arial"/>
                <w:szCs w:val="14"/>
              </w:rPr>
              <w:t>145</w:t>
            </w:r>
          </w:p>
        </w:tc>
        <w:tc>
          <w:tcPr>
            <w:tcW w:w="1526" w:type="dxa"/>
            <w:shd w:val="clear" w:color="auto" w:fill="auto"/>
          </w:tcPr>
          <w:p w14:paraId="38F055BE" w14:textId="77777777" w:rsidR="00613FF1" w:rsidRPr="00D311AA"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b/>
                <w:bCs/>
              </w:rPr>
            </w:pPr>
            <w:r>
              <w:rPr>
                <w:bCs/>
              </w:rPr>
              <w:t>145</w:t>
            </w:r>
          </w:p>
        </w:tc>
      </w:tr>
      <w:tr w:rsidR="00613FF1" w:rsidRPr="00E32A3E" w14:paraId="3B8E6847" w14:textId="77777777" w:rsidTr="003878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2A4651A8" w14:textId="77777777" w:rsidR="00613FF1" w:rsidRPr="009A329F" w:rsidRDefault="00613FF1" w:rsidP="00F24A70">
            <w:pPr>
              <w:pStyle w:val="08-Tabelageral"/>
              <w:jc w:val="left"/>
              <w:rPr>
                <w:rFonts w:cs="Arial"/>
                <w:b w:val="0"/>
                <w:bCs w:val="0"/>
                <w:szCs w:val="14"/>
              </w:rPr>
            </w:pPr>
            <w:r>
              <w:rPr>
                <w:rFonts w:cs="Arial"/>
                <w:szCs w:val="14"/>
              </w:rPr>
              <w:t xml:space="preserve">    </w:t>
            </w:r>
            <w:r w:rsidRPr="009A329F">
              <w:rPr>
                <w:rFonts w:cs="Arial"/>
                <w:b w:val="0"/>
                <w:bCs w:val="0"/>
                <w:szCs w:val="14"/>
              </w:rPr>
              <w:t>Risks and capital Committee</w:t>
            </w:r>
            <w:r>
              <w:rPr>
                <w:rFonts w:cs="Arial"/>
                <w:b w:val="0"/>
                <w:bCs w:val="0"/>
                <w:szCs w:val="14"/>
              </w:rPr>
              <w:t xml:space="preserve"> </w:t>
            </w:r>
            <w:r w:rsidRPr="00F24A70">
              <w:rPr>
                <w:rFonts w:cs="Arial"/>
                <w:b w:val="0"/>
                <w:szCs w:val="14"/>
                <w:vertAlign w:val="superscript"/>
              </w:rPr>
              <w:t>(1)</w:t>
            </w:r>
          </w:p>
        </w:tc>
        <w:tc>
          <w:tcPr>
            <w:tcW w:w="604" w:type="dxa"/>
            <w:shd w:val="clear" w:color="auto" w:fill="auto"/>
          </w:tcPr>
          <w:p w14:paraId="66B763FC"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shd w:val="clear" w:color="auto" w:fill="auto"/>
          </w:tcPr>
          <w:p w14:paraId="24839F1A"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811" w:type="dxa"/>
            <w:shd w:val="clear" w:color="auto" w:fill="auto"/>
          </w:tcPr>
          <w:p w14:paraId="687B7924"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709" w:type="dxa"/>
            <w:shd w:val="clear" w:color="auto" w:fill="auto"/>
          </w:tcPr>
          <w:p w14:paraId="63E34BF8"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92" w:type="dxa"/>
            <w:shd w:val="clear" w:color="auto" w:fill="auto"/>
          </w:tcPr>
          <w:p w14:paraId="21E64688"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b/>
              </w:rPr>
            </w:pPr>
            <w:r w:rsidRPr="002F2574">
              <w:rPr>
                <w:rFonts w:cs="Arial"/>
                <w:szCs w:val="14"/>
              </w:rPr>
              <w:t>303</w:t>
            </w:r>
          </w:p>
        </w:tc>
        <w:tc>
          <w:tcPr>
            <w:tcW w:w="1526" w:type="dxa"/>
            <w:shd w:val="clear" w:color="auto" w:fill="auto"/>
          </w:tcPr>
          <w:p w14:paraId="1A2C964B"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b/>
              </w:rPr>
            </w:pPr>
            <w:r>
              <w:rPr>
                <w:rFonts w:cs="Arial"/>
                <w:bCs/>
                <w:szCs w:val="14"/>
              </w:rPr>
              <w:t>--</w:t>
            </w:r>
          </w:p>
        </w:tc>
      </w:tr>
      <w:tr w:rsidR="00613FF1" w:rsidRPr="00E32A3E" w14:paraId="536811E6" w14:textId="77777777" w:rsidTr="003878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61434C00" w14:textId="77777777" w:rsidR="00613FF1" w:rsidRPr="00E32A3E" w:rsidRDefault="00613FF1" w:rsidP="00F24A70">
            <w:pPr>
              <w:pStyle w:val="08-Tabelageral"/>
              <w:jc w:val="left"/>
              <w:rPr>
                <w:rFonts w:cs="Arial"/>
                <w:bCs w:val="0"/>
                <w:szCs w:val="14"/>
              </w:rPr>
            </w:pPr>
            <w:r w:rsidRPr="00E32A3E">
              <w:rPr>
                <w:rFonts w:cs="Arial"/>
                <w:bCs w:val="0"/>
                <w:szCs w:val="14"/>
              </w:rPr>
              <w:t xml:space="preserve">   Variable Remuneration </w:t>
            </w:r>
            <w:r w:rsidRPr="00E32A3E">
              <w:rPr>
                <w:rFonts w:cs="Arial"/>
                <w:bCs w:val="0"/>
                <w:szCs w:val="14"/>
                <w:vertAlign w:val="superscript"/>
              </w:rPr>
              <w:t>(</w:t>
            </w:r>
            <w:r>
              <w:rPr>
                <w:rFonts w:cs="Arial"/>
                <w:bCs w:val="0"/>
                <w:szCs w:val="14"/>
                <w:vertAlign w:val="superscript"/>
              </w:rPr>
              <w:t>2</w:t>
            </w:r>
            <w:r w:rsidRPr="00E32A3E">
              <w:rPr>
                <w:rFonts w:cs="Arial"/>
                <w:bCs w:val="0"/>
                <w:szCs w:val="14"/>
                <w:vertAlign w:val="superscript"/>
              </w:rPr>
              <w:t>)</w:t>
            </w:r>
          </w:p>
        </w:tc>
        <w:tc>
          <w:tcPr>
            <w:tcW w:w="604" w:type="dxa"/>
            <w:shd w:val="clear" w:color="auto" w:fill="auto"/>
          </w:tcPr>
          <w:p w14:paraId="6DC77E87"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shd w:val="clear" w:color="auto" w:fill="auto"/>
          </w:tcPr>
          <w:p w14:paraId="194DFBC7"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811" w:type="dxa"/>
            <w:shd w:val="clear" w:color="auto" w:fill="auto"/>
          </w:tcPr>
          <w:p w14:paraId="5FC0C926"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709" w:type="dxa"/>
            <w:shd w:val="clear" w:color="auto" w:fill="auto"/>
          </w:tcPr>
          <w:p w14:paraId="01F19811"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92" w:type="dxa"/>
            <w:shd w:val="clear" w:color="auto" w:fill="auto"/>
          </w:tcPr>
          <w:p w14:paraId="2C636ED0"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F2574">
              <w:rPr>
                <w:b/>
              </w:rPr>
              <w:t>643</w:t>
            </w:r>
          </w:p>
        </w:tc>
        <w:tc>
          <w:tcPr>
            <w:tcW w:w="1526" w:type="dxa"/>
            <w:shd w:val="clear" w:color="auto" w:fill="auto"/>
          </w:tcPr>
          <w:p w14:paraId="7D9EE299"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b/>
              </w:rPr>
              <w:t>811</w:t>
            </w:r>
          </w:p>
        </w:tc>
      </w:tr>
      <w:tr w:rsidR="00613FF1" w:rsidRPr="00E32A3E" w14:paraId="2406CA64" w14:textId="77777777" w:rsidTr="003878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shd w:val="clear" w:color="auto" w:fill="auto"/>
          </w:tcPr>
          <w:p w14:paraId="5A838A62" w14:textId="77777777" w:rsidR="00613FF1" w:rsidRPr="00E32A3E" w:rsidRDefault="00613FF1" w:rsidP="00F24A70">
            <w:pPr>
              <w:pStyle w:val="08-Tabelageral"/>
              <w:jc w:val="left"/>
              <w:rPr>
                <w:rFonts w:cs="Arial"/>
                <w:bCs w:val="0"/>
                <w:szCs w:val="14"/>
              </w:rPr>
            </w:pPr>
            <w:r w:rsidRPr="00E32A3E">
              <w:rPr>
                <w:rFonts w:cs="Arial"/>
                <w:bCs w:val="0"/>
                <w:szCs w:val="14"/>
              </w:rPr>
              <w:t xml:space="preserve">  Other </w:t>
            </w:r>
            <w:r w:rsidRPr="00E32A3E">
              <w:rPr>
                <w:rFonts w:cs="Arial"/>
                <w:bCs w:val="0"/>
                <w:szCs w:val="14"/>
                <w:vertAlign w:val="superscript"/>
              </w:rPr>
              <w:t>(</w:t>
            </w:r>
            <w:r>
              <w:rPr>
                <w:rFonts w:cs="Arial"/>
                <w:bCs w:val="0"/>
                <w:szCs w:val="14"/>
                <w:vertAlign w:val="superscript"/>
              </w:rPr>
              <w:t>3</w:t>
            </w:r>
            <w:r w:rsidRPr="00E32A3E">
              <w:rPr>
                <w:rFonts w:cs="Arial"/>
                <w:bCs w:val="0"/>
                <w:szCs w:val="14"/>
                <w:vertAlign w:val="superscript"/>
              </w:rPr>
              <w:t>)</w:t>
            </w:r>
          </w:p>
        </w:tc>
        <w:tc>
          <w:tcPr>
            <w:tcW w:w="604" w:type="dxa"/>
            <w:shd w:val="clear" w:color="auto" w:fill="auto"/>
          </w:tcPr>
          <w:p w14:paraId="0360A5AD"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shd w:val="clear" w:color="auto" w:fill="auto"/>
          </w:tcPr>
          <w:p w14:paraId="2DC089AF"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811" w:type="dxa"/>
            <w:shd w:val="clear" w:color="auto" w:fill="auto"/>
          </w:tcPr>
          <w:p w14:paraId="4E6EBC04"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709" w:type="dxa"/>
            <w:shd w:val="clear" w:color="auto" w:fill="auto"/>
          </w:tcPr>
          <w:p w14:paraId="092FBD33"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92" w:type="dxa"/>
            <w:shd w:val="clear" w:color="auto" w:fill="auto"/>
          </w:tcPr>
          <w:p w14:paraId="0779F58B"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F2574">
              <w:rPr>
                <w:b/>
              </w:rPr>
              <w:t>612</w:t>
            </w:r>
          </w:p>
        </w:tc>
        <w:tc>
          <w:tcPr>
            <w:tcW w:w="1526" w:type="dxa"/>
            <w:shd w:val="clear" w:color="auto" w:fill="auto"/>
          </w:tcPr>
          <w:p w14:paraId="6CCD88D2"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b/>
              </w:rPr>
              <w:t>520</w:t>
            </w:r>
          </w:p>
        </w:tc>
      </w:tr>
      <w:tr w:rsidR="00613FF1" w:rsidRPr="00E32A3E" w14:paraId="1E897562" w14:textId="77777777" w:rsidTr="003878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tcBorders>
              <w:bottom w:val="nil"/>
            </w:tcBorders>
            <w:shd w:val="clear" w:color="auto" w:fill="auto"/>
          </w:tcPr>
          <w:p w14:paraId="338F1999" w14:textId="77777777" w:rsidR="00613FF1" w:rsidRPr="00E32A3E" w:rsidRDefault="00613FF1" w:rsidP="00F24A70">
            <w:pPr>
              <w:pStyle w:val="08-Tabelageral"/>
              <w:jc w:val="left"/>
              <w:rPr>
                <w:rFonts w:cs="Arial"/>
                <w:bCs w:val="0"/>
                <w:szCs w:val="14"/>
              </w:rPr>
            </w:pPr>
            <w:r w:rsidRPr="00E32A3E">
              <w:rPr>
                <w:rFonts w:cs="Arial"/>
                <w:bCs w:val="0"/>
                <w:szCs w:val="14"/>
              </w:rPr>
              <w:t xml:space="preserve">Variable Wage Program </w:t>
            </w:r>
            <w:r w:rsidRPr="00E32A3E">
              <w:rPr>
                <w:rFonts w:cs="Arial"/>
                <w:bCs w:val="0"/>
                <w:szCs w:val="14"/>
                <w:vertAlign w:val="superscript"/>
              </w:rPr>
              <w:t>(</w:t>
            </w:r>
            <w:r>
              <w:rPr>
                <w:rFonts w:cs="Arial"/>
                <w:bCs w:val="0"/>
                <w:szCs w:val="14"/>
                <w:vertAlign w:val="superscript"/>
              </w:rPr>
              <w:t>4</w:t>
            </w:r>
            <w:r w:rsidRPr="00E32A3E">
              <w:rPr>
                <w:rFonts w:cs="Arial"/>
                <w:bCs w:val="0"/>
                <w:szCs w:val="14"/>
                <w:vertAlign w:val="superscript"/>
              </w:rPr>
              <w:t>)</w:t>
            </w:r>
          </w:p>
        </w:tc>
        <w:tc>
          <w:tcPr>
            <w:tcW w:w="604" w:type="dxa"/>
            <w:tcBorders>
              <w:bottom w:val="nil"/>
            </w:tcBorders>
            <w:shd w:val="clear" w:color="auto" w:fill="auto"/>
          </w:tcPr>
          <w:p w14:paraId="13D5D010"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bottom w:val="nil"/>
            </w:tcBorders>
            <w:shd w:val="clear" w:color="auto" w:fill="auto"/>
          </w:tcPr>
          <w:p w14:paraId="0C9BA240"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811" w:type="dxa"/>
            <w:tcBorders>
              <w:bottom w:val="nil"/>
            </w:tcBorders>
            <w:shd w:val="clear" w:color="auto" w:fill="auto"/>
          </w:tcPr>
          <w:p w14:paraId="49AC19B6"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709" w:type="dxa"/>
            <w:tcBorders>
              <w:bottom w:val="nil"/>
            </w:tcBorders>
            <w:shd w:val="clear" w:color="auto" w:fill="auto"/>
          </w:tcPr>
          <w:p w14:paraId="6A633840"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92" w:type="dxa"/>
            <w:tcBorders>
              <w:bottom w:val="nil"/>
            </w:tcBorders>
            <w:shd w:val="clear" w:color="auto" w:fill="auto"/>
          </w:tcPr>
          <w:p w14:paraId="7B71E6FB"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F2574">
              <w:rPr>
                <w:b/>
              </w:rPr>
              <w:t>658</w:t>
            </w:r>
          </w:p>
        </w:tc>
        <w:tc>
          <w:tcPr>
            <w:tcW w:w="1526" w:type="dxa"/>
            <w:tcBorders>
              <w:bottom w:val="nil"/>
            </w:tcBorders>
            <w:shd w:val="clear" w:color="auto" w:fill="auto"/>
          </w:tcPr>
          <w:p w14:paraId="5BB7356D" w14:textId="77777777" w:rsidR="00613FF1" w:rsidRPr="00E32A3E" w:rsidRDefault="00613FF1" w:rsidP="00F24A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b/>
              </w:rPr>
              <w:t>741</w:t>
            </w:r>
          </w:p>
        </w:tc>
      </w:tr>
      <w:tr w:rsidR="00613FF1" w:rsidRPr="00E32A3E" w14:paraId="083C3986" w14:textId="77777777" w:rsidTr="003878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1F4E79" w:themeColor="accent1" w:themeShade="80"/>
            </w:tcBorders>
            <w:shd w:val="clear" w:color="auto" w:fill="auto"/>
          </w:tcPr>
          <w:p w14:paraId="1A6901D4" w14:textId="77777777" w:rsidR="00613FF1" w:rsidRPr="00E32A3E" w:rsidRDefault="00613FF1" w:rsidP="00F24A70">
            <w:pPr>
              <w:pStyle w:val="08-Tabelageral"/>
              <w:jc w:val="left"/>
              <w:rPr>
                <w:rFonts w:cs="Arial"/>
                <w:bCs w:val="0"/>
                <w:szCs w:val="14"/>
              </w:rPr>
            </w:pPr>
            <w:r w:rsidRPr="00E32A3E">
              <w:rPr>
                <w:rFonts w:cs="Arial"/>
                <w:bCs w:val="0"/>
                <w:szCs w:val="14"/>
              </w:rPr>
              <w:t>Total</w:t>
            </w:r>
          </w:p>
        </w:tc>
        <w:tc>
          <w:tcPr>
            <w:tcW w:w="604" w:type="dxa"/>
            <w:tcBorders>
              <w:top w:val="nil"/>
              <w:bottom w:val="single" w:sz="2" w:space="0" w:color="1F4E79" w:themeColor="accent1" w:themeShade="80"/>
            </w:tcBorders>
            <w:shd w:val="clear" w:color="auto" w:fill="auto"/>
          </w:tcPr>
          <w:p w14:paraId="4977D198"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single" w:sz="2" w:space="0" w:color="1F4E79" w:themeColor="accent1" w:themeShade="80"/>
            </w:tcBorders>
            <w:shd w:val="clear" w:color="auto" w:fill="auto"/>
          </w:tcPr>
          <w:p w14:paraId="14B09B2C"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811" w:type="dxa"/>
            <w:tcBorders>
              <w:top w:val="nil"/>
              <w:bottom w:val="single" w:sz="2" w:space="0" w:color="1F4E79" w:themeColor="accent1" w:themeShade="80"/>
            </w:tcBorders>
            <w:shd w:val="clear" w:color="auto" w:fill="auto"/>
          </w:tcPr>
          <w:p w14:paraId="563DB07D"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709" w:type="dxa"/>
            <w:tcBorders>
              <w:top w:val="nil"/>
              <w:bottom w:val="single" w:sz="2" w:space="0" w:color="1F4E79" w:themeColor="accent1" w:themeShade="80"/>
            </w:tcBorders>
            <w:shd w:val="clear" w:color="auto" w:fill="auto"/>
          </w:tcPr>
          <w:p w14:paraId="17A88C85"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92" w:type="dxa"/>
            <w:tcBorders>
              <w:top w:val="nil"/>
              <w:bottom w:val="single" w:sz="4" w:space="0" w:color="1F4E79" w:themeColor="accent1" w:themeShade="80"/>
            </w:tcBorders>
            <w:shd w:val="clear" w:color="auto" w:fill="auto"/>
          </w:tcPr>
          <w:p w14:paraId="38238D61"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2F2574">
              <w:rPr>
                <w:b/>
              </w:rPr>
              <w:t>7</w:t>
            </w:r>
            <w:r>
              <w:rPr>
                <w:b/>
              </w:rPr>
              <w:t>,865</w:t>
            </w:r>
          </w:p>
        </w:tc>
        <w:tc>
          <w:tcPr>
            <w:tcW w:w="1526" w:type="dxa"/>
            <w:tcBorders>
              <w:top w:val="nil"/>
              <w:bottom w:val="single" w:sz="4" w:space="0" w:color="1F4E79" w:themeColor="accent1" w:themeShade="80"/>
            </w:tcBorders>
            <w:shd w:val="clear" w:color="auto" w:fill="auto"/>
          </w:tcPr>
          <w:p w14:paraId="46F38B85" w14:textId="77777777" w:rsidR="00613FF1" w:rsidRPr="00E32A3E" w:rsidRDefault="00613FF1" w:rsidP="00F24A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b/>
              </w:rPr>
              <w:t>7,417</w:t>
            </w:r>
          </w:p>
        </w:tc>
      </w:tr>
    </w:tbl>
    <w:p w14:paraId="097772BE" w14:textId="77777777" w:rsidR="00613FF1" w:rsidRPr="00613FF1" w:rsidRDefault="00613FF1" w:rsidP="00613FF1">
      <w:pPr>
        <w:pStyle w:val="07-Legenda"/>
        <w:numPr>
          <w:ilvl w:val="0"/>
          <w:numId w:val="27"/>
        </w:numPr>
        <w:spacing w:before="0"/>
        <w:ind w:left="284" w:hanging="284"/>
        <w:rPr>
          <w:rStyle w:val="tlid-translation"/>
          <w:lang w:val="en-US"/>
        </w:rPr>
      </w:pPr>
      <w:r w:rsidRPr="00613FF1">
        <w:rPr>
          <w:rStyle w:val="tlid-translation"/>
          <w:lang w:val="en-US"/>
        </w:rPr>
        <w:t>Committee established in April 20, 2022, according to the meeting of Board of Directors.</w:t>
      </w:r>
    </w:p>
    <w:p w14:paraId="4679AB2E" w14:textId="77777777" w:rsidR="00613FF1" w:rsidRPr="001D35EB" w:rsidRDefault="00613FF1" w:rsidP="00613FF1">
      <w:pPr>
        <w:pStyle w:val="07-Legenda"/>
        <w:numPr>
          <w:ilvl w:val="0"/>
          <w:numId w:val="27"/>
        </w:numPr>
        <w:spacing w:before="0"/>
        <w:ind w:left="284" w:hanging="284"/>
        <w:rPr>
          <w:rStyle w:val="tlid-translation"/>
          <w:lang w:val="en"/>
        </w:rPr>
      </w:pPr>
      <w:r w:rsidRPr="00D311AA">
        <w:rPr>
          <w:rStyle w:val="tlid-translation"/>
          <w:lang w:val="en"/>
        </w:rPr>
        <w:t>Refers to the amount payment cash Variable Compensation Program for Directors, of the 202</w:t>
      </w:r>
      <w:r>
        <w:rPr>
          <w:rStyle w:val="tlid-translation"/>
          <w:lang w:val="en"/>
        </w:rPr>
        <w:t>1</w:t>
      </w:r>
      <w:r w:rsidRPr="001D35EB">
        <w:rPr>
          <w:rStyle w:val="tlid-translation"/>
          <w:lang w:val="en"/>
        </w:rPr>
        <w:t xml:space="preserve"> and advance in </w:t>
      </w:r>
      <w:r>
        <w:rPr>
          <w:rStyle w:val="tlid-translation"/>
          <w:lang w:val="en"/>
        </w:rPr>
        <w:t>cash</w:t>
      </w:r>
      <w:r w:rsidRPr="001D35EB">
        <w:rPr>
          <w:rStyle w:val="tlid-translation"/>
          <w:lang w:val="en"/>
        </w:rPr>
        <w:t xml:space="preserve"> of</w:t>
      </w:r>
      <w:r>
        <w:rPr>
          <w:rStyle w:val="tlid-translation"/>
          <w:lang w:val="en"/>
        </w:rPr>
        <w:t xml:space="preserve"> Program</w:t>
      </w:r>
      <w:r w:rsidRPr="001D35EB">
        <w:rPr>
          <w:rStyle w:val="tlid-translation"/>
          <w:lang w:val="en"/>
        </w:rPr>
        <w:t xml:space="preserve"> 2022.</w:t>
      </w:r>
    </w:p>
    <w:p w14:paraId="44A8DA7A" w14:textId="77777777" w:rsidR="00613FF1" w:rsidRPr="00613FF1" w:rsidRDefault="00613FF1" w:rsidP="00613FF1">
      <w:pPr>
        <w:pStyle w:val="07-Legenda"/>
        <w:numPr>
          <w:ilvl w:val="0"/>
          <w:numId w:val="27"/>
        </w:numPr>
        <w:spacing w:before="0"/>
        <w:ind w:left="284" w:hanging="284"/>
        <w:rPr>
          <w:szCs w:val="14"/>
          <w:lang w:val="en-US"/>
        </w:rPr>
      </w:pPr>
      <w:r w:rsidRPr="00613FF1">
        <w:rPr>
          <w:rStyle w:val="tlid-translation"/>
          <w:lang w:val="en-US"/>
        </w:rPr>
        <w:t>Benefits considered: medical care, health assessment (promotion and prevention actions in occupational health), life insurance, removal advantage (partial cost of expenses in case of removal to other locations) and supplementary pension plan of the administrators.</w:t>
      </w:r>
      <w:r w:rsidRPr="00613FF1">
        <w:rPr>
          <w:szCs w:val="14"/>
          <w:lang w:val="en-US"/>
        </w:rPr>
        <w:t xml:space="preserve"> </w:t>
      </w:r>
    </w:p>
    <w:p w14:paraId="1CD26133" w14:textId="77777777" w:rsidR="00613FF1" w:rsidRPr="00613FF1" w:rsidRDefault="00613FF1" w:rsidP="00613FF1">
      <w:pPr>
        <w:pStyle w:val="07-Legenda"/>
        <w:numPr>
          <w:ilvl w:val="0"/>
          <w:numId w:val="27"/>
        </w:numPr>
        <w:spacing w:before="0"/>
        <w:ind w:left="284" w:hanging="284"/>
        <w:rPr>
          <w:rStyle w:val="tlid-translation"/>
          <w:lang w:val="en-US"/>
        </w:rPr>
      </w:pPr>
      <w:r w:rsidRPr="00613FF1">
        <w:rPr>
          <w:rStyle w:val="tlid-translation"/>
          <w:lang w:val="en-US"/>
        </w:rPr>
        <w:t>Refers to the cost of shares relating to the installments of the share-based payment programs for 2017, 2018, 2019, 2020 and 2021.</w:t>
      </w:r>
    </w:p>
    <w:p w14:paraId="4DE7A410" w14:textId="77777777" w:rsidR="00613FF1" w:rsidRPr="00613FF1" w:rsidRDefault="00613FF1" w:rsidP="00A734BF">
      <w:pPr>
        <w:pStyle w:val="07-Legenda"/>
        <w:spacing w:before="0"/>
        <w:rPr>
          <w:szCs w:val="14"/>
          <w:lang w:val="en-US"/>
        </w:rPr>
      </w:pPr>
    </w:p>
    <w:p w14:paraId="4A8DDF0A" w14:textId="77777777" w:rsidR="00613FF1" w:rsidRPr="00613FF1" w:rsidRDefault="00613FF1" w:rsidP="00CD4E5E">
      <w:pPr>
        <w:pStyle w:val="05-Textonormal"/>
        <w:rPr>
          <w:lang w:val="en-US"/>
        </w:rPr>
      </w:pPr>
      <w:r w:rsidRPr="00613FF1">
        <w:rPr>
          <w:lang w:val="en-US"/>
        </w:rPr>
        <w:t>There was not change in the remuneration received by the members of the Executive Board and of the Statutory Boards and Committees, as per item “c” below.</w:t>
      </w:r>
    </w:p>
    <w:p w14:paraId="3FB26BAF" w14:textId="77777777" w:rsidR="00613FF1" w:rsidRPr="00613FF1" w:rsidRDefault="00613FF1" w:rsidP="00134991">
      <w:pPr>
        <w:pStyle w:val="05-Textonormal"/>
        <w:rPr>
          <w:lang w:val="en-US"/>
        </w:rPr>
      </w:pPr>
      <w:r w:rsidRPr="00613FF1">
        <w:rPr>
          <w:lang w:val="en-US"/>
        </w:rPr>
        <w:t>According to the variable remuneration policy of BB Seguridade, established in accordance with Law 6404/1976, Article 152 and Accounting Pronouncements Committee 10 - CPC 10 (R1) [IFRS 2] - Share-based Payment, the part of variable remuneration of the Executive Board is paid in shares.</w:t>
      </w:r>
    </w:p>
    <w:p w14:paraId="3AD9E560" w14:textId="77777777" w:rsidR="00613FF1" w:rsidRPr="00613FF1" w:rsidRDefault="00613FF1" w:rsidP="00134991">
      <w:pPr>
        <w:pStyle w:val="05-Textonormal"/>
        <w:rPr>
          <w:rStyle w:val="tlid-translation"/>
          <w:lang w:val="en-US"/>
        </w:rPr>
      </w:pPr>
      <w:r w:rsidRPr="00613FF1">
        <w:rPr>
          <w:rStyle w:val="tlid-translation"/>
          <w:lang w:val="en-US"/>
        </w:rPr>
        <w:t>BB Seguridade does not provide post-employment benefits to its key management personnel or to its employees.</w:t>
      </w:r>
    </w:p>
    <w:p w14:paraId="544174AE" w14:textId="77777777" w:rsidR="00613FF1" w:rsidRPr="00613FF1" w:rsidRDefault="00613FF1" w:rsidP="00134991">
      <w:pPr>
        <w:pStyle w:val="05-Textonormal"/>
        <w:rPr>
          <w:lang w:val="en-US"/>
        </w:rPr>
      </w:pPr>
      <w:r w:rsidRPr="00613FF1">
        <w:rPr>
          <w:rStyle w:val="tlid-translation"/>
          <w:lang w:val="en-US"/>
        </w:rPr>
        <w:t>Current personnel costs are reimbursed to the controller Banco do Brasil S.A., under the employee assignment agreement, in the period in which they are allocated to the Company's activities.</w:t>
      </w:r>
    </w:p>
    <w:p w14:paraId="6E262B1F" w14:textId="77777777" w:rsidR="00613FF1" w:rsidRPr="00613FF1" w:rsidRDefault="00613FF1" w:rsidP="00134991">
      <w:pPr>
        <w:pStyle w:val="05-Textonormal"/>
        <w:rPr>
          <w:lang w:val="en-US"/>
        </w:rPr>
      </w:pPr>
      <w:r w:rsidRPr="00613FF1">
        <w:rPr>
          <w:lang w:val="en-US"/>
        </w:rPr>
        <w:t>The Group trades banking transactions with its Controller, Banco do Brasil S.A. such as current account deposits (unpaid), corporate cards, financial applications, service deliveries and warranty in conditions equivalent to those available to other customers.</w:t>
      </w:r>
    </w:p>
    <w:p w14:paraId="49514464" w14:textId="77777777" w:rsidR="00613FF1" w:rsidRPr="00613FF1" w:rsidRDefault="00613FF1" w:rsidP="00134991">
      <w:pPr>
        <w:pStyle w:val="05-Textonormal"/>
        <w:rPr>
          <w:lang w:val="en-US"/>
        </w:rPr>
      </w:pPr>
      <w:r w:rsidRPr="00613FF1">
        <w:rPr>
          <w:lang w:val="en-US"/>
        </w:rPr>
        <w:t>The Group does not grant loans to its Directors, Fiscal Council members, Board of Directors and Audit Committee.</w:t>
      </w:r>
    </w:p>
    <w:p w14:paraId="4DB97B2E" w14:textId="77777777" w:rsidR="00613FF1" w:rsidRPr="00613FF1" w:rsidRDefault="00613FF1" w:rsidP="00401D06">
      <w:pPr>
        <w:pStyle w:val="05-Textonormal"/>
        <w:rPr>
          <w:lang w:val="en-US"/>
        </w:rPr>
      </w:pPr>
      <w:r w:rsidRPr="00613FF1">
        <w:rPr>
          <w:lang w:val="en-US"/>
        </w:rPr>
        <w:t>BB Seguros has commercialization contracts for insurance products in the banking channel with all its investees, the main ones being listed below:</w:t>
      </w:r>
    </w:p>
    <w:p w14:paraId="5FB77F28" w14:textId="77777777" w:rsidR="00613FF1" w:rsidRPr="00613FF1" w:rsidRDefault="00613FF1" w:rsidP="00613FF1">
      <w:pPr>
        <w:pStyle w:val="05-Textonormal"/>
        <w:numPr>
          <w:ilvl w:val="0"/>
          <w:numId w:val="19"/>
        </w:numPr>
        <w:ind w:left="426" w:hanging="142"/>
        <w:rPr>
          <w:lang w:val="en-US"/>
        </w:rPr>
      </w:pPr>
      <w:r w:rsidRPr="00613FF1">
        <w:rPr>
          <w:lang w:val="en-US"/>
        </w:rPr>
        <w:t>Brasilseg Companhia de Seguros S.A. and Aliança do Brasil Seguros S.A., subsidiaries of BB Mapfre Participações S.A., for the sale of insurance, signed on 06/30/2011, valid until 06/30/2031, renewable for subsequent periods of 5 years.</w:t>
      </w:r>
    </w:p>
    <w:p w14:paraId="1D960D81" w14:textId="77777777" w:rsidR="00613FF1" w:rsidRPr="00613FF1" w:rsidRDefault="00613FF1" w:rsidP="00613FF1">
      <w:pPr>
        <w:pStyle w:val="05-Textonormal"/>
        <w:numPr>
          <w:ilvl w:val="0"/>
          <w:numId w:val="19"/>
        </w:numPr>
        <w:ind w:left="426" w:hanging="142"/>
        <w:rPr>
          <w:lang w:val="en-US"/>
        </w:rPr>
      </w:pPr>
      <w:r w:rsidRPr="00613FF1">
        <w:rPr>
          <w:lang w:val="en-US"/>
        </w:rPr>
        <w:t>Brasilprev Seguros e Previdência S.A., for the sale of private pension plans, signed on 10/06/1999, for a period of 5 years, automatically renewable for equal periods.</w:t>
      </w:r>
    </w:p>
    <w:p w14:paraId="2090DDE4" w14:textId="77777777" w:rsidR="00613FF1" w:rsidRPr="00613FF1" w:rsidRDefault="00613FF1" w:rsidP="00613FF1">
      <w:pPr>
        <w:pStyle w:val="05-Textonormal"/>
        <w:numPr>
          <w:ilvl w:val="0"/>
          <w:numId w:val="19"/>
        </w:numPr>
        <w:ind w:left="426" w:hanging="142"/>
        <w:rPr>
          <w:lang w:val="en-US"/>
        </w:rPr>
      </w:pPr>
      <w:r w:rsidRPr="00613FF1">
        <w:rPr>
          <w:lang w:val="en-US"/>
        </w:rPr>
        <w:t>Brasilcap Capitalização S.A., for the sale of capitalization bonds, signed on 07/14/1999, for a period of 5 years, automatically renewable for equal periods.</w:t>
      </w:r>
    </w:p>
    <w:p w14:paraId="709D2700" w14:textId="77777777" w:rsidR="00613FF1" w:rsidRPr="00613FF1" w:rsidRDefault="00613FF1" w:rsidP="00134991">
      <w:pPr>
        <w:pStyle w:val="05-Textonormal"/>
        <w:rPr>
          <w:lang w:val="en-US"/>
        </w:rPr>
      </w:pPr>
      <w:r w:rsidRPr="00613FF1">
        <w:rPr>
          <w:lang w:val="en-US"/>
        </w:rPr>
        <w:t>The schedules below introduce the main transactions involving the companies within the effective utilization of resources:</w:t>
      </w:r>
    </w:p>
    <w:p w14:paraId="1F834B01" w14:textId="77777777" w:rsidR="00613FF1" w:rsidRPr="00F12587" w:rsidRDefault="00613FF1" w:rsidP="00613FF1">
      <w:pPr>
        <w:pStyle w:val="03-SubttulodeNota"/>
        <w:numPr>
          <w:ilvl w:val="0"/>
          <w:numId w:val="18"/>
        </w:numPr>
        <w:ind w:left="284" w:hanging="284"/>
        <w:rPr>
          <w:color w:val="1F4E79" w:themeColor="accent1" w:themeShade="80"/>
          <w:sz w:val="18"/>
          <w:szCs w:val="18"/>
          <w:lang w:val="en-US"/>
        </w:rPr>
      </w:pPr>
      <w:r w:rsidRPr="00F12587">
        <w:rPr>
          <w:color w:val="1F4E79" w:themeColor="accent1" w:themeShade="80"/>
          <w:sz w:val="18"/>
          <w:szCs w:val="18"/>
          <w:lang w:val="en-US"/>
        </w:rPr>
        <w:t>Summary of related party transactions</w:t>
      </w:r>
    </w:p>
    <w:p w14:paraId="0AE11579" w14:textId="77777777" w:rsidR="00613FF1" w:rsidRPr="00274BB2" w:rsidRDefault="00613FF1" w:rsidP="00A0014D">
      <w:pPr>
        <w:pStyle w:val="03-SubttulodeNota"/>
        <w:rPr>
          <w:color w:val="1F4E79" w:themeColor="accent1" w:themeShade="80"/>
          <w:sz w:val="18"/>
          <w:szCs w:val="18"/>
        </w:rPr>
      </w:pPr>
      <w:r w:rsidRPr="00274BB2">
        <w:rPr>
          <w:color w:val="1F4E79" w:themeColor="accent1" w:themeShade="80"/>
          <w:sz w:val="18"/>
          <w:szCs w:val="18"/>
        </w:rPr>
        <w:t>BB Seguridade – Controller</w:t>
      </w:r>
    </w:p>
    <w:p w14:paraId="78016798" w14:textId="77777777" w:rsidR="00613FF1" w:rsidRPr="00D311AA" w:rsidRDefault="00613FF1" w:rsidP="00D366A1">
      <w:pPr>
        <w:pStyle w:val="01-TtulodeNota"/>
        <w:spacing w:before="0" w:after="0"/>
        <w:jc w:val="right"/>
        <w:rPr>
          <w:sz w:val="14"/>
          <w:szCs w:val="14"/>
        </w:rPr>
      </w:pPr>
      <w:r w:rsidRPr="00D311AA">
        <w:rPr>
          <w:sz w:val="14"/>
          <w:szCs w:val="14"/>
        </w:rPr>
        <w:t>R$ thousand</w:t>
      </w:r>
    </w:p>
    <w:tbl>
      <w:tblPr>
        <w:tblStyle w:val="TabeladeLista6Colorida-nfase510"/>
        <w:tblW w:w="9639" w:type="dxa"/>
        <w:tblInd w:w="108" w:type="dxa"/>
        <w:tblLayout w:type="fixed"/>
        <w:tblLook w:val="04A0" w:firstRow="1" w:lastRow="0" w:firstColumn="1" w:lastColumn="0" w:noHBand="0" w:noVBand="1"/>
      </w:tblPr>
      <w:tblGrid>
        <w:gridCol w:w="1126"/>
        <w:gridCol w:w="3049"/>
        <w:gridCol w:w="1339"/>
        <w:gridCol w:w="1339"/>
        <w:gridCol w:w="1339"/>
        <w:gridCol w:w="1447"/>
      </w:tblGrid>
      <w:tr w:rsidR="00613FF1" w:rsidRPr="00181218" w14:paraId="390A5E4B" w14:textId="77777777" w:rsidTr="00AA3D20">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126" w:type="dxa"/>
            <w:tcBorders>
              <w:top w:val="single" w:sz="2" w:space="0" w:color="222A35" w:themeColor="text2" w:themeShade="80"/>
              <w:bottom w:val="nil"/>
            </w:tcBorders>
            <w:shd w:val="clear" w:color="auto" w:fill="auto"/>
            <w:vAlign w:val="center"/>
          </w:tcPr>
          <w:p w14:paraId="68F02B9A" w14:textId="77777777" w:rsidR="00613FF1" w:rsidRPr="00D311AA" w:rsidRDefault="00613FF1" w:rsidP="00687402">
            <w:pPr>
              <w:pStyle w:val="08-Tabelageral"/>
            </w:pPr>
          </w:p>
        </w:tc>
        <w:tc>
          <w:tcPr>
            <w:tcW w:w="3049" w:type="dxa"/>
            <w:tcBorders>
              <w:top w:val="single" w:sz="2" w:space="0" w:color="222A35" w:themeColor="text2" w:themeShade="80"/>
              <w:bottom w:val="nil"/>
            </w:tcBorders>
            <w:shd w:val="clear" w:color="auto" w:fill="auto"/>
            <w:vAlign w:val="center"/>
          </w:tcPr>
          <w:p w14:paraId="60C596AC" w14:textId="77777777" w:rsidR="00613FF1" w:rsidRPr="00D311AA" w:rsidRDefault="00613FF1" w:rsidP="00687402">
            <w:pPr>
              <w:pStyle w:val="08-Tabelageral"/>
              <w:cnfStyle w:val="100000000000" w:firstRow="1" w:lastRow="0" w:firstColumn="0" w:lastColumn="0" w:oddVBand="0" w:evenVBand="0" w:oddHBand="0" w:evenHBand="0" w:firstRowFirstColumn="0" w:firstRowLastColumn="0" w:lastRowFirstColumn="0" w:lastRowLastColumn="0"/>
            </w:pPr>
          </w:p>
        </w:tc>
        <w:tc>
          <w:tcPr>
            <w:tcW w:w="2678" w:type="dxa"/>
            <w:gridSpan w:val="2"/>
            <w:tcBorders>
              <w:top w:val="single" w:sz="2" w:space="0" w:color="222A35" w:themeColor="text2" w:themeShade="80"/>
              <w:bottom w:val="single" w:sz="2" w:space="0" w:color="1F4E79" w:themeColor="accent1" w:themeShade="80"/>
            </w:tcBorders>
            <w:shd w:val="clear" w:color="auto" w:fill="auto"/>
            <w:vAlign w:val="center"/>
          </w:tcPr>
          <w:p w14:paraId="17323BA0" w14:textId="77777777" w:rsidR="00613FF1" w:rsidRPr="00181218" w:rsidRDefault="00613FF1" w:rsidP="009529BE">
            <w:pPr>
              <w:pStyle w:val="08-Tabelageral"/>
              <w:jc w:val="center"/>
              <w:cnfStyle w:val="100000000000" w:firstRow="1" w:lastRow="0" w:firstColumn="0" w:lastColumn="0" w:oddVBand="0" w:evenVBand="0" w:oddHBand="0" w:evenHBand="0" w:firstRowFirstColumn="0" w:firstRowLastColumn="0" w:lastRowFirstColumn="0" w:lastRowLastColumn="0"/>
              <w:rPr>
                <w:bCs w:val="0"/>
              </w:rPr>
            </w:pPr>
            <w:r>
              <w:t>Dec</w:t>
            </w:r>
            <w:r w:rsidRPr="00181218">
              <w:t xml:space="preserve"> 3</w:t>
            </w:r>
            <w:r>
              <w:t>1</w:t>
            </w:r>
            <w:r w:rsidRPr="00181218">
              <w:t>, 202</w:t>
            </w:r>
            <w:r>
              <w:t>2</w:t>
            </w:r>
          </w:p>
        </w:tc>
        <w:tc>
          <w:tcPr>
            <w:tcW w:w="2786" w:type="dxa"/>
            <w:gridSpan w:val="2"/>
            <w:tcBorders>
              <w:top w:val="single" w:sz="2" w:space="0" w:color="222A35" w:themeColor="text2" w:themeShade="80"/>
              <w:bottom w:val="single" w:sz="2" w:space="0" w:color="1F4E79" w:themeColor="accent1" w:themeShade="80"/>
            </w:tcBorders>
            <w:shd w:val="clear" w:color="auto" w:fill="auto"/>
            <w:vAlign w:val="center"/>
          </w:tcPr>
          <w:p w14:paraId="7D261541" w14:textId="77777777" w:rsidR="00613FF1" w:rsidRPr="00181218" w:rsidRDefault="00613FF1" w:rsidP="00687402">
            <w:pPr>
              <w:pStyle w:val="08-Tabelageral"/>
              <w:jc w:val="center"/>
              <w:cnfStyle w:val="100000000000" w:firstRow="1" w:lastRow="0" w:firstColumn="0" w:lastColumn="0" w:oddVBand="0" w:evenVBand="0" w:oddHBand="0" w:evenHBand="0" w:firstRowFirstColumn="0" w:firstRowLastColumn="0" w:lastRowFirstColumn="0" w:lastRowLastColumn="0"/>
            </w:pPr>
            <w:r w:rsidRPr="00181218">
              <w:t>Dec 31, 202</w:t>
            </w:r>
            <w:r>
              <w:t>1</w:t>
            </w:r>
          </w:p>
        </w:tc>
      </w:tr>
      <w:tr w:rsidR="00613FF1" w:rsidRPr="00181218" w14:paraId="1BE3D994" w14:textId="77777777" w:rsidTr="00AA3D20">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single" w:sz="2" w:space="0" w:color="1F4E79" w:themeColor="accent1" w:themeShade="80"/>
            </w:tcBorders>
            <w:shd w:val="clear" w:color="auto" w:fill="auto"/>
            <w:vAlign w:val="center"/>
          </w:tcPr>
          <w:p w14:paraId="5DD02A80" w14:textId="77777777" w:rsidR="00613FF1" w:rsidRPr="00181218" w:rsidRDefault="00613FF1" w:rsidP="00181218">
            <w:pPr>
              <w:pStyle w:val="08-Tabelageral"/>
              <w:rPr>
                <w:sz w:val="12"/>
                <w:szCs w:val="12"/>
              </w:rPr>
            </w:pPr>
          </w:p>
        </w:tc>
        <w:tc>
          <w:tcPr>
            <w:tcW w:w="1339" w:type="dxa"/>
            <w:tcBorders>
              <w:top w:val="single" w:sz="2" w:space="0" w:color="1F4E79" w:themeColor="accent1" w:themeShade="80"/>
              <w:bottom w:val="single" w:sz="2" w:space="0" w:color="1F4E79" w:themeColor="accent1" w:themeShade="80"/>
            </w:tcBorders>
            <w:shd w:val="clear" w:color="auto" w:fill="auto"/>
            <w:vAlign w:val="center"/>
          </w:tcPr>
          <w:p w14:paraId="15FB66BD" w14:textId="77777777" w:rsidR="00613FF1" w:rsidRPr="00181218" w:rsidRDefault="00613FF1" w:rsidP="00181218">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181218">
              <w:rPr>
                <w:b/>
                <w:sz w:val="12"/>
                <w:szCs w:val="12"/>
              </w:rPr>
              <w:t>Controller</w:t>
            </w:r>
            <w:r>
              <w:rPr>
                <w:b/>
                <w:sz w:val="12"/>
                <w:szCs w:val="12"/>
              </w:rPr>
              <w:t xml:space="preserve"> </w:t>
            </w:r>
            <w:r w:rsidRPr="00181218">
              <w:rPr>
                <w:b/>
                <w:sz w:val="12"/>
                <w:szCs w:val="12"/>
                <w:vertAlign w:val="superscript"/>
              </w:rPr>
              <w:t>(1)</w:t>
            </w:r>
          </w:p>
        </w:tc>
        <w:tc>
          <w:tcPr>
            <w:tcW w:w="1339" w:type="dxa"/>
            <w:tcBorders>
              <w:top w:val="single" w:sz="2" w:space="0" w:color="1F4E79" w:themeColor="accent1" w:themeShade="80"/>
              <w:bottom w:val="single" w:sz="2" w:space="0" w:color="1F4E79" w:themeColor="accent1" w:themeShade="80"/>
            </w:tcBorders>
            <w:shd w:val="clear" w:color="auto" w:fill="auto"/>
            <w:vAlign w:val="center"/>
          </w:tcPr>
          <w:p w14:paraId="68A12C43" w14:textId="77777777" w:rsidR="00613FF1" w:rsidRPr="00181218" w:rsidRDefault="00613FF1" w:rsidP="00181218">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181218">
              <w:rPr>
                <w:b/>
                <w:sz w:val="12"/>
                <w:szCs w:val="12"/>
              </w:rPr>
              <w:t>Subsidiaries</w:t>
            </w:r>
            <w:r>
              <w:rPr>
                <w:b/>
                <w:sz w:val="12"/>
                <w:szCs w:val="12"/>
              </w:rPr>
              <w:t xml:space="preserve"> </w:t>
            </w:r>
            <w:r w:rsidRPr="00181218">
              <w:rPr>
                <w:b/>
                <w:sz w:val="12"/>
                <w:szCs w:val="12"/>
                <w:vertAlign w:val="superscript"/>
              </w:rPr>
              <w:t>(2)</w:t>
            </w:r>
          </w:p>
        </w:tc>
        <w:tc>
          <w:tcPr>
            <w:tcW w:w="1339" w:type="dxa"/>
            <w:tcBorders>
              <w:top w:val="single" w:sz="2" w:space="0" w:color="1F4E79" w:themeColor="accent1" w:themeShade="80"/>
              <w:bottom w:val="single" w:sz="2" w:space="0" w:color="1F4E79" w:themeColor="accent1" w:themeShade="80"/>
            </w:tcBorders>
            <w:shd w:val="clear" w:color="auto" w:fill="auto"/>
            <w:vAlign w:val="center"/>
          </w:tcPr>
          <w:p w14:paraId="0A2BEABF" w14:textId="77777777" w:rsidR="00613FF1" w:rsidRPr="00181218" w:rsidRDefault="00613FF1" w:rsidP="00181218">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181218">
              <w:rPr>
                <w:b/>
                <w:sz w:val="12"/>
                <w:szCs w:val="12"/>
              </w:rPr>
              <w:t xml:space="preserve">Controller </w:t>
            </w:r>
            <w:r w:rsidRPr="00181218">
              <w:rPr>
                <w:b/>
                <w:sz w:val="12"/>
                <w:szCs w:val="12"/>
                <w:vertAlign w:val="superscript"/>
              </w:rPr>
              <w:t>(1)</w:t>
            </w:r>
          </w:p>
        </w:tc>
        <w:tc>
          <w:tcPr>
            <w:tcW w:w="1447" w:type="dxa"/>
            <w:tcBorders>
              <w:top w:val="single" w:sz="2" w:space="0" w:color="1F4E79" w:themeColor="accent1" w:themeShade="80"/>
              <w:bottom w:val="single" w:sz="2" w:space="0" w:color="1F4E79" w:themeColor="accent1" w:themeShade="80"/>
            </w:tcBorders>
            <w:shd w:val="clear" w:color="auto" w:fill="auto"/>
            <w:vAlign w:val="center"/>
          </w:tcPr>
          <w:p w14:paraId="51D96426" w14:textId="77777777" w:rsidR="00613FF1" w:rsidRPr="00181218" w:rsidRDefault="00613FF1" w:rsidP="00181218">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181218">
              <w:rPr>
                <w:b/>
                <w:sz w:val="12"/>
                <w:szCs w:val="12"/>
              </w:rPr>
              <w:t>Subsidiaries</w:t>
            </w:r>
            <w:r>
              <w:rPr>
                <w:b/>
                <w:sz w:val="12"/>
                <w:szCs w:val="12"/>
              </w:rPr>
              <w:t xml:space="preserve"> </w:t>
            </w:r>
            <w:r w:rsidRPr="00181218">
              <w:rPr>
                <w:b/>
                <w:sz w:val="12"/>
                <w:szCs w:val="12"/>
                <w:vertAlign w:val="superscript"/>
              </w:rPr>
              <w:t>(2)</w:t>
            </w:r>
          </w:p>
        </w:tc>
      </w:tr>
      <w:tr w:rsidR="00613FF1" w:rsidRPr="00181218" w14:paraId="45F7E297" w14:textId="77777777" w:rsidTr="00AA3D20">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single" w:sz="2" w:space="0" w:color="1F4E79" w:themeColor="accent1" w:themeShade="80"/>
              <w:bottom w:val="nil"/>
            </w:tcBorders>
            <w:shd w:val="clear" w:color="auto" w:fill="auto"/>
            <w:vAlign w:val="center"/>
          </w:tcPr>
          <w:p w14:paraId="0F1EB918" w14:textId="77777777" w:rsidR="00613FF1" w:rsidRPr="00181218" w:rsidRDefault="00613FF1" w:rsidP="00A31FD2">
            <w:pPr>
              <w:pStyle w:val="08-Tabelageral"/>
              <w:jc w:val="left"/>
            </w:pPr>
            <w:r w:rsidRPr="00181218">
              <w:t>Assets</w:t>
            </w:r>
          </w:p>
        </w:tc>
        <w:tc>
          <w:tcPr>
            <w:tcW w:w="1339" w:type="dxa"/>
            <w:tcBorders>
              <w:top w:val="single" w:sz="2" w:space="0" w:color="1F4E79" w:themeColor="accent1" w:themeShade="80"/>
              <w:bottom w:val="nil"/>
            </w:tcBorders>
            <w:shd w:val="clear" w:color="auto" w:fill="auto"/>
            <w:vAlign w:val="center"/>
          </w:tcPr>
          <w:p w14:paraId="28AF7548" w14:textId="77777777" w:rsidR="00613FF1" w:rsidRPr="00181218" w:rsidRDefault="00613FF1" w:rsidP="00687402">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339" w:type="dxa"/>
            <w:tcBorders>
              <w:top w:val="single" w:sz="2" w:space="0" w:color="1F4E79" w:themeColor="accent1" w:themeShade="80"/>
              <w:bottom w:val="nil"/>
            </w:tcBorders>
            <w:shd w:val="clear" w:color="auto" w:fill="auto"/>
          </w:tcPr>
          <w:p w14:paraId="6E332165" w14:textId="77777777" w:rsidR="00613FF1" w:rsidRPr="00181218" w:rsidRDefault="00613FF1" w:rsidP="00687402">
            <w:pPr>
              <w:pStyle w:val="08-Tabelageral"/>
              <w:cnfStyle w:val="000000010000" w:firstRow="0" w:lastRow="0" w:firstColumn="0" w:lastColumn="0" w:oddVBand="0" w:evenVBand="0" w:oddHBand="0" w:evenHBand="1" w:firstRowFirstColumn="0" w:firstRowLastColumn="0" w:lastRowFirstColumn="0" w:lastRowLastColumn="0"/>
              <w:rPr>
                <w:b/>
                <w:szCs w:val="14"/>
              </w:rPr>
            </w:pPr>
            <w:r w:rsidRPr="00181218">
              <w:rPr>
                <w:b/>
                <w:szCs w:val="14"/>
              </w:rPr>
              <w:t xml:space="preserve"> </w:t>
            </w:r>
          </w:p>
        </w:tc>
        <w:tc>
          <w:tcPr>
            <w:tcW w:w="1339" w:type="dxa"/>
            <w:tcBorders>
              <w:top w:val="single" w:sz="2" w:space="0" w:color="1F4E79" w:themeColor="accent1" w:themeShade="80"/>
              <w:bottom w:val="nil"/>
            </w:tcBorders>
            <w:shd w:val="clear" w:color="auto" w:fill="auto"/>
          </w:tcPr>
          <w:p w14:paraId="3A952284" w14:textId="77777777" w:rsidR="00613FF1" w:rsidRPr="00181218" w:rsidRDefault="00613FF1" w:rsidP="003B277F">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447" w:type="dxa"/>
            <w:tcBorders>
              <w:top w:val="single" w:sz="2" w:space="0" w:color="1F4E79" w:themeColor="accent1" w:themeShade="80"/>
              <w:bottom w:val="nil"/>
            </w:tcBorders>
            <w:shd w:val="clear" w:color="auto" w:fill="auto"/>
          </w:tcPr>
          <w:p w14:paraId="065A017E" w14:textId="77777777" w:rsidR="00613FF1" w:rsidRPr="00181218" w:rsidRDefault="00613FF1" w:rsidP="003B277F">
            <w:pPr>
              <w:pStyle w:val="08-Tabelageral"/>
              <w:cnfStyle w:val="000000010000" w:firstRow="0" w:lastRow="0" w:firstColumn="0" w:lastColumn="0" w:oddVBand="0" w:evenVBand="0" w:oddHBand="0" w:evenHBand="1" w:firstRowFirstColumn="0" w:firstRowLastColumn="0" w:lastRowFirstColumn="0" w:lastRowLastColumn="0"/>
              <w:rPr>
                <w:b/>
              </w:rPr>
            </w:pPr>
          </w:p>
        </w:tc>
      </w:tr>
      <w:tr w:rsidR="00613FF1" w:rsidRPr="00181218" w14:paraId="552CD037" w14:textId="77777777" w:rsidTr="0038786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auto"/>
          </w:tcPr>
          <w:p w14:paraId="51BC8DF3" w14:textId="77777777" w:rsidR="00613FF1" w:rsidRPr="00181218" w:rsidRDefault="00613FF1" w:rsidP="00083529">
            <w:pPr>
              <w:pStyle w:val="08-Tabelageral"/>
              <w:jc w:val="left"/>
              <w:rPr>
                <w:b w:val="0"/>
              </w:rPr>
            </w:pPr>
            <w:r w:rsidRPr="00181218">
              <w:rPr>
                <w:b w:val="0"/>
              </w:rPr>
              <w:t>Cash and cash equivalent</w:t>
            </w:r>
            <w:r>
              <w:rPr>
                <w:b w:val="0"/>
              </w:rPr>
              <w:t>s</w:t>
            </w:r>
          </w:p>
        </w:tc>
        <w:tc>
          <w:tcPr>
            <w:tcW w:w="1339" w:type="dxa"/>
            <w:shd w:val="clear" w:color="auto" w:fill="auto"/>
          </w:tcPr>
          <w:p w14:paraId="499E8DFA"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59,003</w:t>
            </w:r>
          </w:p>
        </w:tc>
        <w:tc>
          <w:tcPr>
            <w:tcW w:w="1339" w:type="dxa"/>
            <w:shd w:val="clear" w:color="auto" w:fill="auto"/>
          </w:tcPr>
          <w:p w14:paraId="62B97C78"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w:t>
            </w:r>
          </w:p>
        </w:tc>
        <w:tc>
          <w:tcPr>
            <w:tcW w:w="1339" w:type="dxa"/>
            <w:shd w:val="clear" w:color="auto" w:fill="auto"/>
          </w:tcPr>
          <w:p w14:paraId="00E900D5"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rsidRPr="00AC775A">
              <w:t>369</w:t>
            </w:r>
            <w:r>
              <w:t>,</w:t>
            </w:r>
            <w:r w:rsidRPr="00AC775A">
              <w:t>342</w:t>
            </w:r>
          </w:p>
        </w:tc>
        <w:tc>
          <w:tcPr>
            <w:tcW w:w="1447" w:type="dxa"/>
            <w:shd w:val="clear" w:color="auto" w:fill="auto"/>
          </w:tcPr>
          <w:p w14:paraId="05D19AD0"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w:t>
            </w:r>
          </w:p>
        </w:tc>
      </w:tr>
      <w:tr w:rsidR="00613FF1" w:rsidRPr="00181218" w14:paraId="36364DDC" w14:textId="77777777" w:rsidTr="0038786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auto"/>
          </w:tcPr>
          <w:p w14:paraId="333CAB3A" w14:textId="77777777" w:rsidR="00613FF1" w:rsidRPr="00613FF1" w:rsidRDefault="00613FF1" w:rsidP="00083529">
            <w:pPr>
              <w:pStyle w:val="08-Tabelageral"/>
              <w:jc w:val="left"/>
              <w:rPr>
                <w:b w:val="0"/>
                <w:lang w:val="en-US"/>
              </w:rPr>
            </w:pPr>
            <w:r w:rsidRPr="00613FF1">
              <w:rPr>
                <w:b w:val="0"/>
                <w:lang w:val="en-US"/>
              </w:rPr>
              <w:t>Dividends/interest on equity receivable</w:t>
            </w:r>
          </w:p>
        </w:tc>
        <w:tc>
          <w:tcPr>
            <w:tcW w:w="1339" w:type="dxa"/>
            <w:shd w:val="clear" w:color="auto" w:fill="auto"/>
          </w:tcPr>
          <w:p w14:paraId="3981911C" w14:textId="77777777" w:rsidR="00613FF1" w:rsidRPr="00181218"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w:t>
            </w:r>
          </w:p>
        </w:tc>
        <w:tc>
          <w:tcPr>
            <w:tcW w:w="1339" w:type="dxa"/>
            <w:shd w:val="clear" w:color="auto" w:fill="auto"/>
          </w:tcPr>
          <w:p w14:paraId="3AA8AC20" w14:textId="77777777" w:rsidR="00613FF1" w:rsidRPr="00181218"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3,683,355</w:t>
            </w:r>
          </w:p>
        </w:tc>
        <w:tc>
          <w:tcPr>
            <w:tcW w:w="1339" w:type="dxa"/>
            <w:shd w:val="clear" w:color="auto" w:fill="auto"/>
          </w:tcPr>
          <w:p w14:paraId="73E01001" w14:textId="77777777" w:rsidR="00613FF1" w:rsidRPr="00181218"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w:t>
            </w:r>
          </w:p>
        </w:tc>
        <w:tc>
          <w:tcPr>
            <w:tcW w:w="1447" w:type="dxa"/>
            <w:shd w:val="clear" w:color="auto" w:fill="auto"/>
          </w:tcPr>
          <w:p w14:paraId="75D2E208" w14:textId="77777777" w:rsidR="00613FF1" w:rsidRPr="00181218"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rsidRPr="00AC775A">
              <w:t>1</w:t>
            </w:r>
            <w:r>
              <w:t>,</w:t>
            </w:r>
            <w:r w:rsidRPr="00AC775A">
              <w:t>572</w:t>
            </w:r>
            <w:r>
              <w:t>,</w:t>
            </w:r>
            <w:r w:rsidRPr="00AC775A">
              <w:t>427</w:t>
            </w:r>
          </w:p>
        </w:tc>
      </w:tr>
      <w:tr w:rsidR="00613FF1" w:rsidRPr="00181218" w14:paraId="0C89146F" w14:textId="77777777" w:rsidTr="0038786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auto"/>
          </w:tcPr>
          <w:p w14:paraId="5C55BBA0" w14:textId="77777777" w:rsidR="00613FF1" w:rsidRPr="00181218" w:rsidRDefault="00613FF1" w:rsidP="00083529">
            <w:pPr>
              <w:pStyle w:val="08-Tabelageral"/>
              <w:jc w:val="left"/>
              <w:rPr>
                <w:b w:val="0"/>
              </w:rPr>
            </w:pPr>
            <w:r w:rsidRPr="00181218">
              <w:rPr>
                <w:b w:val="0"/>
              </w:rPr>
              <w:t>Receive with related parties</w:t>
            </w:r>
          </w:p>
        </w:tc>
        <w:tc>
          <w:tcPr>
            <w:tcW w:w="1339" w:type="dxa"/>
            <w:shd w:val="clear" w:color="auto" w:fill="auto"/>
          </w:tcPr>
          <w:p w14:paraId="600BC6A2"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w:t>
            </w:r>
          </w:p>
        </w:tc>
        <w:tc>
          <w:tcPr>
            <w:tcW w:w="1339" w:type="dxa"/>
            <w:shd w:val="clear" w:color="auto" w:fill="auto"/>
          </w:tcPr>
          <w:p w14:paraId="3ED02911"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9,365</w:t>
            </w:r>
          </w:p>
        </w:tc>
        <w:tc>
          <w:tcPr>
            <w:tcW w:w="1339" w:type="dxa"/>
            <w:shd w:val="clear" w:color="auto" w:fill="auto"/>
          </w:tcPr>
          <w:p w14:paraId="52C44073"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w:t>
            </w:r>
          </w:p>
        </w:tc>
        <w:tc>
          <w:tcPr>
            <w:tcW w:w="1447" w:type="dxa"/>
            <w:shd w:val="clear" w:color="auto" w:fill="auto"/>
          </w:tcPr>
          <w:p w14:paraId="4DE95C5C"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rsidRPr="00AC775A">
              <w:t>7</w:t>
            </w:r>
            <w:r>
              <w:t>,</w:t>
            </w:r>
            <w:r w:rsidRPr="00AC775A">
              <w:t>571</w:t>
            </w:r>
          </w:p>
        </w:tc>
      </w:tr>
      <w:tr w:rsidR="00613FF1" w:rsidRPr="00181218" w14:paraId="7E73BCE0" w14:textId="77777777" w:rsidTr="0038786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auto"/>
          </w:tcPr>
          <w:p w14:paraId="01E1A618" w14:textId="77777777" w:rsidR="00613FF1" w:rsidRPr="00181218" w:rsidRDefault="00613FF1" w:rsidP="00083529">
            <w:pPr>
              <w:pStyle w:val="08-Tabelageral"/>
              <w:jc w:val="left"/>
            </w:pPr>
            <w:r w:rsidRPr="00181218">
              <w:t>Liabilities</w:t>
            </w:r>
          </w:p>
        </w:tc>
        <w:tc>
          <w:tcPr>
            <w:tcW w:w="1339" w:type="dxa"/>
            <w:shd w:val="clear" w:color="auto" w:fill="auto"/>
          </w:tcPr>
          <w:p w14:paraId="48AD89EF" w14:textId="77777777" w:rsidR="00613FF1" w:rsidRPr="00181218" w:rsidRDefault="00613FF1" w:rsidP="00083529">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339" w:type="dxa"/>
            <w:shd w:val="clear" w:color="auto" w:fill="auto"/>
          </w:tcPr>
          <w:p w14:paraId="44917DE7" w14:textId="77777777" w:rsidR="00613FF1" w:rsidRPr="00181218" w:rsidRDefault="00613FF1" w:rsidP="00083529">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339" w:type="dxa"/>
            <w:shd w:val="clear" w:color="auto" w:fill="auto"/>
          </w:tcPr>
          <w:p w14:paraId="1C97DCDD" w14:textId="77777777" w:rsidR="00613FF1" w:rsidRPr="00181218" w:rsidRDefault="00613FF1" w:rsidP="00083529">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447" w:type="dxa"/>
            <w:shd w:val="clear" w:color="auto" w:fill="auto"/>
          </w:tcPr>
          <w:p w14:paraId="0900CAE1" w14:textId="77777777" w:rsidR="00613FF1" w:rsidRPr="00181218" w:rsidRDefault="00613FF1" w:rsidP="00083529">
            <w:pPr>
              <w:pStyle w:val="08-Tabelageral"/>
              <w:cnfStyle w:val="000000010000" w:firstRow="0" w:lastRow="0" w:firstColumn="0" w:lastColumn="0" w:oddVBand="0" w:evenVBand="0" w:oddHBand="0" w:evenHBand="1" w:firstRowFirstColumn="0" w:firstRowLastColumn="0" w:lastRowFirstColumn="0" w:lastRowLastColumn="0"/>
              <w:rPr>
                <w:b/>
              </w:rPr>
            </w:pPr>
          </w:p>
        </w:tc>
      </w:tr>
      <w:tr w:rsidR="00613FF1" w:rsidRPr="00181218" w14:paraId="3DC620F2" w14:textId="77777777" w:rsidTr="00B51BB5">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auto"/>
          </w:tcPr>
          <w:p w14:paraId="3921E4D9" w14:textId="77777777" w:rsidR="00613FF1" w:rsidRPr="00181218" w:rsidRDefault="00613FF1" w:rsidP="00083529">
            <w:pPr>
              <w:pStyle w:val="08-Tabelageral"/>
              <w:jc w:val="left"/>
              <w:rPr>
                <w:b w:val="0"/>
              </w:rPr>
            </w:pPr>
            <w:r w:rsidRPr="00181218">
              <w:rPr>
                <w:b w:val="0"/>
              </w:rPr>
              <w:t>Social and statutory obligations</w:t>
            </w:r>
          </w:p>
        </w:tc>
        <w:tc>
          <w:tcPr>
            <w:tcW w:w="1339" w:type="dxa"/>
            <w:tcBorders>
              <w:bottom w:val="nil"/>
            </w:tcBorders>
            <w:shd w:val="clear" w:color="auto" w:fill="auto"/>
          </w:tcPr>
          <w:p w14:paraId="64551BE4"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2,434,043</w:t>
            </w:r>
          </w:p>
        </w:tc>
        <w:tc>
          <w:tcPr>
            <w:tcW w:w="1339" w:type="dxa"/>
            <w:tcBorders>
              <w:bottom w:val="nil"/>
            </w:tcBorders>
            <w:shd w:val="clear" w:color="auto" w:fill="auto"/>
          </w:tcPr>
          <w:p w14:paraId="301BE979"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w:t>
            </w:r>
          </w:p>
        </w:tc>
        <w:tc>
          <w:tcPr>
            <w:tcW w:w="1339" w:type="dxa"/>
            <w:tcBorders>
              <w:bottom w:val="nil"/>
            </w:tcBorders>
            <w:shd w:val="clear" w:color="auto" w:fill="auto"/>
          </w:tcPr>
          <w:p w14:paraId="39D89329"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rsidRPr="00AC775A">
              <w:t>1</w:t>
            </w:r>
            <w:r>
              <w:t>,</w:t>
            </w:r>
            <w:r w:rsidRPr="00AC775A">
              <w:t>213</w:t>
            </w:r>
            <w:r>
              <w:t>,</w:t>
            </w:r>
            <w:r w:rsidRPr="00AC775A">
              <w:t>496</w:t>
            </w:r>
          </w:p>
        </w:tc>
        <w:tc>
          <w:tcPr>
            <w:tcW w:w="1447" w:type="dxa"/>
            <w:tcBorders>
              <w:bottom w:val="nil"/>
            </w:tcBorders>
            <w:shd w:val="clear" w:color="auto" w:fill="auto"/>
          </w:tcPr>
          <w:p w14:paraId="44925B52" w14:textId="77777777" w:rsidR="00613FF1" w:rsidRPr="00181218"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w:t>
            </w:r>
          </w:p>
        </w:tc>
      </w:tr>
      <w:tr w:rsidR="00613FF1" w:rsidRPr="00D311AA" w14:paraId="51675F9C" w14:textId="77777777" w:rsidTr="00B51BB5">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single" w:sz="2" w:space="0" w:color="1F4E79" w:themeColor="accent1" w:themeShade="80"/>
            </w:tcBorders>
            <w:shd w:val="clear" w:color="auto" w:fill="auto"/>
          </w:tcPr>
          <w:p w14:paraId="74EABAAE" w14:textId="77777777" w:rsidR="00613FF1" w:rsidRPr="00181218" w:rsidRDefault="00613FF1" w:rsidP="00083529">
            <w:pPr>
              <w:pStyle w:val="08-Tabelageral"/>
              <w:jc w:val="left"/>
              <w:rPr>
                <w:b w:val="0"/>
              </w:rPr>
            </w:pPr>
            <w:r w:rsidRPr="00181218">
              <w:rPr>
                <w:b w:val="0"/>
              </w:rPr>
              <w:t>Obligations with related parties</w:t>
            </w:r>
          </w:p>
        </w:tc>
        <w:tc>
          <w:tcPr>
            <w:tcW w:w="1339" w:type="dxa"/>
            <w:tcBorders>
              <w:top w:val="nil"/>
              <w:bottom w:val="single" w:sz="2" w:space="0" w:color="1F4E79" w:themeColor="accent1" w:themeShade="80"/>
            </w:tcBorders>
            <w:shd w:val="clear" w:color="auto" w:fill="auto"/>
          </w:tcPr>
          <w:p w14:paraId="6C088C16" w14:textId="77777777" w:rsidR="00613FF1" w:rsidRPr="00181218"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8,054</w:t>
            </w:r>
          </w:p>
        </w:tc>
        <w:tc>
          <w:tcPr>
            <w:tcW w:w="1339" w:type="dxa"/>
            <w:tcBorders>
              <w:top w:val="nil"/>
              <w:bottom w:val="single" w:sz="2" w:space="0" w:color="1F4E79" w:themeColor="accent1" w:themeShade="80"/>
            </w:tcBorders>
            <w:shd w:val="clear" w:color="auto" w:fill="auto"/>
          </w:tcPr>
          <w:p w14:paraId="1EF310F8" w14:textId="77777777" w:rsidR="00613FF1" w:rsidRPr="00181218"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w:t>
            </w:r>
          </w:p>
        </w:tc>
        <w:tc>
          <w:tcPr>
            <w:tcW w:w="1339" w:type="dxa"/>
            <w:tcBorders>
              <w:top w:val="nil"/>
              <w:bottom w:val="single" w:sz="2" w:space="0" w:color="1F4E79" w:themeColor="accent1" w:themeShade="80"/>
            </w:tcBorders>
            <w:shd w:val="clear" w:color="auto" w:fill="auto"/>
          </w:tcPr>
          <w:p w14:paraId="6DDEC000" w14:textId="77777777" w:rsidR="00613FF1" w:rsidRPr="00181218"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rsidRPr="00AC775A">
              <w:t>6</w:t>
            </w:r>
            <w:r>
              <w:t>,</w:t>
            </w:r>
            <w:r w:rsidRPr="00AC775A">
              <w:t>709</w:t>
            </w:r>
          </w:p>
        </w:tc>
        <w:tc>
          <w:tcPr>
            <w:tcW w:w="1447" w:type="dxa"/>
            <w:tcBorders>
              <w:top w:val="nil"/>
              <w:bottom w:val="single" w:sz="2" w:space="0" w:color="1F4E79" w:themeColor="accent1" w:themeShade="80"/>
            </w:tcBorders>
            <w:shd w:val="clear" w:color="auto" w:fill="auto"/>
          </w:tcPr>
          <w:p w14:paraId="1578ABE6" w14:textId="77777777" w:rsidR="00613FF1" w:rsidRPr="00D311AA"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w:t>
            </w:r>
          </w:p>
        </w:tc>
      </w:tr>
    </w:tbl>
    <w:p w14:paraId="05CBC156" w14:textId="77777777" w:rsidR="00613FF1" w:rsidRDefault="00613FF1" w:rsidP="00676763">
      <w:pPr>
        <w:pStyle w:val="07-Legenda"/>
        <w:rPr>
          <w:rFonts w:cs="Arial"/>
        </w:rPr>
      </w:pPr>
    </w:p>
    <w:p w14:paraId="74C4B5AA" w14:textId="77777777" w:rsidR="00613FF1" w:rsidRPr="00D311AA" w:rsidRDefault="00613FF1" w:rsidP="00DC3D8F">
      <w:pPr>
        <w:pStyle w:val="01-TtulodeNota"/>
        <w:keepNext/>
        <w:spacing w:before="0" w:after="0"/>
        <w:jc w:val="right"/>
        <w:rPr>
          <w:sz w:val="14"/>
          <w:szCs w:val="14"/>
        </w:rPr>
      </w:pPr>
      <w:r w:rsidRPr="00D311AA">
        <w:rPr>
          <w:sz w:val="14"/>
          <w:szCs w:val="14"/>
        </w:rPr>
        <w:lastRenderedPageBreak/>
        <w:t>R$ thousand</w:t>
      </w:r>
    </w:p>
    <w:tbl>
      <w:tblPr>
        <w:tblStyle w:val="TabeladeLista6Colorida-nfase510"/>
        <w:tblW w:w="9639" w:type="dxa"/>
        <w:tblInd w:w="108" w:type="dxa"/>
        <w:tblLayout w:type="fixed"/>
        <w:tblLook w:val="04A0" w:firstRow="1" w:lastRow="0" w:firstColumn="1" w:lastColumn="0" w:noHBand="0" w:noVBand="1"/>
      </w:tblPr>
      <w:tblGrid>
        <w:gridCol w:w="1275"/>
        <w:gridCol w:w="2240"/>
        <w:gridCol w:w="1504"/>
        <w:gridCol w:w="1504"/>
        <w:gridCol w:w="1504"/>
        <w:gridCol w:w="1612"/>
      </w:tblGrid>
      <w:tr w:rsidR="00613FF1" w:rsidRPr="00D311AA" w14:paraId="24E441EB" w14:textId="77777777" w:rsidTr="00FE529A">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275" w:type="dxa"/>
            <w:tcBorders>
              <w:top w:val="single" w:sz="2" w:space="0" w:color="8EAADB" w:themeColor="accent5" w:themeTint="99"/>
              <w:bottom w:val="nil"/>
            </w:tcBorders>
            <w:shd w:val="clear" w:color="auto" w:fill="auto"/>
            <w:vAlign w:val="center"/>
          </w:tcPr>
          <w:p w14:paraId="397A2827" w14:textId="77777777" w:rsidR="00613FF1" w:rsidRPr="00D311AA" w:rsidRDefault="00613FF1" w:rsidP="00AB674E">
            <w:pPr>
              <w:pStyle w:val="08-Tabelageral"/>
            </w:pPr>
          </w:p>
        </w:tc>
        <w:tc>
          <w:tcPr>
            <w:tcW w:w="2240" w:type="dxa"/>
            <w:tcBorders>
              <w:top w:val="single" w:sz="2" w:space="0" w:color="8EAADB" w:themeColor="accent5" w:themeTint="99"/>
              <w:bottom w:val="nil"/>
            </w:tcBorders>
            <w:shd w:val="clear" w:color="auto" w:fill="auto"/>
            <w:vAlign w:val="center"/>
          </w:tcPr>
          <w:p w14:paraId="1E634181" w14:textId="77777777" w:rsidR="00613FF1" w:rsidRPr="00D311AA" w:rsidRDefault="00613FF1" w:rsidP="00AB674E">
            <w:pPr>
              <w:pStyle w:val="08-Tabelageral"/>
              <w:cnfStyle w:val="100000000000" w:firstRow="1" w:lastRow="0" w:firstColumn="0" w:lastColumn="0" w:oddVBand="0" w:evenVBand="0" w:oddHBand="0" w:evenHBand="0" w:firstRowFirstColumn="0" w:firstRowLastColumn="0" w:lastRowFirstColumn="0" w:lastRowLastColumn="0"/>
            </w:pPr>
          </w:p>
        </w:tc>
        <w:tc>
          <w:tcPr>
            <w:tcW w:w="3008" w:type="dxa"/>
            <w:gridSpan w:val="2"/>
            <w:tcBorders>
              <w:top w:val="single" w:sz="2" w:space="0" w:color="8EAADB" w:themeColor="accent5" w:themeTint="99"/>
              <w:bottom w:val="single" w:sz="2" w:space="0" w:color="8EAADB" w:themeColor="accent5" w:themeTint="99"/>
            </w:tcBorders>
            <w:shd w:val="clear" w:color="auto" w:fill="auto"/>
          </w:tcPr>
          <w:p w14:paraId="60D4A377" w14:textId="77777777" w:rsidR="00613FF1" w:rsidRPr="00D311AA" w:rsidRDefault="00613FF1" w:rsidP="00AB674E">
            <w:pPr>
              <w:pStyle w:val="08-Tabelageral"/>
              <w:jc w:val="center"/>
              <w:cnfStyle w:val="100000000000" w:firstRow="1" w:lastRow="0" w:firstColumn="0" w:lastColumn="0" w:oddVBand="0" w:evenVBand="0" w:oddHBand="0" w:evenHBand="0" w:firstRowFirstColumn="0" w:firstRowLastColumn="0" w:lastRowFirstColumn="0" w:lastRowLastColumn="0"/>
              <w:rPr>
                <w:bCs w:val="0"/>
              </w:rPr>
            </w:pPr>
            <w:r>
              <w:rPr>
                <w:rFonts w:cs="Arial"/>
                <w:szCs w:val="14"/>
              </w:rPr>
              <w:t>2022</w:t>
            </w:r>
          </w:p>
        </w:tc>
        <w:tc>
          <w:tcPr>
            <w:tcW w:w="3116" w:type="dxa"/>
            <w:gridSpan w:val="2"/>
            <w:tcBorders>
              <w:top w:val="single" w:sz="2" w:space="0" w:color="8EAADB" w:themeColor="accent5" w:themeTint="99"/>
              <w:bottom w:val="single" w:sz="2" w:space="0" w:color="8EAADB" w:themeColor="accent5" w:themeTint="99"/>
            </w:tcBorders>
            <w:shd w:val="clear" w:color="auto" w:fill="auto"/>
          </w:tcPr>
          <w:p w14:paraId="588FEF82" w14:textId="77777777" w:rsidR="00613FF1" w:rsidRPr="00D311AA" w:rsidRDefault="00613FF1" w:rsidP="00AB674E">
            <w:pPr>
              <w:pStyle w:val="08-Tabelageral"/>
              <w:jc w:val="center"/>
              <w:cnfStyle w:val="100000000000" w:firstRow="1" w:lastRow="0" w:firstColumn="0" w:lastColumn="0" w:oddVBand="0" w:evenVBand="0" w:oddHBand="0" w:evenHBand="0" w:firstRowFirstColumn="0" w:firstRowLastColumn="0" w:lastRowFirstColumn="0" w:lastRowLastColumn="0"/>
            </w:pPr>
            <w:r>
              <w:rPr>
                <w:rFonts w:cs="Arial"/>
                <w:szCs w:val="14"/>
              </w:rPr>
              <w:t>2021</w:t>
            </w:r>
          </w:p>
        </w:tc>
      </w:tr>
      <w:tr w:rsidR="00613FF1" w:rsidRPr="00D311AA" w14:paraId="6274B731" w14:textId="77777777" w:rsidTr="00021CF0">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single" w:sz="2" w:space="0" w:color="8EAADB" w:themeColor="accent5" w:themeTint="99"/>
            </w:tcBorders>
            <w:shd w:val="clear" w:color="auto" w:fill="auto"/>
          </w:tcPr>
          <w:p w14:paraId="63C1993A" w14:textId="77777777" w:rsidR="00613FF1" w:rsidRPr="00D311AA" w:rsidRDefault="00613FF1" w:rsidP="0038786A">
            <w:pPr>
              <w:pStyle w:val="08-Tabelageral"/>
              <w:rPr>
                <w:sz w:val="12"/>
                <w:szCs w:val="12"/>
              </w:rPr>
            </w:pPr>
          </w:p>
        </w:tc>
        <w:tc>
          <w:tcPr>
            <w:tcW w:w="1504" w:type="dxa"/>
            <w:tcBorders>
              <w:top w:val="nil"/>
              <w:bottom w:val="single" w:sz="2" w:space="0" w:color="8EAADB" w:themeColor="accent5" w:themeTint="99"/>
            </w:tcBorders>
            <w:shd w:val="clear" w:color="auto" w:fill="auto"/>
            <w:vAlign w:val="center"/>
          </w:tcPr>
          <w:p w14:paraId="15204381" w14:textId="77777777" w:rsidR="00613FF1" w:rsidRPr="00D311AA" w:rsidRDefault="00613FF1" w:rsidP="0038786A">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D311AA">
              <w:rPr>
                <w:b/>
                <w:sz w:val="12"/>
                <w:szCs w:val="12"/>
              </w:rPr>
              <w:t>Controller</w:t>
            </w:r>
            <w:r>
              <w:rPr>
                <w:b/>
                <w:sz w:val="12"/>
                <w:szCs w:val="12"/>
              </w:rPr>
              <w:t xml:space="preserve"> </w:t>
            </w:r>
            <w:r w:rsidRPr="00D311AA">
              <w:rPr>
                <w:b/>
                <w:sz w:val="12"/>
                <w:szCs w:val="12"/>
                <w:vertAlign w:val="superscript"/>
              </w:rPr>
              <w:t>(1)</w:t>
            </w:r>
          </w:p>
        </w:tc>
        <w:tc>
          <w:tcPr>
            <w:tcW w:w="1504" w:type="dxa"/>
            <w:tcBorders>
              <w:top w:val="single" w:sz="2" w:space="0" w:color="8EAADB" w:themeColor="accent5" w:themeTint="99"/>
              <w:bottom w:val="single" w:sz="2" w:space="0" w:color="8EAADB" w:themeColor="accent5" w:themeTint="99"/>
            </w:tcBorders>
            <w:shd w:val="clear" w:color="auto" w:fill="auto"/>
            <w:vAlign w:val="center"/>
          </w:tcPr>
          <w:p w14:paraId="11CA61E4" w14:textId="77777777" w:rsidR="00613FF1" w:rsidRPr="00D311AA" w:rsidRDefault="00613FF1" w:rsidP="0038786A">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D311AA">
              <w:rPr>
                <w:b/>
                <w:sz w:val="12"/>
                <w:szCs w:val="12"/>
              </w:rPr>
              <w:t>Subsidiaries</w:t>
            </w:r>
            <w:r>
              <w:rPr>
                <w:b/>
                <w:sz w:val="12"/>
                <w:szCs w:val="12"/>
              </w:rPr>
              <w:t xml:space="preserve"> </w:t>
            </w:r>
            <w:r w:rsidRPr="00D311AA">
              <w:rPr>
                <w:b/>
                <w:sz w:val="12"/>
                <w:szCs w:val="12"/>
                <w:vertAlign w:val="superscript"/>
              </w:rPr>
              <w:t>(2)</w:t>
            </w:r>
          </w:p>
        </w:tc>
        <w:tc>
          <w:tcPr>
            <w:tcW w:w="1504" w:type="dxa"/>
            <w:tcBorders>
              <w:top w:val="single" w:sz="2" w:space="0" w:color="8EAADB" w:themeColor="accent5" w:themeTint="99"/>
              <w:bottom w:val="single" w:sz="2" w:space="0" w:color="8EAADB" w:themeColor="accent5" w:themeTint="99"/>
            </w:tcBorders>
            <w:shd w:val="clear" w:color="auto" w:fill="auto"/>
            <w:vAlign w:val="center"/>
          </w:tcPr>
          <w:p w14:paraId="1C1A19E2" w14:textId="77777777" w:rsidR="00613FF1" w:rsidRPr="00D311AA" w:rsidRDefault="00613FF1" w:rsidP="0038786A">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D311AA">
              <w:rPr>
                <w:b/>
                <w:sz w:val="12"/>
                <w:szCs w:val="12"/>
              </w:rPr>
              <w:t>Controller</w:t>
            </w:r>
            <w:r>
              <w:rPr>
                <w:b/>
                <w:sz w:val="12"/>
                <w:szCs w:val="12"/>
              </w:rPr>
              <w:t xml:space="preserve"> </w:t>
            </w:r>
            <w:r w:rsidRPr="00D311AA">
              <w:rPr>
                <w:b/>
                <w:sz w:val="12"/>
                <w:szCs w:val="12"/>
                <w:vertAlign w:val="superscript"/>
              </w:rPr>
              <w:t>(1)</w:t>
            </w:r>
          </w:p>
        </w:tc>
        <w:tc>
          <w:tcPr>
            <w:tcW w:w="1612" w:type="dxa"/>
            <w:tcBorders>
              <w:top w:val="single" w:sz="2" w:space="0" w:color="8EAADB" w:themeColor="accent5" w:themeTint="99"/>
              <w:bottom w:val="single" w:sz="2" w:space="0" w:color="8EAADB" w:themeColor="accent5" w:themeTint="99"/>
            </w:tcBorders>
            <w:shd w:val="clear" w:color="auto" w:fill="auto"/>
            <w:vAlign w:val="center"/>
          </w:tcPr>
          <w:p w14:paraId="305FB377" w14:textId="77777777" w:rsidR="00613FF1" w:rsidRPr="00D311AA" w:rsidRDefault="00613FF1" w:rsidP="0038786A">
            <w:pPr>
              <w:pStyle w:val="08-Tabelageral"/>
              <w:cnfStyle w:val="000000100000" w:firstRow="0" w:lastRow="0" w:firstColumn="0" w:lastColumn="0" w:oddVBand="0" w:evenVBand="0" w:oddHBand="1" w:evenHBand="0" w:firstRowFirstColumn="0" w:firstRowLastColumn="0" w:lastRowFirstColumn="0" w:lastRowLastColumn="0"/>
              <w:rPr>
                <w:b/>
                <w:sz w:val="12"/>
                <w:szCs w:val="12"/>
              </w:rPr>
            </w:pPr>
            <w:r w:rsidRPr="00D311AA">
              <w:rPr>
                <w:b/>
                <w:sz w:val="12"/>
                <w:szCs w:val="12"/>
              </w:rPr>
              <w:t>Subsidiaries</w:t>
            </w:r>
            <w:r>
              <w:rPr>
                <w:b/>
                <w:sz w:val="12"/>
                <w:szCs w:val="12"/>
              </w:rPr>
              <w:t xml:space="preserve"> </w:t>
            </w:r>
            <w:r w:rsidRPr="00D311AA">
              <w:rPr>
                <w:b/>
                <w:sz w:val="12"/>
                <w:szCs w:val="12"/>
                <w:vertAlign w:val="superscript"/>
              </w:rPr>
              <w:t>(2)</w:t>
            </w:r>
          </w:p>
        </w:tc>
      </w:tr>
      <w:tr w:rsidR="00613FF1" w:rsidRPr="00D311AA" w14:paraId="30FF1C36" w14:textId="77777777" w:rsidTr="00021CF0">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515" w:type="dxa"/>
            <w:gridSpan w:val="2"/>
            <w:tcBorders>
              <w:top w:val="single" w:sz="2" w:space="0" w:color="8EAADB" w:themeColor="accent5" w:themeTint="99"/>
              <w:bottom w:val="nil"/>
            </w:tcBorders>
            <w:shd w:val="clear" w:color="auto" w:fill="auto"/>
          </w:tcPr>
          <w:p w14:paraId="32A4C046" w14:textId="77777777" w:rsidR="00613FF1" w:rsidRPr="00D311AA" w:rsidRDefault="00613FF1" w:rsidP="0038786A">
            <w:pPr>
              <w:pStyle w:val="08-Tabelageral"/>
              <w:jc w:val="left"/>
            </w:pPr>
            <w:r w:rsidRPr="00D311AA">
              <w:t>Income</w:t>
            </w:r>
          </w:p>
        </w:tc>
        <w:tc>
          <w:tcPr>
            <w:tcW w:w="1504" w:type="dxa"/>
            <w:tcBorders>
              <w:top w:val="single" w:sz="2" w:space="0" w:color="8EAADB" w:themeColor="accent5" w:themeTint="99"/>
              <w:bottom w:val="nil"/>
            </w:tcBorders>
            <w:shd w:val="clear" w:color="auto" w:fill="auto"/>
            <w:vAlign w:val="center"/>
          </w:tcPr>
          <w:p w14:paraId="7570FF5D" w14:textId="77777777" w:rsidR="00613FF1" w:rsidRPr="00D311AA" w:rsidRDefault="00613FF1" w:rsidP="0038786A">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504" w:type="dxa"/>
            <w:tcBorders>
              <w:top w:val="single" w:sz="2" w:space="0" w:color="8EAADB" w:themeColor="accent5" w:themeTint="99"/>
              <w:bottom w:val="nil"/>
            </w:tcBorders>
            <w:shd w:val="clear" w:color="auto" w:fill="auto"/>
          </w:tcPr>
          <w:p w14:paraId="0B018CFF" w14:textId="77777777" w:rsidR="00613FF1" w:rsidRPr="00D311AA" w:rsidRDefault="00613FF1" w:rsidP="0038786A">
            <w:pPr>
              <w:pStyle w:val="08-Tabelageral"/>
              <w:cnfStyle w:val="000000010000" w:firstRow="0" w:lastRow="0" w:firstColumn="0" w:lastColumn="0" w:oddVBand="0" w:evenVBand="0" w:oddHBand="0" w:evenHBand="1" w:firstRowFirstColumn="0" w:firstRowLastColumn="0" w:lastRowFirstColumn="0" w:lastRowLastColumn="0"/>
              <w:rPr>
                <w:b/>
                <w:szCs w:val="14"/>
              </w:rPr>
            </w:pPr>
            <w:r w:rsidRPr="00D311AA">
              <w:rPr>
                <w:b/>
                <w:szCs w:val="14"/>
              </w:rPr>
              <w:t xml:space="preserve"> </w:t>
            </w:r>
          </w:p>
        </w:tc>
        <w:tc>
          <w:tcPr>
            <w:tcW w:w="1504" w:type="dxa"/>
            <w:tcBorders>
              <w:top w:val="single" w:sz="2" w:space="0" w:color="8EAADB" w:themeColor="accent5" w:themeTint="99"/>
              <w:bottom w:val="nil"/>
            </w:tcBorders>
            <w:shd w:val="clear" w:color="auto" w:fill="auto"/>
          </w:tcPr>
          <w:p w14:paraId="558AD001" w14:textId="77777777" w:rsidR="00613FF1" w:rsidRPr="00D311AA" w:rsidRDefault="00613FF1" w:rsidP="0038786A">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612" w:type="dxa"/>
            <w:tcBorders>
              <w:top w:val="single" w:sz="2" w:space="0" w:color="8EAADB" w:themeColor="accent5" w:themeTint="99"/>
            </w:tcBorders>
            <w:shd w:val="clear" w:color="auto" w:fill="auto"/>
          </w:tcPr>
          <w:p w14:paraId="495A8723" w14:textId="77777777" w:rsidR="00613FF1" w:rsidRPr="00D311AA" w:rsidRDefault="00613FF1" w:rsidP="0038786A">
            <w:pPr>
              <w:pStyle w:val="08-Tabelageral"/>
              <w:cnfStyle w:val="000000010000" w:firstRow="0" w:lastRow="0" w:firstColumn="0" w:lastColumn="0" w:oddVBand="0" w:evenVBand="0" w:oddHBand="0" w:evenHBand="1" w:firstRowFirstColumn="0" w:firstRowLastColumn="0" w:lastRowFirstColumn="0" w:lastRowLastColumn="0"/>
              <w:rPr>
                <w:b/>
                <w:szCs w:val="14"/>
              </w:rPr>
            </w:pPr>
          </w:p>
        </w:tc>
      </w:tr>
      <w:tr w:rsidR="00613FF1" w:rsidRPr="00D311AA" w14:paraId="447551FA" w14:textId="77777777" w:rsidTr="00021CF0">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nil"/>
            </w:tcBorders>
            <w:shd w:val="clear" w:color="auto" w:fill="auto"/>
          </w:tcPr>
          <w:p w14:paraId="45EA1CEF" w14:textId="77777777" w:rsidR="00613FF1" w:rsidRPr="00613FF1" w:rsidRDefault="00613FF1" w:rsidP="00083529">
            <w:pPr>
              <w:pStyle w:val="08-Tabelageral"/>
              <w:jc w:val="left"/>
              <w:rPr>
                <w:b w:val="0"/>
                <w:lang w:val="en-US"/>
              </w:rPr>
            </w:pPr>
            <w:r w:rsidRPr="00613FF1">
              <w:rPr>
                <w:b w:val="0"/>
                <w:lang w:val="en-US"/>
              </w:rPr>
              <w:t>Interest earnings of financial instruments</w:t>
            </w:r>
          </w:p>
        </w:tc>
        <w:tc>
          <w:tcPr>
            <w:tcW w:w="1504" w:type="dxa"/>
            <w:tcBorders>
              <w:top w:val="nil"/>
            </w:tcBorders>
            <w:shd w:val="clear" w:color="auto" w:fill="auto"/>
          </w:tcPr>
          <w:p w14:paraId="4164C415"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12,982</w:t>
            </w:r>
          </w:p>
        </w:tc>
        <w:tc>
          <w:tcPr>
            <w:tcW w:w="1504" w:type="dxa"/>
            <w:tcBorders>
              <w:top w:val="nil"/>
            </w:tcBorders>
            <w:shd w:val="clear" w:color="auto" w:fill="auto"/>
          </w:tcPr>
          <w:p w14:paraId="51C32980"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w:t>
            </w:r>
          </w:p>
        </w:tc>
        <w:tc>
          <w:tcPr>
            <w:tcW w:w="1504" w:type="dxa"/>
            <w:tcBorders>
              <w:top w:val="nil"/>
            </w:tcBorders>
            <w:shd w:val="clear" w:color="auto" w:fill="auto"/>
          </w:tcPr>
          <w:p w14:paraId="471C0577"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rsidRPr="00225BD7">
              <w:t>13</w:t>
            </w:r>
            <w:r>
              <w:t>,</w:t>
            </w:r>
            <w:r w:rsidRPr="00225BD7">
              <w:t>527</w:t>
            </w:r>
          </w:p>
        </w:tc>
        <w:tc>
          <w:tcPr>
            <w:tcW w:w="1612" w:type="dxa"/>
            <w:tcBorders>
              <w:top w:val="nil"/>
            </w:tcBorders>
            <w:shd w:val="clear" w:color="auto" w:fill="auto"/>
          </w:tcPr>
          <w:p w14:paraId="190A8AA3"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w:t>
            </w:r>
          </w:p>
        </w:tc>
      </w:tr>
      <w:tr w:rsidR="00613FF1" w:rsidRPr="00D311AA" w14:paraId="67F47B0A" w14:textId="77777777" w:rsidTr="00021CF0">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nil"/>
            </w:tcBorders>
            <w:shd w:val="clear" w:color="auto" w:fill="auto"/>
          </w:tcPr>
          <w:p w14:paraId="63D6B797" w14:textId="77777777" w:rsidR="00613FF1" w:rsidRPr="00D311AA" w:rsidRDefault="00613FF1" w:rsidP="00083529">
            <w:pPr>
              <w:pStyle w:val="08-Tabelageral"/>
              <w:jc w:val="left"/>
              <w:rPr>
                <w:b w:val="0"/>
              </w:rPr>
            </w:pPr>
            <w:r w:rsidRPr="00D311AA">
              <w:rPr>
                <w:b w:val="0"/>
              </w:rPr>
              <w:t>Personnel expenses</w:t>
            </w:r>
          </w:p>
        </w:tc>
        <w:tc>
          <w:tcPr>
            <w:tcW w:w="1504" w:type="dxa"/>
            <w:shd w:val="clear" w:color="auto" w:fill="auto"/>
          </w:tcPr>
          <w:p w14:paraId="3F4DF88B" w14:textId="77777777" w:rsidR="00613FF1" w:rsidRPr="00D311AA"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(14,955)</w:t>
            </w:r>
          </w:p>
        </w:tc>
        <w:tc>
          <w:tcPr>
            <w:tcW w:w="1504" w:type="dxa"/>
            <w:shd w:val="clear" w:color="auto" w:fill="auto"/>
          </w:tcPr>
          <w:p w14:paraId="2D44BA6C" w14:textId="77777777" w:rsidR="00613FF1" w:rsidRPr="00D311AA"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w:t>
            </w:r>
          </w:p>
        </w:tc>
        <w:tc>
          <w:tcPr>
            <w:tcW w:w="1504" w:type="dxa"/>
            <w:shd w:val="clear" w:color="auto" w:fill="auto"/>
          </w:tcPr>
          <w:p w14:paraId="40B0977A" w14:textId="77777777" w:rsidR="00613FF1" w:rsidRPr="00D311AA"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rsidRPr="00225BD7">
              <w:t>(12</w:t>
            </w:r>
            <w:r>
              <w:t>,</w:t>
            </w:r>
            <w:r w:rsidRPr="00225BD7">
              <w:t>167)</w:t>
            </w:r>
          </w:p>
        </w:tc>
        <w:tc>
          <w:tcPr>
            <w:tcW w:w="1612" w:type="dxa"/>
            <w:shd w:val="clear" w:color="auto" w:fill="auto"/>
          </w:tcPr>
          <w:p w14:paraId="51AFFFC8" w14:textId="77777777" w:rsidR="00613FF1" w:rsidRPr="00D311AA"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w:t>
            </w:r>
          </w:p>
        </w:tc>
      </w:tr>
      <w:tr w:rsidR="00613FF1" w:rsidRPr="00D311AA" w14:paraId="21B110DC" w14:textId="77777777" w:rsidTr="00021CF0">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nil"/>
            </w:tcBorders>
            <w:shd w:val="clear" w:color="auto" w:fill="auto"/>
          </w:tcPr>
          <w:p w14:paraId="2921113D" w14:textId="77777777" w:rsidR="00613FF1" w:rsidRPr="00D311AA" w:rsidRDefault="00613FF1" w:rsidP="00083529">
            <w:pPr>
              <w:pStyle w:val="08-Tabelageral"/>
              <w:jc w:val="left"/>
              <w:rPr>
                <w:b w:val="0"/>
              </w:rPr>
            </w:pPr>
            <w:r w:rsidRPr="00D311AA">
              <w:rPr>
                <w:b w:val="0"/>
              </w:rPr>
              <w:t xml:space="preserve">Administrative expenses </w:t>
            </w:r>
            <w:r w:rsidRPr="00D311AA">
              <w:rPr>
                <w:b w:val="0"/>
                <w:vertAlign w:val="superscript"/>
              </w:rPr>
              <w:t>(3)</w:t>
            </w:r>
          </w:p>
        </w:tc>
        <w:tc>
          <w:tcPr>
            <w:tcW w:w="1504" w:type="dxa"/>
            <w:shd w:val="clear" w:color="auto" w:fill="auto"/>
          </w:tcPr>
          <w:p w14:paraId="749F2C7F"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(1,871)</w:t>
            </w:r>
          </w:p>
        </w:tc>
        <w:tc>
          <w:tcPr>
            <w:tcW w:w="1504" w:type="dxa"/>
            <w:shd w:val="clear" w:color="auto" w:fill="auto"/>
          </w:tcPr>
          <w:p w14:paraId="197AEE17"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p>
        </w:tc>
        <w:tc>
          <w:tcPr>
            <w:tcW w:w="1504" w:type="dxa"/>
            <w:shd w:val="clear" w:color="auto" w:fill="auto"/>
          </w:tcPr>
          <w:p w14:paraId="1C0C95D7"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rsidRPr="00225BD7">
              <w:t>(1</w:t>
            </w:r>
            <w:r>
              <w:t>,</w:t>
            </w:r>
            <w:r w:rsidRPr="00225BD7">
              <w:t>273)</w:t>
            </w:r>
          </w:p>
        </w:tc>
        <w:tc>
          <w:tcPr>
            <w:tcW w:w="1612" w:type="dxa"/>
            <w:shd w:val="clear" w:color="auto" w:fill="auto"/>
          </w:tcPr>
          <w:p w14:paraId="29DD1666"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w:t>
            </w:r>
          </w:p>
        </w:tc>
      </w:tr>
      <w:tr w:rsidR="00613FF1" w:rsidRPr="00D311AA" w14:paraId="107C8D6E" w14:textId="77777777" w:rsidTr="00021CF0">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nil"/>
            </w:tcBorders>
            <w:shd w:val="clear" w:color="auto" w:fill="auto"/>
          </w:tcPr>
          <w:p w14:paraId="20E09E8B" w14:textId="77777777" w:rsidR="00613FF1" w:rsidRPr="00D311AA" w:rsidRDefault="00613FF1" w:rsidP="00083529">
            <w:pPr>
              <w:pStyle w:val="08-Tabelageral"/>
              <w:jc w:val="left"/>
              <w:rPr>
                <w:b w:val="0"/>
              </w:rPr>
            </w:pPr>
            <w:r w:rsidRPr="00D311AA">
              <w:rPr>
                <w:b w:val="0"/>
              </w:rPr>
              <w:t>Monetary assets changes</w:t>
            </w:r>
          </w:p>
        </w:tc>
        <w:tc>
          <w:tcPr>
            <w:tcW w:w="1504" w:type="dxa"/>
            <w:shd w:val="clear" w:color="auto" w:fill="auto"/>
          </w:tcPr>
          <w:p w14:paraId="642EED12" w14:textId="77777777" w:rsidR="00613FF1" w:rsidRPr="00D311AA"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w:t>
            </w:r>
          </w:p>
        </w:tc>
        <w:tc>
          <w:tcPr>
            <w:tcW w:w="1504" w:type="dxa"/>
            <w:shd w:val="clear" w:color="auto" w:fill="auto"/>
          </w:tcPr>
          <w:p w14:paraId="7749BCAD" w14:textId="77777777" w:rsidR="00613FF1" w:rsidRPr="00D311AA"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22,106</w:t>
            </w:r>
          </w:p>
        </w:tc>
        <w:tc>
          <w:tcPr>
            <w:tcW w:w="1504" w:type="dxa"/>
            <w:shd w:val="clear" w:color="auto" w:fill="auto"/>
          </w:tcPr>
          <w:p w14:paraId="62D843B0" w14:textId="77777777" w:rsidR="00613FF1" w:rsidRPr="00D311AA"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w:t>
            </w:r>
          </w:p>
        </w:tc>
        <w:tc>
          <w:tcPr>
            <w:tcW w:w="1612" w:type="dxa"/>
            <w:shd w:val="clear" w:color="auto" w:fill="auto"/>
          </w:tcPr>
          <w:p w14:paraId="1DA9A71C" w14:textId="77777777" w:rsidR="00613FF1" w:rsidRPr="00D311AA" w:rsidRDefault="00613FF1" w:rsidP="00083529">
            <w:pPr>
              <w:pStyle w:val="08-Tabelageral"/>
              <w:cnfStyle w:val="000000010000" w:firstRow="0" w:lastRow="0" w:firstColumn="0" w:lastColumn="0" w:oddVBand="0" w:evenVBand="0" w:oddHBand="0" w:evenHBand="1" w:firstRowFirstColumn="0" w:firstRowLastColumn="0" w:lastRowFirstColumn="0" w:lastRowLastColumn="0"/>
            </w:pPr>
            <w:r>
              <w:t>2,934</w:t>
            </w:r>
          </w:p>
        </w:tc>
      </w:tr>
      <w:tr w:rsidR="00613FF1" w:rsidRPr="00D311AA" w14:paraId="3F45C1D1" w14:textId="77777777" w:rsidTr="00021CF0">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515" w:type="dxa"/>
            <w:gridSpan w:val="2"/>
            <w:tcBorders>
              <w:top w:val="nil"/>
              <w:bottom w:val="single" w:sz="2" w:space="0" w:color="1F4E79" w:themeColor="accent1" w:themeShade="80"/>
            </w:tcBorders>
            <w:shd w:val="clear" w:color="auto" w:fill="auto"/>
          </w:tcPr>
          <w:p w14:paraId="154A678A" w14:textId="77777777" w:rsidR="00613FF1" w:rsidRPr="00D311AA" w:rsidRDefault="00613FF1" w:rsidP="00083529">
            <w:pPr>
              <w:pStyle w:val="08-Tabelageral"/>
              <w:jc w:val="left"/>
              <w:rPr>
                <w:b w:val="0"/>
              </w:rPr>
            </w:pPr>
            <w:r w:rsidRPr="00D311AA">
              <w:rPr>
                <w:rFonts w:cs="Arial"/>
                <w:b w:val="0"/>
                <w:color w:val="000000"/>
              </w:rPr>
              <w:t>Monetary liabilities changes</w:t>
            </w:r>
          </w:p>
        </w:tc>
        <w:tc>
          <w:tcPr>
            <w:tcW w:w="1504" w:type="dxa"/>
            <w:shd w:val="clear" w:color="auto" w:fill="auto"/>
          </w:tcPr>
          <w:p w14:paraId="6272E3E9"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(17,056)</w:t>
            </w:r>
          </w:p>
        </w:tc>
        <w:tc>
          <w:tcPr>
            <w:tcW w:w="1504" w:type="dxa"/>
            <w:shd w:val="clear" w:color="auto" w:fill="auto"/>
          </w:tcPr>
          <w:p w14:paraId="6C9E461F"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w:t>
            </w:r>
          </w:p>
        </w:tc>
        <w:tc>
          <w:tcPr>
            <w:tcW w:w="1504" w:type="dxa"/>
            <w:shd w:val="clear" w:color="auto" w:fill="auto"/>
          </w:tcPr>
          <w:p w14:paraId="0EF5035C"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rsidRPr="00225BD7">
              <w:t>(1</w:t>
            </w:r>
            <w:r>
              <w:t>,</w:t>
            </w:r>
            <w:r w:rsidRPr="00225BD7">
              <w:t>738)</w:t>
            </w:r>
          </w:p>
        </w:tc>
        <w:tc>
          <w:tcPr>
            <w:tcW w:w="1612" w:type="dxa"/>
            <w:shd w:val="clear" w:color="auto" w:fill="auto"/>
          </w:tcPr>
          <w:p w14:paraId="688E89B5" w14:textId="77777777" w:rsidR="00613FF1" w:rsidRPr="00D311AA" w:rsidRDefault="00613FF1" w:rsidP="00083529">
            <w:pPr>
              <w:pStyle w:val="08-Tabelageral"/>
              <w:cnfStyle w:val="000000100000" w:firstRow="0" w:lastRow="0" w:firstColumn="0" w:lastColumn="0" w:oddVBand="0" w:evenVBand="0" w:oddHBand="1" w:evenHBand="0" w:firstRowFirstColumn="0" w:firstRowLastColumn="0" w:lastRowFirstColumn="0" w:lastRowLastColumn="0"/>
            </w:pPr>
            <w:r>
              <w:t>--</w:t>
            </w:r>
          </w:p>
        </w:tc>
      </w:tr>
    </w:tbl>
    <w:p w14:paraId="72293954" w14:textId="77777777" w:rsidR="00613FF1" w:rsidRPr="00CA0C3C" w:rsidRDefault="00613FF1" w:rsidP="00613FF1">
      <w:pPr>
        <w:pStyle w:val="07-Legenda"/>
        <w:numPr>
          <w:ilvl w:val="0"/>
          <w:numId w:val="28"/>
        </w:numPr>
        <w:spacing w:before="0"/>
        <w:ind w:left="142" w:hanging="142"/>
      </w:pPr>
      <w:r w:rsidRPr="00CA0C3C">
        <w:t>Banco do Brasil S.A.</w:t>
      </w:r>
    </w:p>
    <w:p w14:paraId="32893384" w14:textId="77777777" w:rsidR="00613FF1" w:rsidRPr="00CA0C3C" w:rsidRDefault="00613FF1" w:rsidP="00613FF1">
      <w:pPr>
        <w:pStyle w:val="07-Legenda"/>
        <w:numPr>
          <w:ilvl w:val="0"/>
          <w:numId w:val="28"/>
        </w:numPr>
        <w:spacing w:before="0"/>
        <w:ind w:left="142" w:hanging="142"/>
      </w:pPr>
      <w:r w:rsidRPr="00CA0C3C">
        <w:t>BB Seguros and BB Corretora.</w:t>
      </w:r>
    </w:p>
    <w:p w14:paraId="548A2D49" w14:textId="77777777" w:rsidR="00613FF1" w:rsidRPr="00613FF1" w:rsidRDefault="00613FF1" w:rsidP="00613FF1">
      <w:pPr>
        <w:pStyle w:val="07-Legenda"/>
        <w:numPr>
          <w:ilvl w:val="0"/>
          <w:numId w:val="28"/>
        </w:numPr>
        <w:spacing w:before="0"/>
        <w:ind w:left="284" w:hanging="284"/>
        <w:rPr>
          <w:lang w:val="en-US"/>
        </w:rPr>
      </w:pPr>
      <w:r w:rsidRPr="00613FF1">
        <w:rPr>
          <w:lang w:val="en-US"/>
        </w:rPr>
        <w:t>Refers to expenses as sharing contract customer data, use of staff, distribution network and resource materials technological and administrative, between the Banco do Brasil, BB Seguridade, BB Corretora and BB Seguros.</w:t>
      </w:r>
    </w:p>
    <w:p w14:paraId="53F83DA8" w14:textId="77777777" w:rsidR="00613FF1" w:rsidRPr="00613FF1" w:rsidRDefault="00613FF1" w:rsidP="00021CF0">
      <w:pPr>
        <w:spacing w:after="0" w:line="240" w:lineRule="auto"/>
        <w:ind w:left="142" w:hanging="142"/>
        <w:rPr>
          <w:rFonts w:cs="Arial"/>
          <w:b/>
          <w:color w:val="1F4E79" w:themeColor="accent1" w:themeShade="80"/>
          <w:sz w:val="20"/>
          <w:szCs w:val="20"/>
          <w:lang w:val="en-US"/>
        </w:rPr>
      </w:pPr>
    </w:p>
    <w:p w14:paraId="756244B3" w14:textId="77777777" w:rsidR="00613FF1" w:rsidRPr="00274BB2" w:rsidRDefault="00613FF1" w:rsidP="00A0014D">
      <w:pPr>
        <w:pStyle w:val="03-SubttulodeNota"/>
        <w:rPr>
          <w:color w:val="1F4E79" w:themeColor="accent1" w:themeShade="80"/>
          <w:sz w:val="18"/>
          <w:szCs w:val="18"/>
        </w:rPr>
      </w:pPr>
      <w:r w:rsidRPr="00274BB2">
        <w:rPr>
          <w:color w:val="1F4E79" w:themeColor="accent1" w:themeShade="80"/>
          <w:sz w:val="18"/>
          <w:szCs w:val="18"/>
        </w:rPr>
        <w:t>BB Seguridade – Consolidated</w:t>
      </w:r>
    </w:p>
    <w:p w14:paraId="55F26BBB" w14:textId="77777777" w:rsidR="00613FF1" w:rsidRPr="00D311AA" w:rsidRDefault="00613FF1" w:rsidP="00CF5B3B">
      <w:pPr>
        <w:pStyle w:val="01-TtulodeNota"/>
        <w:spacing w:before="0" w:after="0"/>
        <w:ind w:firstLine="708"/>
        <w:jc w:val="right"/>
        <w:rPr>
          <w:sz w:val="14"/>
          <w:szCs w:val="14"/>
        </w:rPr>
      </w:pPr>
      <w:r w:rsidRPr="00D311AA">
        <w:rPr>
          <w:sz w:val="14"/>
          <w:szCs w:val="14"/>
        </w:rPr>
        <w:t>R$ thousand</w:t>
      </w:r>
    </w:p>
    <w:tbl>
      <w:tblPr>
        <w:tblW w:w="4897" w:type="pct"/>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87"/>
        <w:gridCol w:w="1762"/>
        <w:gridCol w:w="226"/>
        <w:gridCol w:w="1048"/>
        <w:gridCol w:w="1127"/>
        <w:gridCol w:w="1086"/>
        <w:gridCol w:w="314"/>
        <w:gridCol w:w="253"/>
        <w:gridCol w:w="1021"/>
        <w:gridCol w:w="1127"/>
        <w:gridCol w:w="1400"/>
      </w:tblGrid>
      <w:tr w:rsidR="00613FF1" w:rsidRPr="00D311AA" w14:paraId="339A7357" w14:textId="77777777" w:rsidTr="006D7BA5">
        <w:trPr>
          <w:trHeight w:val="238"/>
          <w:jc w:val="center"/>
        </w:trPr>
        <w:tc>
          <w:tcPr>
            <w:tcW w:w="287" w:type="dxa"/>
            <w:tcBorders>
              <w:top w:val="single" w:sz="2" w:space="0" w:color="1F4E79" w:themeColor="accent1" w:themeShade="80"/>
              <w:bottom w:val="nil"/>
            </w:tcBorders>
            <w:shd w:val="clear" w:color="auto" w:fill="auto"/>
            <w:vAlign w:val="center"/>
          </w:tcPr>
          <w:p w14:paraId="501BC391" w14:textId="77777777" w:rsidR="00613FF1" w:rsidRPr="00D311AA" w:rsidRDefault="00613FF1" w:rsidP="00C74364">
            <w:pPr>
              <w:pStyle w:val="08-Tabelageral"/>
              <w:jc w:val="center"/>
              <w:rPr>
                <w:b/>
                <w:bCs/>
              </w:rPr>
            </w:pPr>
          </w:p>
        </w:tc>
        <w:tc>
          <w:tcPr>
            <w:tcW w:w="1762" w:type="dxa"/>
            <w:tcBorders>
              <w:top w:val="single" w:sz="2" w:space="0" w:color="1F4E79" w:themeColor="accent1" w:themeShade="80"/>
              <w:bottom w:val="nil"/>
            </w:tcBorders>
            <w:shd w:val="clear" w:color="auto" w:fill="auto"/>
            <w:vAlign w:val="center"/>
          </w:tcPr>
          <w:p w14:paraId="542A7B53" w14:textId="77777777" w:rsidR="00613FF1" w:rsidRPr="00D311AA" w:rsidRDefault="00613FF1" w:rsidP="00C74364">
            <w:pPr>
              <w:pStyle w:val="08-Tabelageral"/>
              <w:jc w:val="center"/>
              <w:rPr>
                <w:b/>
                <w:bCs/>
              </w:rPr>
            </w:pPr>
          </w:p>
        </w:tc>
        <w:tc>
          <w:tcPr>
            <w:tcW w:w="3487" w:type="dxa"/>
            <w:gridSpan w:val="4"/>
            <w:tcBorders>
              <w:top w:val="single" w:sz="2" w:space="0" w:color="1F4E79" w:themeColor="accent1" w:themeShade="80"/>
              <w:bottom w:val="single" w:sz="2" w:space="0" w:color="1F4E79" w:themeColor="accent1" w:themeShade="80"/>
            </w:tcBorders>
            <w:shd w:val="clear" w:color="auto" w:fill="auto"/>
            <w:vAlign w:val="center"/>
          </w:tcPr>
          <w:p w14:paraId="7CC9FD55" w14:textId="77777777" w:rsidR="00613FF1" w:rsidRPr="00D311AA" w:rsidRDefault="00613FF1" w:rsidP="00C74364">
            <w:pPr>
              <w:pStyle w:val="08-Tabelageral"/>
              <w:jc w:val="center"/>
              <w:rPr>
                <w:b/>
                <w:bCs/>
              </w:rPr>
            </w:pPr>
            <w:r>
              <w:rPr>
                <w:b/>
                <w:bCs/>
              </w:rPr>
              <w:t>Dec</w:t>
            </w:r>
            <w:r w:rsidRPr="00D311AA">
              <w:rPr>
                <w:b/>
                <w:bCs/>
              </w:rPr>
              <w:t xml:space="preserve"> 3</w:t>
            </w:r>
            <w:r>
              <w:rPr>
                <w:b/>
                <w:bCs/>
              </w:rPr>
              <w:t>1</w:t>
            </w:r>
            <w:r w:rsidRPr="00D311AA">
              <w:rPr>
                <w:b/>
                <w:bCs/>
              </w:rPr>
              <w:t>, 202</w:t>
            </w:r>
            <w:r>
              <w:rPr>
                <w:b/>
                <w:bCs/>
              </w:rPr>
              <w:t>2</w:t>
            </w:r>
          </w:p>
        </w:tc>
        <w:tc>
          <w:tcPr>
            <w:tcW w:w="314" w:type="dxa"/>
            <w:tcBorders>
              <w:top w:val="single" w:sz="2" w:space="0" w:color="1F4E79" w:themeColor="accent1" w:themeShade="80"/>
              <w:bottom w:val="single" w:sz="2" w:space="0" w:color="1F4E79" w:themeColor="accent1" w:themeShade="80"/>
            </w:tcBorders>
            <w:shd w:val="clear" w:color="auto" w:fill="auto"/>
          </w:tcPr>
          <w:p w14:paraId="6C08B271" w14:textId="77777777" w:rsidR="00613FF1" w:rsidRPr="00D311AA" w:rsidRDefault="00613FF1" w:rsidP="00C74364">
            <w:pPr>
              <w:pStyle w:val="08-Tabelageral"/>
              <w:jc w:val="center"/>
              <w:rPr>
                <w:b/>
                <w:bCs/>
              </w:rPr>
            </w:pPr>
          </w:p>
        </w:tc>
        <w:tc>
          <w:tcPr>
            <w:tcW w:w="253" w:type="dxa"/>
            <w:tcBorders>
              <w:top w:val="single" w:sz="2" w:space="0" w:color="1F4E79" w:themeColor="accent1" w:themeShade="80"/>
              <w:bottom w:val="single" w:sz="2" w:space="0" w:color="1F4E79" w:themeColor="accent1" w:themeShade="80"/>
            </w:tcBorders>
            <w:shd w:val="clear" w:color="auto" w:fill="auto"/>
          </w:tcPr>
          <w:p w14:paraId="24B28FF7" w14:textId="77777777" w:rsidR="00613FF1" w:rsidRPr="00D311AA" w:rsidRDefault="00613FF1" w:rsidP="00C74364">
            <w:pPr>
              <w:pStyle w:val="08-Tabelageral"/>
              <w:jc w:val="left"/>
              <w:rPr>
                <w:b/>
                <w:bCs/>
              </w:rPr>
            </w:pPr>
          </w:p>
        </w:tc>
        <w:tc>
          <w:tcPr>
            <w:tcW w:w="3548" w:type="dxa"/>
            <w:gridSpan w:val="3"/>
            <w:tcBorders>
              <w:top w:val="single" w:sz="2" w:space="0" w:color="1F4E79" w:themeColor="accent1" w:themeShade="80"/>
              <w:bottom w:val="single" w:sz="2" w:space="0" w:color="1F4E79" w:themeColor="accent1" w:themeShade="80"/>
            </w:tcBorders>
            <w:shd w:val="clear" w:color="auto" w:fill="auto"/>
            <w:vAlign w:val="center"/>
          </w:tcPr>
          <w:p w14:paraId="7149B465" w14:textId="77777777" w:rsidR="00613FF1" w:rsidRPr="00D311AA" w:rsidRDefault="00613FF1" w:rsidP="00C74364">
            <w:pPr>
              <w:pStyle w:val="08-Tabelageral"/>
              <w:jc w:val="center"/>
              <w:rPr>
                <w:b/>
                <w:bCs/>
              </w:rPr>
            </w:pPr>
            <w:r>
              <w:rPr>
                <w:b/>
                <w:bCs/>
              </w:rPr>
              <w:t>Dec</w:t>
            </w:r>
            <w:r w:rsidRPr="00D311AA">
              <w:rPr>
                <w:b/>
                <w:bCs/>
              </w:rPr>
              <w:t xml:space="preserve"> 31, 202</w:t>
            </w:r>
            <w:r>
              <w:rPr>
                <w:b/>
                <w:bCs/>
              </w:rPr>
              <w:t>1</w:t>
            </w:r>
          </w:p>
        </w:tc>
      </w:tr>
      <w:tr w:rsidR="00613FF1" w:rsidRPr="00D311AA" w14:paraId="12574CF3" w14:textId="77777777" w:rsidTr="002E2397">
        <w:trPr>
          <w:trHeight w:val="238"/>
          <w:jc w:val="center"/>
        </w:trPr>
        <w:tc>
          <w:tcPr>
            <w:tcW w:w="2275" w:type="dxa"/>
            <w:gridSpan w:val="3"/>
            <w:tcBorders>
              <w:top w:val="nil"/>
              <w:bottom w:val="single" w:sz="2" w:space="0" w:color="1F4E79" w:themeColor="accent1" w:themeShade="80"/>
            </w:tcBorders>
            <w:shd w:val="clear" w:color="auto" w:fill="auto"/>
            <w:vAlign w:val="center"/>
          </w:tcPr>
          <w:p w14:paraId="474792C4" w14:textId="77777777" w:rsidR="00613FF1" w:rsidRPr="00D311AA" w:rsidRDefault="00613FF1" w:rsidP="00C74364">
            <w:pPr>
              <w:pStyle w:val="08-Tabelageral"/>
              <w:jc w:val="center"/>
              <w:rPr>
                <w:b/>
                <w:szCs w:val="14"/>
              </w:rPr>
            </w:pPr>
          </w:p>
        </w:tc>
        <w:tc>
          <w:tcPr>
            <w:tcW w:w="1048" w:type="dxa"/>
            <w:tcBorders>
              <w:top w:val="single" w:sz="2" w:space="0" w:color="8EAADB" w:themeColor="accent5" w:themeTint="99"/>
              <w:bottom w:val="single" w:sz="2" w:space="0" w:color="1F4E79" w:themeColor="accent1" w:themeShade="80"/>
            </w:tcBorders>
            <w:shd w:val="clear" w:color="auto" w:fill="auto"/>
            <w:vAlign w:val="center"/>
          </w:tcPr>
          <w:p w14:paraId="1FD651F5" w14:textId="77777777" w:rsidR="00613FF1" w:rsidRPr="00D311AA" w:rsidRDefault="00613FF1" w:rsidP="00C74364">
            <w:pPr>
              <w:pStyle w:val="08-Tabelageral"/>
              <w:rPr>
                <w:b/>
                <w:szCs w:val="14"/>
              </w:rPr>
            </w:pPr>
            <w:r w:rsidRPr="00D311AA">
              <w:rPr>
                <w:b/>
                <w:szCs w:val="14"/>
              </w:rPr>
              <w:t xml:space="preserve">Controller </w:t>
            </w:r>
            <w:r w:rsidRPr="00D311AA">
              <w:rPr>
                <w:b/>
                <w:szCs w:val="14"/>
                <w:vertAlign w:val="superscript"/>
              </w:rPr>
              <w:t>(1)</w:t>
            </w:r>
          </w:p>
        </w:tc>
        <w:tc>
          <w:tcPr>
            <w:tcW w:w="1127" w:type="dxa"/>
            <w:tcBorders>
              <w:top w:val="single" w:sz="2" w:space="0" w:color="8EAADB" w:themeColor="accent5" w:themeTint="99"/>
              <w:bottom w:val="single" w:sz="2" w:space="0" w:color="1F4E79" w:themeColor="accent1" w:themeShade="80"/>
            </w:tcBorders>
            <w:shd w:val="clear" w:color="auto" w:fill="auto"/>
            <w:vAlign w:val="center"/>
          </w:tcPr>
          <w:p w14:paraId="7C12D4EE" w14:textId="77777777" w:rsidR="00613FF1" w:rsidRPr="00D311AA" w:rsidRDefault="00613FF1" w:rsidP="00C74364">
            <w:pPr>
              <w:pStyle w:val="08-Tabelageral"/>
              <w:rPr>
                <w:b/>
                <w:szCs w:val="14"/>
              </w:rPr>
            </w:pPr>
            <w:r w:rsidRPr="00D311AA">
              <w:rPr>
                <w:b/>
                <w:szCs w:val="14"/>
              </w:rPr>
              <w:t>Associates and joint ventures</w:t>
            </w:r>
            <w:r>
              <w:rPr>
                <w:b/>
                <w:szCs w:val="14"/>
              </w:rPr>
              <w:t xml:space="preserve"> </w:t>
            </w:r>
            <w:r w:rsidRPr="00D311AA">
              <w:rPr>
                <w:b/>
                <w:szCs w:val="14"/>
                <w:vertAlign w:val="superscript"/>
              </w:rPr>
              <w:t>(2)</w:t>
            </w:r>
          </w:p>
        </w:tc>
        <w:tc>
          <w:tcPr>
            <w:tcW w:w="1400" w:type="dxa"/>
            <w:gridSpan w:val="2"/>
            <w:tcBorders>
              <w:top w:val="single" w:sz="2" w:space="0" w:color="8EAADB" w:themeColor="accent5" w:themeTint="99"/>
              <w:bottom w:val="single" w:sz="2" w:space="0" w:color="1F4E79" w:themeColor="accent1" w:themeShade="80"/>
            </w:tcBorders>
            <w:shd w:val="clear" w:color="auto" w:fill="auto"/>
            <w:vAlign w:val="center"/>
          </w:tcPr>
          <w:p w14:paraId="797F9FC0" w14:textId="77777777" w:rsidR="00613FF1" w:rsidRPr="00D311AA" w:rsidRDefault="00613FF1" w:rsidP="00C74364">
            <w:pPr>
              <w:pStyle w:val="08-Tabelageral"/>
              <w:rPr>
                <w:b/>
                <w:szCs w:val="14"/>
              </w:rPr>
            </w:pPr>
            <w:r w:rsidRPr="00D311AA">
              <w:rPr>
                <w:b/>
                <w:szCs w:val="14"/>
              </w:rPr>
              <w:t>Other related parties</w:t>
            </w:r>
          </w:p>
        </w:tc>
        <w:tc>
          <w:tcPr>
            <w:tcW w:w="1274" w:type="dxa"/>
            <w:gridSpan w:val="2"/>
            <w:tcBorders>
              <w:top w:val="single" w:sz="2" w:space="0" w:color="8EAADB" w:themeColor="accent5" w:themeTint="99"/>
              <w:bottom w:val="single" w:sz="2" w:space="0" w:color="1F4E79" w:themeColor="accent1" w:themeShade="80"/>
            </w:tcBorders>
            <w:shd w:val="clear" w:color="auto" w:fill="auto"/>
            <w:vAlign w:val="center"/>
          </w:tcPr>
          <w:p w14:paraId="30207B2B" w14:textId="77777777" w:rsidR="00613FF1" w:rsidRPr="00D311AA" w:rsidRDefault="00613FF1" w:rsidP="00C74364">
            <w:pPr>
              <w:pStyle w:val="08-Tabelageral"/>
              <w:rPr>
                <w:b/>
                <w:szCs w:val="14"/>
              </w:rPr>
            </w:pPr>
            <w:r w:rsidRPr="00D311AA">
              <w:rPr>
                <w:b/>
                <w:szCs w:val="14"/>
              </w:rPr>
              <w:t xml:space="preserve">Controller </w:t>
            </w:r>
            <w:r w:rsidRPr="00D311AA">
              <w:rPr>
                <w:b/>
                <w:szCs w:val="14"/>
                <w:vertAlign w:val="superscript"/>
              </w:rPr>
              <w:t>(1)</w:t>
            </w:r>
          </w:p>
        </w:tc>
        <w:tc>
          <w:tcPr>
            <w:tcW w:w="1127" w:type="dxa"/>
            <w:tcBorders>
              <w:top w:val="single" w:sz="2" w:space="0" w:color="8EAADB" w:themeColor="accent5" w:themeTint="99"/>
              <w:bottom w:val="single" w:sz="2" w:space="0" w:color="1F4E79" w:themeColor="accent1" w:themeShade="80"/>
            </w:tcBorders>
            <w:shd w:val="clear" w:color="auto" w:fill="auto"/>
            <w:vAlign w:val="center"/>
          </w:tcPr>
          <w:p w14:paraId="6921E22E" w14:textId="77777777" w:rsidR="00613FF1" w:rsidRPr="00D311AA" w:rsidRDefault="00613FF1" w:rsidP="00C74364">
            <w:pPr>
              <w:pStyle w:val="08-Tabelageral"/>
              <w:rPr>
                <w:b/>
                <w:szCs w:val="14"/>
              </w:rPr>
            </w:pPr>
            <w:r w:rsidRPr="00D311AA">
              <w:rPr>
                <w:b/>
                <w:szCs w:val="14"/>
              </w:rPr>
              <w:t>Associates and joint ventures</w:t>
            </w:r>
            <w:r>
              <w:rPr>
                <w:b/>
                <w:szCs w:val="14"/>
              </w:rPr>
              <w:t xml:space="preserve"> </w:t>
            </w:r>
            <w:r w:rsidRPr="00D311AA">
              <w:rPr>
                <w:b/>
                <w:szCs w:val="14"/>
                <w:vertAlign w:val="superscript"/>
              </w:rPr>
              <w:t>(2)</w:t>
            </w:r>
          </w:p>
        </w:tc>
        <w:tc>
          <w:tcPr>
            <w:tcW w:w="1400" w:type="dxa"/>
            <w:tcBorders>
              <w:top w:val="single" w:sz="2" w:space="0" w:color="8EAADB" w:themeColor="accent5" w:themeTint="99"/>
              <w:bottom w:val="single" w:sz="2" w:space="0" w:color="1F4E79" w:themeColor="accent1" w:themeShade="80"/>
            </w:tcBorders>
            <w:shd w:val="clear" w:color="auto" w:fill="auto"/>
            <w:vAlign w:val="center"/>
          </w:tcPr>
          <w:p w14:paraId="53EEFC71" w14:textId="77777777" w:rsidR="00613FF1" w:rsidRPr="00D311AA" w:rsidRDefault="00613FF1" w:rsidP="00C74364">
            <w:pPr>
              <w:pStyle w:val="08-Tabelageral"/>
              <w:rPr>
                <w:b/>
                <w:szCs w:val="14"/>
              </w:rPr>
            </w:pPr>
            <w:r w:rsidRPr="00D311AA">
              <w:rPr>
                <w:b/>
                <w:szCs w:val="14"/>
              </w:rPr>
              <w:t>Other related parties</w:t>
            </w:r>
          </w:p>
        </w:tc>
      </w:tr>
      <w:tr w:rsidR="00613FF1" w:rsidRPr="00D311AA" w14:paraId="2F64613F" w14:textId="77777777" w:rsidTr="002E2397">
        <w:trPr>
          <w:trHeight w:val="238"/>
          <w:jc w:val="center"/>
        </w:trPr>
        <w:tc>
          <w:tcPr>
            <w:tcW w:w="2275" w:type="dxa"/>
            <w:gridSpan w:val="3"/>
            <w:tcBorders>
              <w:top w:val="single" w:sz="2" w:space="0" w:color="1F4E79" w:themeColor="accent1" w:themeShade="80"/>
            </w:tcBorders>
            <w:shd w:val="clear" w:color="auto" w:fill="auto"/>
          </w:tcPr>
          <w:p w14:paraId="3A2FCE36" w14:textId="77777777" w:rsidR="00613FF1" w:rsidRPr="00D311AA" w:rsidRDefault="00613FF1" w:rsidP="00C74364">
            <w:pPr>
              <w:pStyle w:val="08-Tabelageral"/>
              <w:jc w:val="left"/>
              <w:rPr>
                <w:b/>
              </w:rPr>
            </w:pPr>
            <w:r w:rsidRPr="00D311AA">
              <w:rPr>
                <w:b/>
              </w:rPr>
              <w:t>Assets</w:t>
            </w:r>
          </w:p>
        </w:tc>
        <w:tc>
          <w:tcPr>
            <w:tcW w:w="1048" w:type="dxa"/>
            <w:tcBorders>
              <w:top w:val="single" w:sz="2" w:space="0" w:color="1F4E79" w:themeColor="accent1" w:themeShade="80"/>
            </w:tcBorders>
            <w:shd w:val="clear" w:color="auto" w:fill="auto"/>
            <w:vAlign w:val="center"/>
          </w:tcPr>
          <w:p w14:paraId="5706AF7A" w14:textId="77777777" w:rsidR="00613FF1" w:rsidRPr="00D311AA" w:rsidRDefault="00613FF1" w:rsidP="00C74364">
            <w:pPr>
              <w:pStyle w:val="08-Tabelageral"/>
              <w:rPr>
                <w:b/>
                <w:szCs w:val="14"/>
              </w:rPr>
            </w:pPr>
          </w:p>
        </w:tc>
        <w:tc>
          <w:tcPr>
            <w:tcW w:w="1127" w:type="dxa"/>
            <w:tcBorders>
              <w:top w:val="single" w:sz="2" w:space="0" w:color="1F4E79" w:themeColor="accent1" w:themeShade="80"/>
            </w:tcBorders>
            <w:shd w:val="clear" w:color="auto" w:fill="auto"/>
            <w:vAlign w:val="center"/>
          </w:tcPr>
          <w:p w14:paraId="3686CE90" w14:textId="77777777" w:rsidR="00613FF1" w:rsidRPr="00D311AA" w:rsidRDefault="00613FF1" w:rsidP="00C74364">
            <w:pPr>
              <w:pStyle w:val="08-Tabelageral"/>
              <w:rPr>
                <w:b/>
                <w:szCs w:val="14"/>
              </w:rPr>
            </w:pPr>
          </w:p>
        </w:tc>
        <w:tc>
          <w:tcPr>
            <w:tcW w:w="1400" w:type="dxa"/>
            <w:gridSpan w:val="2"/>
            <w:tcBorders>
              <w:top w:val="single" w:sz="2" w:space="0" w:color="1F4E79" w:themeColor="accent1" w:themeShade="80"/>
            </w:tcBorders>
            <w:shd w:val="clear" w:color="auto" w:fill="auto"/>
            <w:vAlign w:val="center"/>
          </w:tcPr>
          <w:p w14:paraId="6CAF2BB9" w14:textId="77777777" w:rsidR="00613FF1" w:rsidRPr="00D311AA" w:rsidRDefault="00613FF1" w:rsidP="00C74364">
            <w:pPr>
              <w:pStyle w:val="08-Tabelageral"/>
              <w:rPr>
                <w:b/>
              </w:rPr>
            </w:pPr>
          </w:p>
        </w:tc>
        <w:tc>
          <w:tcPr>
            <w:tcW w:w="1274" w:type="dxa"/>
            <w:gridSpan w:val="2"/>
            <w:tcBorders>
              <w:top w:val="single" w:sz="2" w:space="0" w:color="1F4E79" w:themeColor="accent1" w:themeShade="80"/>
            </w:tcBorders>
            <w:shd w:val="clear" w:color="auto" w:fill="auto"/>
            <w:vAlign w:val="center"/>
          </w:tcPr>
          <w:p w14:paraId="172D4801" w14:textId="77777777" w:rsidR="00613FF1" w:rsidRPr="00D311AA" w:rsidRDefault="00613FF1" w:rsidP="00C74364">
            <w:pPr>
              <w:pStyle w:val="08-Tabelageral"/>
              <w:rPr>
                <w:b/>
              </w:rPr>
            </w:pPr>
          </w:p>
        </w:tc>
        <w:tc>
          <w:tcPr>
            <w:tcW w:w="1127" w:type="dxa"/>
            <w:tcBorders>
              <w:top w:val="single" w:sz="2" w:space="0" w:color="1F4E79" w:themeColor="accent1" w:themeShade="80"/>
            </w:tcBorders>
            <w:shd w:val="clear" w:color="auto" w:fill="auto"/>
            <w:vAlign w:val="center"/>
          </w:tcPr>
          <w:p w14:paraId="3F300224" w14:textId="77777777" w:rsidR="00613FF1" w:rsidRPr="00D311AA" w:rsidRDefault="00613FF1" w:rsidP="00C74364">
            <w:pPr>
              <w:pStyle w:val="08-Tabelageral"/>
              <w:rPr>
                <w:b/>
              </w:rPr>
            </w:pPr>
          </w:p>
        </w:tc>
        <w:tc>
          <w:tcPr>
            <w:tcW w:w="1400" w:type="dxa"/>
            <w:tcBorders>
              <w:top w:val="single" w:sz="2" w:space="0" w:color="1F4E79" w:themeColor="accent1" w:themeShade="80"/>
            </w:tcBorders>
            <w:shd w:val="clear" w:color="auto" w:fill="auto"/>
            <w:vAlign w:val="center"/>
          </w:tcPr>
          <w:p w14:paraId="2FCEE643" w14:textId="77777777" w:rsidR="00613FF1" w:rsidRPr="00D311AA" w:rsidRDefault="00613FF1" w:rsidP="00C74364">
            <w:pPr>
              <w:pStyle w:val="08-Tabelageral"/>
              <w:rPr>
                <w:b/>
              </w:rPr>
            </w:pPr>
          </w:p>
        </w:tc>
      </w:tr>
      <w:tr w:rsidR="00613FF1" w:rsidRPr="00D311AA" w14:paraId="4BCA33C8" w14:textId="77777777" w:rsidTr="002E2397">
        <w:trPr>
          <w:trHeight w:val="238"/>
          <w:jc w:val="center"/>
        </w:trPr>
        <w:tc>
          <w:tcPr>
            <w:tcW w:w="2275" w:type="dxa"/>
            <w:gridSpan w:val="3"/>
            <w:shd w:val="clear" w:color="auto" w:fill="auto"/>
          </w:tcPr>
          <w:p w14:paraId="38F37D9C" w14:textId="77777777" w:rsidR="00613FF1" w:rsidRPr="00D311AA" w:rsidRDefault="00613FF1" w:rsidP="00AD7D83">
            <w:pPr>
              <w:pStyle w:val="08-Tabelageral"/>
              <w:jc w:val="left"/>
              <w:rPr>
                <w:bCs/>
              </w:rPr>
            </w:pPr>
            <w:r w:rsidRPr="00D311AA">
              <w:rPr>
                <w:bCs/>
              </w:rPr>
              <w:t>Cash and cash equivalent</w:t>
            </w:r>
            <w:r>
              <w:rPr>
                <w:bCs/>
              </w:rPr>
              <w:t>s</w:t>
            </w:r>
          </w:p>
        </w:tc>
        <w:tc>
          <w:tcPr>
            <w:tcW w:w="1048" w:type="dxa"/>
            <w:tcBorders>
              <w:top w:val="nil"/>
            </w:tcBorders>
            <w:shd w:val="clear" w:color="auto" w:fill="auto"/>
            <w:vAlign w:val="center"/>
          </w:tcPr>
          <w:p w14:paraId="7026ADB3" w14:textId="77777777" w:rsidR="00613FF1" w:rsidRPr="00D311AA" w:rsidRDefault="00613FF1" w:rsidP="00AD7D83">
            <w:pPr>
              <w:pStyle w:val="08-Tabelageral"/>
            </w:pPr>
            <w:r>
              <w:t>6,426,835</w:t>
            </w:r>
          </w:p>
        </w:tc>
        <w:tc>
          <w:tcPr>
            <w:tcW w:w="1127" w:type="dxa"/>
            <w:tcBorders>
              <w:top w:val="nil"/>
            </w:tcBorders>
            <w:shd w:val="clear" w:color="auto" w:fill="auto"/>
            <w:vAlign w:val="center"/>
          </w:tcPr>
          <w:p w14:paraId="16E298AD" w14:textId="77777777" w:rsidR="00613FF1" w:rsidRPr="00D311AA" w:rsidRDefault="00613FF1" w:rsidP="00AD7D83">
            <w:pPr>
              <w:pStyle w:val="08-Tabelageral"/>
            </w:pPr>
            <w:r>
              <w:t>--</w:t>
            </w:r>
          </w:p>
        </w:tc>
        <w:tc>
          <w:tcPr>
            <w:tcW w:w="1400" w:type="dxa"/>
            <w:gridSpan w:val="2"/>
            <w:tcBorders>
              <w:top w:val="nil"/>
            </w:tcBorders>
            <w:shd w:val="clear" w:color="auto" w:fill="auto"/>
            <w:vAlign w:val="center"/>
          </w:tcPr>
          <w:p w14:paraId="0E07E703" w14:textId="77777777" w:rsidR="00613FF1" w:rsidRPr="00D311AA" w:rsidRDefault="00613FF1" w:rsidP="00AD7D83">
            <w:pPr>
              <w:pStyle w:val="08-Tabelageral"/>
              <w:rPr>
                <w:lang w:eastAsia="en-US"/>
              </w:rPr>
            </w:pPr>
            <w:r>
              <w:rPr>
                <w:lang w:eastAsia="en-US"/>
              </w:rPr>
              <w:t>--</w:t>
            </w:r>
          </w:p>
        </w:tc>
        <w:tc>
          <w:tcPr>
            <w:tcW w:w="1274" w:type="dxa"/>
            <w:gridSpan w:val="2"/>
            <w:tcBorders>
              <w:top w:val="nil"/>
            </w:tcBorders>
            <w:shd w:val="clear" w:color="auto" w:fill="auto"/>
            <w:vAlign w:val="center"/>
          </w:tcPr>
          <w:p w14:paraId="6036207A" w14:textId="77777777" w:rsidR="00613FF1" w:rsidRPr="00D311AA" w:rsidRDefault="00613FF1" w:rsidP="00AD7D83">
            <w:pPr>
              <w:pStyle w:val="08-Tabelageral"/>
            </w:pPr>
            <w:r w:rsidRPr="005161A9">
              <w:t>4</w:t>
            </w:r>
            <w:r>
              <w:t>,</w:t>
            </w:r>
            <w:r w:rsidRPr="005161A9">
              <w:t>090</w:t>
            </w:r>
            <w:r>
              <w:t>,</w:t>
            </w:r>
            <w:r w:rsidRPr="005161A9">
              <w:t>561</w:t>
            </w:r>
          </w:p>
        </w:tc>
        <w:tc>
          <w:tcPr>
            <w:tcW w:w="1127" w:type="dxa"/>
            <w:tcBorders>
              <w:top w:val="nil"/>
            </w:tcBorders>
            <w:shd w:val="clear" w:color="auto" w:fill="auto"/>
            <w:vAlign w:val="center"/>
          </w:tcPr>
          <w:p w14:paraId="1788BF9D" w14:textId="77777777" w:rsidR="00613FF1" w:rsidRPr="00D311AA" w:rsidRDefault="00613FF1" w:rsidP="00AD7D83">
            <w:pPr>
              <w:pStyle w:val="08-Tabelageral"/>
            </w:pPr>
            <w:r>
              <w:t>--</w:t>
            </w:r>
          </w:p>
        </w:tc>
        <w:tc>
          <w:tcPr>
            <w:tcW w:w="1400" w:type="dxa"/>
            <w:tcBorders>
              <w:top w:val="nil"/>
            </w:tcBorders>
            <w:shd w:val="clear" w:color="auto" w:fill="auto"/>
            <w:vAlign w:val="center"/>
          </w:tcPr>
          <w:p w14:paraId="742BB4F6" w14:textId="77777777" w:rsidR="00613FF1" w:rsidRPr="00D311AA" w:rsidRDefault="00613FF1" w:rsidP="00AD7D83">
            <w:pPr>
              <w:pStyle w:val="08-Tabelageral"/>
              <w:rPr>
                <w:lang w:eastAsia="en-US"/>
              </w:rPr>
            </w:pPr>
            <w:r w:rsidRPr="00A63017">
              <w:rPr>
                <w:lang w:eastAsia="en-US"/>
              </w:rPr>
              <w:t>--</w:t>
            </w:r>
          </w:p>
        </w:tc>
      </w:tr>
      <w:tr w:rsidR="00613FF1" w:rsidRPr="00D311AA" w14:paraId="019DB35F" w14:textId="77777777" w:rsidTr="002E2397">
        <w:trPr>
          <w:trHeight w:val="238"/>
          <w:jc w:val="center"/>
        </w:trPr>
        <w:tc>
          <w:tcPr>
            <w:tcW w:w="2275" w:type="dxa"/>
            <w:gridSpan w:val="3"/>
            <w:shd w:val="clear" w:color="auto" w:fill="auto"/>
          </w:tcPr>
          <w:p w14:paraId="27316795" w14:textId="77777777" w:rsidR="00613FF1" w:rsidRPr="00613FF1" w:rsidRDefault="00613FF1" w:rsidP="00AD7D83">
            <w:pPr>
              <w:pStyle w:val="08-Tabelageral"/>
              <w:jc w:val="left"/>
              <w:rPr>
                <w:bCs/>
                <w:lang w:val="en-US"/>
              </w:rPr>
            </w:pPr>
            <w:r w:rsidRPr="00613FF1">
              <w:rPr>
                <w:lang w:val="en-US"/>
              </w:rPr>
              <w:t>Dividends/interest on equity receivable</w:t>
            </w:r>
          </w:p>
        </w:tc>
        <w:tc>
          <w:tcPr>
            <w:tcW w:w="1048" w:type="dxa"/>
            <w:shd w:val="clear" w:color="auto" w:fill="auto"/>
            <w:vAlign w:val="center"/>
          </w:tcPr>
          <w:p w14:paraId="2D5F967F" w14:textId="77777777" w:rsidR="00613FF1" w:rsidRPr="00D311AA" w:rsidRDefault="00613FF1" w:rsidP="00AD7D83">
            <w:pPr>
              <w:pStyle w:val="08-Tabelageral"/>
            </w:pPr>
            <w:r>
              <w:t>--</w:t>
            </w:r>
          </w:p>
        </w:tc>
        <w:tc>
          <w:tcPr>
            <w:tcW w:w="1127" w:type="dxa"/>
            <w:shd w:val="clear" w:color="auto" w:fill="auto"/>
            <w:vAlign w:val="center"/>
          </w:tcPr>
          <w:p w14:paraId="471D5809" w14:textId="77777777" w:rsidR="00613FF1" w:rsidRPr="00D311AA" w:rsidRDefault="00613FF1" w:rsidP="00AD7D83">
            <w:pPr>
              <w:pStyle w:val="08-Tabelageral"/>
            </w:pPr>
            <w:r>
              <w:t>13,519</w:t>
            </w:r>
          </w:p>
        </w:tc>
        <w:tc>
          <w:tcPr>
            <w:tcW w:w="1400" w:type="dxa"/>
            <w:gridSpan w:val="2"/>
            <w:shd w:val="clear" w:color="auto" w:fill="auto"/>
            <w:vAlign w:val="center"/>
          </w:tcPr>
          <w:p w14:paraId="4BC71933" w14:textId="77777777" w:rsidR="00613FF1" w:rsidRPr="00D311AA" w:rsidRDefault="00613FF1" w:rsidP="00AD7D83">
            <w:pPr>
              <w:pStyle w:val="08-Tabelageral"/>
              <w:rPr>
                <w:lang w:eastAsia="en-US"/>
              </w:rPr>
            </w:pPr>
            <w:r>
              <w:rPr>
                <w:lang w:eastAsia="en-US"/>
              </w:rPr>
              <w:t>--</w:t>
            </w:r>
          </w:p>
        </w:tc>
        <w:tc>
          <w:tcPr>
            <w:tcW w:w="1274" w:type="dxa"/>
            <w:gridSpan w:val="2"/>
            <w:shd w:val="clear" w:color="auto" w:fill="auto"/>
            <w:vAlign w:val="center"/>
          </w:tcPr>
          <w:p w14:paraId="301EA1C1" w14:textId="77777777" w:rsidR="00613FF1" w:rsidRPr="00D311AA" w:rsidRDefault="00613FF1" w:rsidP="00AD7D83">
            <w:pPr>
              <w:pStyle w:val="08-Tabelageral"/>
            </w:pPr>
            <w:r>
              <w:t>--</w:t>
            </w:r>
          </w:p>
        </w:tc>
        <w:tc>
          <w:tcPr>
            <w:tcW w:w="1127" w:type="dxa"/>
            <w:shd w:val="clear" w:color="auto" w:fill="auto"/>
            <w:vAlign w:val="center"/>
          </w:tcPr>
          <w:p w14:paraId="223035FE" w14:textId="77777777" w:rsidR="00613FF1" w:rsidRPr="00D311AA" w:rsidRDefault="00613FF1" w:rsidP="00AD7D83">
            <w:pPr>
              <w:pStyle w:val="08-Tabelageral"/>
            </w:pPr>
            <w:r>
              <w:t>1,648</w:t>
            </w:r>
          </w:p>
        </w:tc>
        <w:tc>
          <w:tcPr>
            <w:tcW w:w="1400" w:type="dxa"/>
            <w:shd w:val="clear" w:color="auto" w:fill="auto"/>
            <w:vAlign w:val="center"/>
          </w:tcPr>
          <w:p w14:paraId="2E9412B0" w14:textId="77777777" w:rsidR="00613FF1" w:rsidRPr="00D311AA" w:rsidRDefault="00613FF1" w:rsidP="00AD7D83">
            <w:pPr>
              <w:pStyle w:val="08-Tabelageral"/>
              <w:rPr>
                <w:lang w:eastAsia="en-US"/>
              </w:rPr>
            </w:pPr>
            <w:r w:rsidRPr="00A63017">
              <w:rPr>
                <w:lang w:eastAsia="en-US"/>
              </w:rPr>
              <w:t>--</w:t>
            </w:r>
          </w:p>
        </w:tc>
      </w:tr>
      <w:tr w:rsidR="00613FF1" w:rsidRPr="00D311AA" w14:paraId="0C208B7B" w14:textId="77777777" w:rsidTr="002E2397">
        <w:trPr>
          <w:trHeight w:val="238"/>
          <w:jc w:val="center"/>
        </w:trPr>
        <w:tc>
          <w:tcPr>
            <w:tcW w:w="2275" w:type="dxa"/>
            <w:gridSpan w:val="3"/>
            <w:shd w:val="clear" w:color="auto" w:fill="auto"/>
          </w:tcPr>
          <w:p w14:paraId="19F6F74A" w14:textId="77777777" w:rsidR="00613FF1" w:rsidRPr="00D311AA" w:rsidRDefault="00613FF1" w:rsidP="00AD7D83">
            <w:pPr>
              <w:pStyle w:val="08-Tabelageral"/>
              <w:jc w:val="left"/>
              <w:rPr>
                <w:bCs/>
              </w:rPr>
            </w:pPr>
            <w:r w:rsidRPr="00D311AA">
              <w:rPr>
                <w:bCs/>
              </w:rPr>
              <w:t>Commissions to be received</w:t>
            </w:r>
          </w:p>
        </w:tc>
        <w:tc>
          <w:tcPr>
            <w:tcW w:w="1048" w:type="dxa"/>
            <w:shd w:val="clear" w:color="auto" w:fill="auto"/>
            <w:vAlign w:val="center"/>
          </w:tcPr>
          <w:p w14:paraId="32799911" w14:textId="77777777" w:rsidR="00613FF1" w:rsidRPr="00D311AA" w:rsidRDefault="00613FF1" w:rsidP="00AD7D83">
            <w:pPr>
              <w:pStyle w:val="08-Tabelageral"/>
            </w:pPr>
            <w:r>
              <w:t>--</w:t>
            </w:r>
          </w:p>
        </w:tc>
        <w:tc>
          <w:tcPr>
            <w:tcW w:w="1127" w:type="dxa"/>
            <w:shd w:val="clear" w:color="auto" w:fill="auto"/>
            <w:vAlign w:val="center"/>
          </w:tcPr>
          <w:p w14:paraId="7DF1F594" w14:textId="77777777" w:rsidR="00613FF1" w:rsidRPr="00D311AA" w:rsidRDefault="00613FF1" w:rsidP="00AD7D83">
            <w:pPr>
              <w:pStyle w:val="08-Tabelageral"/>
            </w:pPr>
            <w:r>
              <w:t>1,823,246</w:t>
            </w:r>
          </w:p>
        </w:tc>
        <w:tc>
          <w:tcPr>
            <w:tcW w:w="1400" w:type="dxa"/>
            <w:gridSpan w:val="2"/>
            <w:shd w:val="clear" w:color="auto" w:fill="auto"/>
            <w:vAlign w:val="center"/>
          </w:tcPr>
          <w:p w14:paraId="46673380" w14:textId="77777777" w:rsidR="00613FF1" w:rsidRPr="00D311AA" w:rsidRDefault="00613FF1" w:rsidP="00AD7D83">
            <w:pPr>
              <w:pStyle w:val="08-Tabelageral"/>
              <w:rPr>
                <w:lang w:eastAsia="en-US"/>
              </w:rPr>
            </w:pPr>
            <w:r>
              <w:rPr>
                <w:lang w:eastAsia="en-US"/>
              </w:rPr>
              <w:t>--</w:t>
            </w:r>
          </w:p>
        </w:tc>
        <w:tc>
          <w:tcPr>
            <w:tcW w:w="1274" w:type="dxa"/>
            <w:gridSpan w:val="2"/>
            <w:shd w:val="clear" w:color="auto" w:fill="auto"/>
            <w:vAlign w:val="center"/>
          </w:tcPr>
          <w:p w14:paraId="002F99FC" w14:textId="77777777" w:rsidR="00613FF1" w:rsidRPr="00D311AA" w:rsidRDefault="00613FF1" w:rsidP="00AD7D83">
            <w:pPr>
              <w:pStyle w:val="08-Tabelageral"/>
            </w:pPr>
            <w:r>
              <w:t>--</w:t>
            </w:r>
          </w:p>
        </w:tc>
        <w:tc>
          <w:tcPr>
            <w:tcW w:w="1127" w:type="dxa"/>
            <w:shd w:val="clear" w:color="auto" w:fill="auto"/>
            <w:vAlign w:val="center"/>
          </w:tcPr>
          <w:p w14:paraId="3D32FBEA" w14:textId="77777777" w:rsidR="00613FF1" w:rsidRPr="00D311AA" w:rsidRDefault="00613FF1" w:rsidP="00AD7D83">
            <w:pPr>
              <w:pStyle w:val="08-Tabelageral"/>
            </w:pPr>
            <w:r w:rsidRPr="005137CA">
              <w:t>1</w:t>
            </w:r>
            <w:r>
              <w:t>,</w:t>
            </w:r>
            <w:r w:rsidRPr="005137CA">
              <w:t>724</w:t>
            </w:r>
            <w:r>
              <w:t>,</w:t>
            </w:r>
            <w:r w:rsidRPr="005137CA">
              <w:t>593</w:t>
            </w:r>
          </w:p>
        </w:tc>
        <w:tc>
          <w:tcPr>
            <w:tcW w:w="1400" w:type="dxa"/>
            <w:shd w:val="clear" w:color="auto" w:fill="auto"/>
            <w:vAlign w:val="center"/>
          </w:tcPr>
          <w:p w14:paraId="67F70FA8" w14:textId="77777777" w:rsidR="00613FF1" w:rsidRPr="00D311AA" w:rsidRDefault="00613FF1" w:rsidP="00AD7D83">
            <w:pPr>
              <w:pStyle w:val="08-Tabelageral"/>
              <w:rPr>
                <w:lang w:eastAsia="en-US"/>
              </w:rPr>
            </w:pPr>
            <w:r w:rsidRPr="00A63017">
              <w:rPr>
                <w:lang w:eastAsia="en-US"/>
              </w:rPr>
              <w:t>--</w:t>
            </w:r>
          </w:p>
        </w:tc>
      </w:tr>
      <w:tr w:rsidR="00613FF1" w:rsidRPr="00D311AA" w14:paraId="32198429" w14:textId="77777777" w:rsidTr="002E2397">
        <w:trPr>
          <w:trHeight w:val="238"/>
          <w:jc w:val="center"/>
        </w:trPr>
        <w:tc>
          <w:tcPr>
            <w:tcW w:w="2275" w:type="dxa"/>
            <w:gridSpan w:val="3"/>
            <w:shd w:val="clear" w:color="auto" w:fill="auto"/>
          </w:tcPr>
          <w:p w14:paraId="5793B34A" w14:textId="77777777" w:rsidR="00613FF1" w:rsidRPr="00D311AA" w:rsidRDefault="00613FF1" w:rsidP="00AD7D83">
            <w:pPr>
              <w:pStyle w:val="08-Tabelageral"/>
              <w:jc w:val="left"/>
              <w:rPr>
                <w:b/>
              </w:rPr>
            </w:pPr>
            <w:r w:rsidRPr="00D311AA">
              <w:rPr>
                <w:b/>
              </w:rPr>
              <w:t>Liabilities</w:t>
            </w:r>
          </w:p>
        </w:tc>
        <w:tc>
          <w:tcPr>
            <w:tcW w:w="1048" w:type="dxa"/>
            <w:shd w:val="clear" w:color="auto" w:fill="auto"/>
            <w:vAlign w:val="center"/>
          </w:tcPr>
          <w:p w14:paraId="58521445" w14:textId="77777777" w:rsidR="00613FF1" w:rsidRPr="00D311AA" w:rsidRDefault="00613FF1" w:rsidP="00AD7D83">
            <w:pPr>
              <w:pStyle w:val="08-Tabelageral"/>
              <w:rPr>
                <w:b/>
              </w:rPr>
            </w:pPr>
          </w:p>
        </w:tc>
        <w:tc>
          <w:tcPr>
            <w:tcW w:w="1127" w:type="dxa"/>
            <w:shd w:val="clear" w:color="auto" w:fill="auto"/>
            <w:vAlign w:val="center"/>
          </w:tcPr>
          <w:p w14:paraId="5FE0749B" w14:textId="77777777" w:rsidR="00613FF1" w:rsidRPr="00D311AA" w:rsidRDefault="00613FF1" w:rsidP="00AD7D83">
            <w:pPr>
              <w:pStyle w:val="08-Tabelageral"/>
              <w:rPr>
                <w:b/>
              </w:rPr>
            </w:pPr>
          </w:p>
        </w:tc>
        <w:tc>
          <w:tcPr>
            <w:tcW w:w="1400" w:type="dxa"/>
            <w:gridSpan w:val="2"/>
            <w:shd w:val="clear" w:color="auto" w:fill="auto"/>
            <w:vAlign w:val="center"/>
          </w:tcPr>
          <w:p w14:paraId="40E63A78" w14:textId="77777777" w:rsidR="00613FF1" w:rsidRPr="00D311AA" w:rsidRDefault="00613FF1" w:rsidP="00AD7D83">
            <w:pPr>
              <w:pStyle w:val="08-Tabelageral"/>
              <w:rPr>
                <w:b/>
              </w:rPr>
            </w:pPr>
          </w:p>
        </w:tc>
        <w:tc>
          <w:tcPr>
            <w:tcW w:w="1274" w:type="dxa"/>
            <w:gridSpan w:val="2"/>
            <w:shd w:val="clear" w:color="auto" w:fill="auto"/>
            <w:vAlign w:val="center"/>
          </w:tcPr>
          <w:p w14:paraId="5B5DF777" w14:textId="77777777" w:rsidR="00613FF1" w:rsidRPr="00D311AA" w:rsidRDefault="00613FF1" w:rsidP="00AD7D83">
            <w:pPr>
              <w:pStyle w:val="08-Tabelageral"/>
              <w:rPr>
                <w:b/>
              </w:rPr>
            </w:pPr>
          </w:p>
        </w:tc>
        <w:tc>
          <w:tcPr>
            <w:tcW w:w="1127" w:type="dxa"/>
            <w:shd w:val="clear" w:color="auto" w:fill="auto"/>
            <w:vAlign w:val="center"/>
          </w:tcPr>
          <w:p w14:paraId="3EEB8352" w14:textId="77777777" w:rsidR="00613FF1" w:rsidRPr="00D311AA" w:rsidRDefault="00613FF1" w:rsidP="00AD7D83">
            <w:pPr>
              <w:pStyle w:val="08-Tabelageral"/>
              <w:rPr>
                <w:b/>
              </w:rPr>
            </w:pPr>
          </w:p>
        </w:tc>
        <w:tc>
          <w:tcPr>
            <w:tcW w:w="1400" w:type="dxa"/>
            <w:shd w:val="clear" w:color="auto" w:fill="auto"/>
            <w:vAlign w:val="center"/>
          </w:tcPr>
          <w:p w14:paraId="6C19BAA0" w14:textId="77777777" w:rsidR="00613FF1" w:rsidRPr="00D311AA" w:rsidRDefault="00613FF1" w:rsidP="00AD7D83">
            <w:pPr>
              <w:pStyle w:val="08-Tabelageral"/>
              <w:rPr>
                <w:b/>
              </w:rPr>
            </w:pPr>
          </w:p>
        </w:tc>
      </w:tr>
      <w:tr w:rsidR="00613FF1" w:rsidRPr="00D311AA" w14:paraId="30EC1E60" w14:textId="77777777" w:rsidTr="002E2397">
        <w:trPr>
          <w:trHeight w:val="238"/>
          <w:jc w:val="center"/>
        </w:trPr>
        <w:tc>
          <w:tcPr>
            <w:tcW w:w="2275" w:type="dxa"/>
            <w:gridSpan w:val="3"/>
            <w:shd w:val="clear" w:color="auto" w:fill="auto"/>
          </w:tcPr>
          <w:p w14:paraId="17EFF270" w14:textId="77777777" w:rsidR="00613FF1" w:rsidRPr="00D311AA" w:rsidRDefault="00613FF1" w:rsidP="00AD7D83">
            <w:pPr>
              <w:pStyle w:val="08-Tabelageral"/>
              <w:jc w:val="left"/>
              <w:rPr>
                <w:bCs/>
              </w:rPr>
            </w:pPr>
            <w:r w:rsidRPr="00D311AA">
              <w:rPr>
                <w:bCs/>
              </w:rPr>
              <w:t>Social and statutory obligations</w:t>
            </w:r>
          </w:p>
        </w:tc>
        <w:tc>
          <w:tcPr>
            <w:tcW w:w="1048" w:type="dxa"/>
            <w:shd w:val="clear" w:color="auto" w:fill="auto"/>
            <w:vAlign w:val="center"/>
          </w:tcPr>
          <w:p w14:paraId="6B34687C" w14:textId="77777777" w:rsidR="00613FF1" w:rsidRPr="00D311AA" w:rsidRDefault="00613FF1" w:rsidP="00AD7D83">
            <w:pPr>
              <w:pStyle w:val="08-Tabelageral"/>
            </w:pPr>
            <w:r>
              <w:t>2,434,043</w:t>
            </w:r>
          </w:p>
        </w:tc>
        <w:tc>
          <w:tcPr>
            <w:tcW w:w="1127" w:type="dxa"/>
            <w:shd w:val="clear" w:color="auto" w:fill="auto"/>
            <w:vAlign w:val="center"/>
          </w:tcPr>
          <w:p w14:paraId="549946EB" w14:textId="77777777" w:rsidR="00613FF1" w:rsidRPr="00D311AA" w:rsidRDefault="00613FF1" w:rsidP="00AD7D83">
            <w:pPr>
              <w:pStyle w:val="08-Tabelageral"/>
            </w:pPr>
            <w:r>
              <w:t>--</w:t>
            </w:r>
          </w:p>
        </w:tc>
        <w:tc>
          <w:tcPr>
            <w:tcW w:w="1400" w:type="dxa"/>
            <w:gridSpan w:val="2"/>
            <w:shd w:val="clear" w:color="auto" w:fill="auto"/>
            <w:vAlign w:val="center"/>
          </w:tcPr>
          <w:p w14:paraId="1742988A" w14:textId="77777777" w:rsidR="00613FF1" w:rsidRPr="00D311AA" w:rsidRDefault="00613FF1" w:rsidP="00AD7D83">
            <w:pPr>
              <w:pStyle w:val="08-Tabelageral"/>
              <w:rPr>
                <w:lang w:eastAsia="en-US"/>
              </w:rPr>
            </w:pPr>
            <w:r>
              <w:rPr>
                <w:lang w:eastAsia="en-US"/>
              </w:rPr>
              <w:t>--</w:t>
            </w:r>
          </w:p>
        </w:tc>
        <w:tc>
          <w:tcPr>
            <w:tcW w:w="1274" w:type="dxa"/>
            <w:gridSpan w:val="2"/>
            <w:shd w:val="clear" w:color="auto" w:fill="auto"/>
            <w:vAlign w:val="center"/>
          </w:tcPr>
          <w:p w14:paraId="70E2A093" w14:textId="77777777" w:rsidR="00613FF1" w:rsidRPr="00D311AA" w:rsidRDefault="00613FF1" w:rsidP="00AD7D83">
            <w:pPr>
              <w:pStyle w:val="08-Tabelageral"/>
            </w:pPr>
            <w:r w:rsidRPr="005161A9">
              <w:t>1</w:t>
            </w:r>
            <w:r>
              <w:t>,</w:t>
            </w:r>
            <w:r w:rsidRPr="005161A9">
              <w:t>213</w:t>
            </w:r>
            <w:r>
              <w:t>,</w:t>
            </w:r>
            <w:r w:rsidRPr="005161A9">
              <w:t>496</w:t>
            </w:r>
          </w:p>
        </w:tc>
        <w:tc>
          <w:tcPr>
            <w:tcW w:w="1127" w:type="dxa"/>
            <w:shd w:val="clear" w:color="auto" w:fill="auto"/>
            <w:vAlign w:val="center"/>
          </w:tcPr>
          <w:p w14:paraId="41371B51" w14:textId="77777777" w:rsidR="00613FF1" w:rsidRPr="00D311AA" w:rsidRDefault="00613FF1" w:rsidP="00AD7D83">
            <w:pPr>
              <w:pStyle w:val="08-Tabelageral"/>
            </w:pPr>
            <w:r>
              <w:t>--</w:t>
            </w:r>
          </w:p>
        </w:tc>
        <w:tc>
          <w:tcPr>
            <w:tcW w:w="1400" w:type="dxa"/>
            <w:shd w:val="clear" w:color="auto" w:fill="auto"/>
            <w:vAlign w:val="center"/>
          </w:tcPr>
          <w:p w14:paraId="7A1FCC43" w14:textId="77777777" w:rsidR="00613FF1" w:rsidRPr="00D311AA" w:rsidRDefault="00613FF1" w:rsidP="00AD7D83">
            <w:pPr>
              <w:pStyle w:val="08-Tabelageral"/>
              <w:rPr>
                <w:lang w:eastAsia="en-US"/>
              </w:rPr>
            </w:pPr>
            <w:r w:rsidRPr="00A63017">
              <w:rPr>
                <w:lang w:eastAsia="en-US"/>
              </w:rPr>
              <w:t>--</w:t>
            </w:r>
          </w:p>
        </w:tc>
      </w:tr>
      <w:tr w:rsidR="00613FF1" w:rsidRPr="00D311AA" w14:paraId="75C55189" w14:textId="77777777" w:rsidTr="002E2397">
        <w:trPr>
          <w:trHeight w:val="238"/>
          <w:jc w:val="center"/>
        </w:trPr>
        <w:tc>
          <w:tcPr>
            <w:tcW w:w="2275" w:type="dxa"/>
            <w:gridSpan w:val="3"/>
            <w:tcBorders>
              <w:bottom w:val="nil"/>
            </w:tcBorders>
            <w:shd w:val="clear" w:color="auto" w:fill="auto"/>
          </w:tcPr>
          <w:p w14:paraId="6D562269" w14:textId="77777777" w:rsidR="00613FF1" w:rsidRPr="00D311AA" w:rsidRDefault="00613FF1" w:rsidP="00AD7D83">
            <w:pPr>
              <w:pStyle w:val="08-Tabelageral"/>
              <w:jc w:val="left"/>
              <w:rPr>
                <w:bCs/>
              </w:rPr>
            </w:pPr>
            <w:r w:rsidRPr="00D311AA">
              <w:rPr>
                <w:bCs/>
              </w:rPr>
              <w:t>Obligations with related parties</w:t>
            </w:r>
            <w:r>
              <w:rPr>
                <w:bCs/>
              </w:rPr>
              <w:t xml:space="preserve"> </w:t>
            </w:r>
            <w:r w:rsidRPr="002E2397">
              <w:rPr>
                <w:bCs/>
                <w:vertAlign w:val="superscript"/>
              </w:rPr>
              <w:t>(3)</w:t>
            </w:r>
          </w:p>
        </w:tc>
        <w:tc>
          <w:tcPr>
            <w:tcW w:w="1048" w:type="dxa"/>
            <w:tcBorders>
              <w:bottom w:val="nil"/>
            </w:tcBorders>
            <w:shd w:val="clear" w:color="auto" w:fill="auto"/>
            <w:vAlign w:val="center"/>
          </w:tcPr>
          <w:p w14:paraId="1C7318AC" w14:textId="77777777" w:rsidR="00613FF1" w:rsidRPr="00D311AA" w:rsidRDefault="00613FF1" w:rsidP="00AD7D83">
            <w:pPr>
              <w:pStyle w:val="08-Tabelageral"/>
            </w:pPr>
            <w:r>
              <w:t>25,003</w:t>
            </w:r>
          </w:p>
        </w:tc>
        <w:tc>
          <w:tcPr>
            <w:tcW w:w="1127" w:type="dxa"/>
            <w:tcBorders>
              <w:bottom w:val="nil"/>
            </w:tcBorders>
            <w:shd w:val="clear" w:color="auto" w:fill="auto"/>
            <w:vAlign w:val="center"/>
          </w:tcPr>
          <w:p w14:paraId="06864226" w14:textId="77777777" w:rsidR="00613FF1" w:rsidRPr="00D311AA" w:rsidRDefault="00613FF1" w:rsidP="00AD7D83">
            <w:pPr>
              <w:pStyle w:val="08-Tabelageral"/>
            </w:pPr>
            <w:r>
              <w:t>47,473</w:t>
            </w:r>
          </w:p>
        </w:tc>
        <w:tc>
          <w:tcPr>
            <w:tcW w:w="1400" w:type="dxa"/>
            <w:gridSpan w:val="2"/>
            <w:tcBorders>
              <w:bottom w:val="nil"/>
            </w:tcBorders>
            <w:shd w:val="clear" w:color="auto" w:fill="auto"/>
            <w:vAlign w:val="center"/>
          </w:tcPr>
          <w:p w14:paraId="67A4601A" w14:textId="77777777" w:rsidR="00613FF1" w:rsidRPr="00D311AA" w:rsidRDefault="00613FF1" w:rsidP="00AD7D83">
            <w:pPr>
              <w:pStyle w:val="08-Tabelageral"/>
              <w:rPr>
                <w:lang w:eastAsia="en-US"/>
              </w:rPr>
            </w:pPr>
            <w:r>
              <w:rPr>
                <w:lang w:eastAsia="en-US"/>
              </w:rPr>
              <w:t>--</w:t>
            </w:r>
          </w:p>
        </w:tc>
        <w:tc>
          <w:tcPr>
            <w:tcW w:w="1274" w:type="dxa"/>
            <w:gridSpan w:val="2"/>
            <w:tcBorders>
              <w:bottom w:val="nil"/>
            </w:tcBorders>
            <w:shd w:val="clear" w:color="auto" w:fill="auto"/>
            <w:vAlign w:val="center"/>
          </w:tcPr>
          <w:p w14:paraId="2807BD68" w14:textId="77777777" w:rsidR="00613FF1" w:rsidRPr="00D311AA" w:rsidRDefault="00613FF1" w:rsidP="00AD7D83">
            <w:pPr>
              <w:pStyle w:val="08-Tabelageral"/>
            </w:pPr>
            <w:r w:rsidRPr="005161A9">
              <w:t>22</w:t>
            </w:r>
            <w:r>
              <w:t>,</w:t>
            </w:r>
            <w:r w:rsidRPr="005161A9">
              <w:t>355</w:t>
            </w:r>
          </w:p>
        </w:tc>
        <w:tc>
          <w:tcPr>
            <w:tcW w:w="1127" w:type="dxa"/>
            <w:tcBorders>
              <w:bottom w:val="nil"/>
            </w:tcBorders>
            <w:shd w:val="clear" w:color="auto" w:fill="auto"/>
            <w:vAlign w:val="center"/>
          </w:tcPr>
          <w:p w14:paraId="4BFA1134" w14:textId="77777777" w:rsidR="00613FF1" w:rsidRPr="00D311AA" w:rsidRDefault="00613FF1" w:rsidP="00AD7D83">
            <w:pPr>
              <w:pStyle w:val="08-Tabelageral"/>
            </w:pPr>
            <w:r>
              <w:t>169,556</w:t>
            </w:r>
          </w:p>
        </w:tc>
        <w:tc>
          <w:tcPr>
            <w:tcW w:w="1400" w:type="dxa"/>
            <w:tcBorders>
              <w:bottom w:val="nil"/>
            </w:tcBorders>
            <w:shd w:val="clear" w:color="auto" w:fill="auto"/>
            <w:vAlign w:val="center"/>
          </w:tcPr>
          <w:p w14:paraId="5372CA3C" w14:textId="77777777" w:rsidR="00613FF1" w:rsidRPr="00D311AA" w:rsidRDefault="00613FF1" w:rsidP="00AD7D83">
            <w:pPr>
              <w:pStyle w:val="08-Tabelageral"/>
              <w:rPr>
                <w:lang w:eastAsia="en-US"/>
              </w:rPr>
            </w:pPr>
            <w:r w:rsidRPr="00A63017">
              <w:rPr>
                <w:lang w:eastAsia="en-US"/>
              </w:rPr>
              <w:t>--</w:t>
            </w:r>
          </w:p>
        </w:tc>
      </w:tr>
      <w:tr w:rsidR="00613FF1" w:rsidRPr="00D311AA" w14:paraId="79BBD3D8" w14:textId="77777777" w:rsidTr="002E2397">
        <w:trPr>
          <w:trHeight w:val="238"/>
          <w:jc w:val="center"/>
        </w:trPr>
        <w:tc>
          <w:tcPr>
            <w:tcW w:w="2275" w:type="dxa"/>
            <w:gridSpan w:val="3"/>
            <w:tcBorders>
              <w:top w:val="nil"/>
              <w:bottom w:val="single" w:sz="2" w:space="0" w:color="1F4E79" w:themeColor="accent1" w:themeShade="80"/>
            </w:tcBorders>
            <w:shd w:val="clear" w:color="auto" w:fill="auto"/>
          </w:tcPr>
          <w:p w14:paraId="2DD5EAA2" w14:textId="77777777" w:rsidR="00613FF1" w:rsidRPr="00D311AA" w:rsidRDefault="00613FF1" w:rsidP="00AD7D83">
            <w:pPr>
              <w:pStyle w:val="08-Tabelageral"/>
              <w:jc w:val="left"/>
              <w:rPr>
                <w:bCs/>
              </w:rPr>
            </w:pPr>
            <w:r w:rsidRPr="00D311AA">
              <w:rPr>
                <w:bCs/>
              </w:rPr>
              <w:t>Unearned Commissions</w:t>
            </w:r>
          </w:p>
        </w:tc>
        <w:tc>
          <w:tcPr>
            <w:tcW w:w="1048" w:type="dxa"/>
            <w:tcBorders>
              <w:top w:val="nil"/>
              <w:bottom w:val="single" w:sz="2" w:space="0" w:color="1F4E79" w:themeColor="accent1" w:themeShade="80"/>
            </w:tcBorders>
            <w:shd w:val="clear" w:color="auto" w:fill="auto"/>
            <w:vAlign w:val="center"/>
          </w:tcPr>
          <w:p w14:paraId="0297180E" w14:textId="77777777" w:rsidR="00613FF1" w:rsidRPr="00D311AA" w:rsidRDefault="00613FF1" w:rsidP="00AD7D83">
            <w:pPr>
              <w:pStyle w:val="08-Tabelageral"/>
            </w:pPr>
            <w:r>
              <w:t>--</w:t>
            </w:r>
          </w:p>
        </w:tc>
        <w:tc>
          <w:tcPr>
            <w:tcW w:w="1127" w:type="dxa"/>
            <w:tcBorders>
              <w:top w:val="nil"/>
              <w:bottom w:val="single" w:sz="2" w:space="0" w:color="1F4E79" w:themeColor="accent1" w:themeShade="80"/>
            </w:tcBorders>
            <w:shd w:val="clear" w:color="auto" w:fill="auto"/>
            <w:vAlign w:val="center"/>
          </w:tcPr>
          <w:p w14:paraId="79828455" w14:textId="77777777" w:rsidR="00613FF1" w:rsidRPr="00D311AA" w:rsidRDefault="00613FF1" w:rsidP="00AD7D83">
            <w:pPr>
              <w:pStyle w:val="08-Tabelageral"/>
            </w:pPr>
            <w:r>
              <w:t>3,548,020</w:t>
            </w:r>
          </w:p>
        </w:tc>
        <w:tc>
          <w:tcPr>
            <w:tcW w:w="1400" w:type="dxa"/>
            <w:gridSpan w:val="2"/>
            <w:tcBorders>
              <w:top w:val="nil"/>
              <w:bottom w:val="single" w:sz="2" w:space="0" w:color="1F4E79" w:themeColor="accent1" w:themeShade="80"/>
            </w:tcBorders>
            <w:shd w:val="clear" w:color="auto" w:fill="auto"/>
            <w:vAlign w:val="center"/>
          </w:tcPr>
          <w:p w14:paraId="1F1BBA61" w14:textId="77777777" w:rsidR="00613FF1" w:rsidRPr="00D311AA" w:rsidRDefault="00613FF1" w:rsidP="00AD7D83">
            <w:pPr>
              <w:pStyle w:val="08-Tabelageral"/>
              <w:rPr>
                <w:lang w:eastAsia="en-US"/>
              </w:rPr>
            </w:pPr>
            <w:r>
              <w:rPr>
                <w:lang w:eastAsia="en-US"/>
              </w:rPr>
              <w:t>--</w:t>
            </w:r>
          </w:p>
        </w:tc>
        <w:tc>
          <w:tcPr>
            <w:tcW w:w="1274" w:type="dxa"/>
            <w:gridSpan w:val="2"/>
            <w:tcBorders>
              <w:top w:val="nil"/>
              <w:bottom w:val="single" w:sz="2" w:space="0" w:color="1F4E79" w:themeColor="accent1" w:themeShade="80"/>
            </w:tcBorders>
            <w:shd w:val="clear" w:color="auto" w:fill="auto"/>
            <w:vAlign w:val="center"/>
          </w:tcPr>
          <w:p w14:paraId="05C9CB45" w14:textId="77777777" w:rsidR="00613FF1" w:rsidRPr="00D311AA" w:rsidRDefault="00613FF1" w:rsidP="00AD7D83">
            <w:pPr>
              <w:pStyle w:val="08-Tabelageral"/>
            </w:pPr>
            <w:r>
              <w:t>--</w:t>
            </w:r>
          </w:p>
        </w:tc>
        <w:tc>
          <w:tcPr>
            <w:tcW w:w="1127" w:type="dxa"/>
            <w:tcBorders>
              <w:top w:val="nil"/>
              <w:bottom w:val="single" w:sz="2" w:space="0" w:color="1F4E79" w:themeColor="accent1" w:themeShade="80"/>
            </w:tcBorders>
            <w:shd w:val="clear" w:color="auto" w:fill="auto"/>
            <w:vAlign w:val="center"/>
          </w:tcPr>
          <w:p w14:paraId="2987DA1A" w14:textId="77777777" w:rsidR="00613FF1" w:rsidRPr="00D311AA" w:rsidRDefault="00613FF1" w:rsidP="00AD7D83">
            <w:pPr>
              <w:pStyle w:val="08-Tabelageral"/>
            </w:pPr>
            <w:r w:rsidRPr="005161A9">
              <w:t>2</w:t>
            </w:r>
            <w:r>
              <w:t>,</w:t>
            </w:r>
            <w:r w:rsidRPr="005161A9">
              <w:t>967</w:t>
            </w:r>
            <w:r>
              <w:t>,</w:t>
            </w:r>
            <w:r w:rsidRPr="005161A9">
              <w:t>027</w:t>
            </w:r>
          </w:p>
        </w:tc>
        <w:tc>
          <w:tcPr>
            <w:tcW w:w="1400" w:type="dxa"/>
            <w:tcBorders>
              <w:top w:val="nil"/>
              <w:bottom w:val="single" w:sz="2" w:space="0" w:color="1F4E79" w:themeColor="accent1" w:themeShade="80"/>
            </w:tcBorders>
            <w:shd w:val="clear" w:color="auto" w:fill="auto"/>
            <w:vAlign w:val="center"/>
          </w:tcPr>
          <w:p w14:paraId="5BC6EE96" w14:textId="77777777" w:rsidR="00613FF1" w:rsidRPr="00D311AA" w:rsidRDefault="00613FF1" w:rsidP="00AD7D83">
            <w:pPr>
              <w:pStyle w:val="08-Tabelageral"/>
              <w:rPr>
                <w:lang w:eastAsia="en-US"/>
              </w:rPr>
            </w:pPr>
            <w:r w:rsidRPr="00A63017">
              <w:rPr>
                <w:lang w:eastAsia="en-US"/>
              </w:rPr>
              <w:t>--</w:t>
            </w:r>
          </w:p>
        </w:tc>
      </w:tr>
    </w:tbl>
    <w:p w14:paraId="35BB0021" w14:textId="77777777" w:rsidR="00613FF1" w:rsidRDefault="00613FF1" w:rsidP="0038786A">
      <w:pPr>
        <w:pStyle w:val="07-Legenda"/>
        <w:tabs>
          <w:tab w:val="clear" w:pos="284"/>
          <w:tab w:val="left" w:pos="851"/>
        </w:tabs>
      </w:pPr>
    </w:p>
    <w:p w14:paraId="6200B2CD" w14:textId="77777777" w:rsidR="00613FF1" w:rsidRPr="00D311AA" w:rsidRDefault="00613FF1" w:rsidP="0038786A">
      <w:pPr>
        <w:pStyle w:val="01-TtulodeNota"/>
        <w:keepNext/>
        <w:spacing w:before="0" w:after="0"/>
        <w:jc w:val="right"/>
        <w:rPr>
          <w:sz w:val="14"/>
          <w:szCs w:val="14"/>
        </w:rPr>
      </w:pPr>
      <w:r w:rsidRPr="00D311AA">
        <w:rPr>
          <w:sz w:val="14"/>
          <w:szCs w:val="14"/>
        </w:rPr>
        <w:t>R$ thousand</w:t>
      </w:r>
    </w:p>
    <w:tbl>
      <w:tblPr>
        <w:tblW w:w="4945" w:type="pct"/>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1165"/>
        <w:gridCol w:w="1273"/>
        <w:gridCol w:w="1148"/>
        <w:gridCol w:w="1170"/>
        <w:gridCol w:w="1325"/>
        <w:gridCol w:w="1323"/>
        <w:gridCol w:w="1112"/>
        <w:gridCol w:w="1230"/>
      </w:tblGrid>
      <w:tr w:rsidR="00613FF1" w:rsidRPr="00D311AA" w14:paraId="16750D86" w14:textId="77777777" w:rsidTr="00F11B50">
        <w:trPr>
          <w:trHeight w:val="238"/>
          <w:jc w:val="center"/>
        </w:trPr>
        <w:tc>
          <w:tcPr>
            <w:tcW w:w="1165" w:type="dxa"/>
            <w:tcBorders>
              <w:top w:val="single" w:sz="2" w:space="0" w:color="1F4E79" w:themeColor="accent1" w:themeShade="80"/>
              <w:bottom w:val="nil"/>
            </w:tcBorders>
            <w:shd w:val="clear" w:color="auto" w:fill="auto"/>
          </w:tcPr>
          <w:p w14:paraId="4FD840E2" w14:textId="77777777" w:rsidR="00613FF1" w:rsidRPr="00D311AA" w:rsidRDefault="00613FF1" w:rsidP="00AB674E">
            <w:pPr>
              <w:pStyle w:val="08-Tabelageral"/>
              <w:rPr>
                <w:b/>
                <w:szCs w:val="14"/>
              </w:rPr>
            </w:pPr>
          </w:p>
        </w:tc>
        <w:tc>
          <w:tcPr>
            <w:tcW w:w="1273" w:type="dxa"/>
            <w:tcBorders>
              <w:top w:val="single" w:sz="2" w:space="0" w:color="1F4E79" w:themeColor="accent1" w:themeShade="80"/>
              <w:bottom w:val="nil"/>
            </w:tcBorders>
            <w:shd w:val="clear" w:color="auto" w:fill="auto"/>
          </w:tcPr>
          <w:p w14:paraId="363DF2D9" w14:textId="77777777" w:rsidR="00613FF1" w:rsidRPr="00D311AA" w:rsidRDefault="00613FF1" w:rsidP="00AB674E">
            <w:pPr>
              <w:pStyle w:val="08-Tabelageral"/>
              <w:rPr>
                <w:b/>
                <w:szCs w:val="14"/>
              </w:rPr>
            </w:pPr>
          </w:p>
        </w:tc>
        <w:tc>
          <w:tcPr>
            <w:tcW w:w="3643" w:type="dxa"/>
            <w:gridSpan w:val="3"/>
            <w:tcBorders>
              <w:top w:val="single" w:sz="2" w:space="0" w:color="1F4E79" w:themeColor="accent1" w:themeShade="80"/>
              <w:bottom w:val="single" w:sz="2" w:space="0" w:color="1F4E79" w:themeColor="accent1" w:themeShade="80"/>
            </w:tcBorders>
            <w:shd w:val="clear" w:color="auto" w:fill="auto"/>
          </w:tcPr>
          <w:p w14:paraId="019A3305" w14:textId="77777777" w:rsidR="00613FF1" w:rsidRPr="00D311AA" w:rsidRDefault="00613FF1" w:rsidP="00AB674E">
            <w:pPr>
              <w:pStyle w:val="08-Tabelageral"/>
              <w:jc w:val="center"/>
              <w:rPr>
                <w:b/>
                <w:szCs w:val="14"/>
              </w:rPr>
            </w:pPr>
            <w:r>
              <w:rPr>
                <w:rFonts w:cs="Arial"/>
                <w:b/>
                <w:bCs/>
                <w:szCs w:val="14"/>
              </w:rPr>
              <w:t>2022</w:t>
            </w:r>
          </w:p>
        </w:tc>
        <w:tc>
          <w:tcPr>
            <w:tcW w:w="3665" w:type="dxa"/>
            <w:gridSpan w:val="3"/>
            <w:tcBorders>
              <w:top w:val="single" w:sz="2" w:space="0" w:color="1F4E79" w:themeColor="accent1" w:themeShade="80"/>
              <w:bottom w:val="single" w:sz="2" w:space="0" w:color="1F4E79" w:themeColor="accent1" w:themeShade="80"/>
            </w:tcBorders>
            <w:shd w:val="clear" w:color="auto" w:fill="auto"/>
          </w:tcPr>
          <w:p w14:paraId="13A40589" w14:textId="77777777" w:rsidR="00613FF1" w:rsidRPr="00D311AA" w:rsidRDefault="00613FF1" w:rsidP="00AB674E">
            <w:pPr>
              <w:pStyle w:val="08-Tabelageral"/>
              <w:jc w:val="center"/>
              <w:rPr>
                <w:b/>
                <w:szCs w:val="14"/>
              </w:rPr>
            </w:pPr>
            <w:r>
              <w:rPr>
                <w:rFonts w:cs="Arial"/>
                <w:b/>
                <w:szCs w:val="14"/>
              </w:rPr>
              <w:t>2021</w:t>
            </w:r>
          </w:p>
        </w:tc>
      </w:tr>
      <w:tr w:rsidR="00613FF1" w:rsidRPr="00D311AA" w14:paraId="4A184740" w14:textId="77777777" w:rsidTr="0038786A">
        <w:trPr>
          <w:trHeight w:val="238"/>
          <w:jc w:val="center"/>
        </w:trPr>
        <w:tc>
          <w:tcPr>
            <w:tcW w:w="2438" w:type="dxa"/>
            <w:gridSpan w:val="2"/>
            <w:tcBorders>
              <w:top w:val="nil"/>
              <w:bottom w:val="single" w:sz="2" w:space="0" w:color="1F4E79" w:themeColor="accent1" w:themeShade="80"/>
            </w:tcBorders>
            <w:shd w:val="clear" w:color="auto" w:fill="auto"/>
            <w:vAlign w:val="center"/>
          </w:tcPr>
          <w:p w14:paraId="239487DD" w14:textId="77777777" w:rsidR="00613FF1" w:rsidRPr="00D311AA" w:rsidRDefault="00613FF1" w:rsidP="0038786A">
            <w:pPr>
              <w:pStyle w:val="08-Tabelageral"/>
              <w:rPr>
                <w:b/>
                <w:szCs w:val="14"/>
              </w:rPr>
            </w:pPr>
          </w:p>
        </w:tc>
        <w:tc>
          <w:tcPr>
            <w:tcW w:w="1148" w:type="dxa"/>
            <w:tcBorders>
              <w:top w:val="single" w:sz="2" w:space="0" w:color="1F4E79" w:themeColor="accent1" w:themeShade="80"/>
              <w:bottom w:val="single" w:sz="2" w:space="0" w:color="1F4E79" w:themeColor="accent1" w:themeShade="80"/>
            </w:tcBorders>
            <w:shd w:val="clear" w:color="auto" w:fill="auto"/>
            <w:vAlign w:val="center"/>
          </w:tcPr>
          <w:p w14:paraId="142CF1A2" w14:textId="77777777" w:rsidR="00613FF1" w:rsidRPr="00D311AA" w:rsidRDefault="00613FF1" w:rsidP="0038786A">
            <w:pPr>
              <w:pStyle w:val="08-Tabelageral"/>
              <w:rPr>
                <w:b/>
                <w:szCs w:val="14"/>
              </w:rPr>
            </w:pPr>
            <w:r w:rsidRPr="00D311AA">
              <w:rPr>
                <w:b/>
                <w:szCs w:val="14"/>
              </w:rPr>
              <w:t xml:space="preserve">Controller </w:t>
            </w:r>
            <w:r w:rsidRPr="00D311AA">
              <w:rPr>
                <w:b/>
                <w:szCs w:val="14"/>
                <w:vertAlign w:val="superscript"/>
              </w:rPr>
              <w:t>(1)</w:t>
            </w:r>
          </w:p>
        </w:tc>
        <w:tc>
          <w:tcPr>
            <w:tcW w:w="1170" w:type="dxa"/>
            <w:tcBorders>
              <w:top w:val="single" w:sz="2" w:space="0" w:color="1F4E79" w:themeColor="accent1" w:themeShade="80"/>
              <w:bottom w:val="single" w:sz="2" w:space="0" w:color="1F4E79" w:themeColor="accent1" w:themeShade="80"/>
            </w:tcBorders>
            <w:shd w:val="clear" w:color="auto" w:fill="auto"/>
            <w:vAlign w:val="center"/>
          </w:tcPr>
          <w:p w14:paraId="1B3E827F" w14:textId="77777777" w:rsidR="00613FF1" w:rsidRPr="00D311AA" w:rsidRDefault="00613FF1" w:rsidP="0038786A">
            <w:pPr>
              <w:pStyle w:val="08-Tabelageral"/>
              <w:rPr>
                <w:b/>
                <w:szCs w:val="14"/>
              </w:rPr>
            </w:pPr>
            <w:r w:rsidRPr="00D311AA">
              <w:rPr>
                <w:b/>
                <w:szCs w:val="14"/>
              </w:rPr>
              <w:t>Associates and joint ventures</w:t>
            </w:r>
            <w:r>
              <w:rPr>
                <w:b/>
                <w:szCs w:val="14"/>
              </w:rPr>
              <w:t xml:space="preserve"> </w:t>
            </w:r>
            <w:r w:rsidRPr="00D311AA">
              <w:rPr>
                <w:b/>
                <w:szCs w:val="14"/>
                <w:vertAlign w:val="superscript"/>
              </w:rPr>
              <w:t>(2)</w:t>
            </w:r>
          </w:p>
        </w:tc>
        <w:tc>
          <w:tcPr>
            <w:tcW w:w="1325" w:type="dxa"/>
            <w:tcBorders>
              <w:top w:val="single" w:sz="2" w:space="0" w:color="1F4E79" w:themeColor="accent1" w:themeShade="80"/>
              <w:bottom w:val="single" w:sz="2" w:space="0" w:color="1F4E79" w:themeColor="accent1" w:themeShade="80"/>
            </w:tcBorders>
            <w:shd w:val="clear" w:color="auto" w:fill="auto"/>
            <w:vAlign w:val="center"/>
          </w:tcPr>
          <w:p w14:paraId="48210B87" w14:textId="77777777" w:rsidR="00613FF1" w:rsidRPr="00D311AA" w:rsidRDefault="00613FF1" w:rsidP="0038786A">
            <w:pPr>
              <w:pStyle w:val="08-Tabelageral"/>
              <w:rPr>
                <w:b/>
                <w:szCs w:val="14"/>
              </w:rPr>
            </w:pPr>
            <w:r w:rsidRPr="00D311AA">
              <w:rPr>
                <w:b/>
                <w:szCs w:val="14"/>
              </w:rPr>
              <w:t>Other related parties</w:t>
            </w:r>
          </w:p>
        </w:tc>
        <w:tc>
          <w:tcPr>
            <w:tcW w:w="1323" w:type="dxa"/>
            <w:tcBorders>
              <w:top w:val="single" w:sz="2" w:space="0" w:color="1F4E79" w:themeColor="accent1" w:themeShade="80"/>
              <w:bottom w:val="single" w:sz="2" w:space="0" w:color="1F4E79" w:themeColor="accent1" w:themeShade="80"/>
            </w:tcBorders>
            <w:shd w:val="clear" w:color="auto" w:fill="auto"/>
            <w:vAlign w:val="center"/>
          </w:tcPr>
          <w:p w14:paraId="36C423E1" w14:textId="77777777" w:rsidR="00613FF1" w:rsidRPr="00D311AA" w:rsidRDefault="00613FF1" w:rsidP="0038786A">
            <w:pPr>
              <w:pStyle w:val="08-Tabelageral"/>
              <w:rPr>
                <w:b/>
                <w:szCs w:val="14"/>
              </w:rPr>
            </w:pPr>
            <w:r w:rsidRPr="00D311AA">
              <w:rPr>
                <w:b/>
                <w:szCs w:val="14"/>
              </w:rPr>
              <w:t xml:space="preserve">Controller </w:t>
            </w:r>
            <w:r w:rsidRPr="00D311AA">
              <w:rPr>
                <w:b/>
                <w:szCs w:val="14"/>
                <w:vertAlign w:val="superscript"/>
              </w:rPr>
              <w:t>(1)</w:t>
            </w:r>
          </w:p>
        </w:tc>
        <w:tc>
          <w:tcPr>
            <w:tcW w:w="1112" w:type="dxa"/>
            <w:tcBorders>
              <w:top w:val="single" w:sz="2" w:space="0" w:color="1F4E79" w:themeColor="accent1" w:themeShade="80"/>
              <w:bottom w:val="single" w:sz="2" w:space="0" w:color="1F4E79" w:themeColor="accent1" w:themeShade="80"/>
            </w:tcBorders>
            <w:shd w:val="clear" w:color="auto" w:fill="auto"/>
            <w:vAlign w:val="center"/>
          </w:tcPr>
          <w:p w14:paraId="1DA14B34" w14:textId="77777777" w:rsidR="00613FF1" w:rsidRPr="00D311AA" w:rsidRDefault="00613FF1" w:rsidP="0038786A">
            <w:pPr>
              <w:pStyle w:val="08-Tabelageral"/>
              <w:rPr>
                <w:b/>
                <w:szCs w:val="14"/>
              </w:rPr>
            </w:pPr>
            <w:r w:rsidRPr="00D311AA">
              <w:rPr>
                <w:b/>
                <w:szCs w:val="14"/>
              </w:rPr>
              <w:t>Associates and joint ventures</w:t>
            </w:r>
            <w:r>
              <w:rPr>
                <w:b/>
                <w:szCs w:val="14"/>
              </w:rPr>
              <w:t xml:space="preserve"> </w:t>
            </w:r>
            <w:r w:rsidRPr="00D311AA">
              <w:rPr>
                <w:b/>
                <w:szCs w:val="14"/>
                <w:vertAlign w:val="superscript"/>
              </w:rPr>
              <w:t>(2)</w:t>
            </w:r>
          </w:p>
        </w:tc>
        <w:tc>
          <w:tcPr>
            <w:tcW w:w="1230" w:type="dxa"/>
            <w:tcBorders>
              <w:top w:val="single" w:sz="2" w:space="0" w:color="1F4E79" w:themeColor="accent1" w:themeShade="80"/>
              <w:bottom w:val="single" w:sz="2" w:space="0" w:color="1F4E79" w:themeColor="accent1" w:themeShade="80"/>
            </w:tcBorders>
            <w:shd w:val="clear" w:color="auto" w:fill="auto"/>
            <w:vAlign w:val="center"/>
          </w:tcPr>
          <w:p w14:paraId="4FCEC2E9" w14:textId="77777777" w:rsidR="00613FF1" w:rsidRPr="00D311AA" w:rsidRDefault="00613FF1" w:rsidP="0038786A">
            <w:pPr>
              <w:pStyle w:val="08-Tabelageral"/>
              <w:rPr>
                <w:b/>
                <w:szCs w:val="14"/>
              </w:rPr>
            </w:pPr>
            <w:r w:rsidRPr="00D311AA">
              <w:rPr>
                <w:b/>
                <w:szCs w:val="14"/>
              </w:rPr>
              <w:t>Other related parties</w:t>
            </w:r>
          </w:p>
        </w:tc>
      </w:tr>
      <w:tr w:rsidR="00613FF1" w:rsidRPr="00D311AA" w14:paraId="5B93B6C1" w14:textId="77777777" w:rsidTr="0038786A">
        <w:trPr>
          <w:trHeight w:val="238"/>
          <w:jc w:val="center"/>
        </w:trPr>
        <w:tc>
          <w:tcPr>
            <w:tcW w:w="2438" w:type="dxa"/>
            <w:gridSpan w:val="2"/>
            <w:tcBorders>
              <w:top w:val="single" w:sz="2" w:space="0" w:color="1F4E79" w:themeColor="accent1" w:themeShade="80"/>
            </w:tcBorders>
            <w:shd w:val="clear" w:color="auto" w:fill="auto"/>
          </w:tcPr>
          <w:p w14:paraId="20723D97" w14:textId="77777777" w:rsidR="00613FF1" w:rsidRPr="00D311AA" w:rsidRDefault="00613FF1" w:rsidP="0038786A">
            <w:pPr>
              <w:pStyle w:val="08-Tabelageral"/>
              <w:jc w:val="left"/>
              <w:rPr>
                <w:b/>
              </w:rPr>
            </w:pPr>
            <w:r w:rsidRPr="00D311AA">
              <w:rPr>
                <w:b/>
              </w:rPr>
              <w:t>Income</w:t>
            </w:r>
          </w:p>
        </w:tc>
        <w:tc>
          <w:tcPr>
            <w:tcW w:w="1148" w:type="dxa"/>
            <w:tcBorders>
              <w:top w:val="single" w:sz="2" w:space="0" w:color="1F4E79" w:themeColor="accent1" w:themeShade="80"/>
            </w:tcBorders>
            <w:shd w:val="clear" w:color="auto" w:fill="auto"/>
            <w:vAlign w:val="center"/>
          </w:tcPr>
          <w:p w14:paraId="59B18D71" w14:textId="77777777" w:rsidR="00613FF1" w:rsidRPr="00D311AA" w:rsidRDefault="00613FF1" w:rsidP="0038786A">
            <w:pPr>
              <w:pStyle w:val="08-Tabelageral"/>
              <w:rPr>
                <w:b/>
                <w:szCs w:val="14"/>
              </w:rPr>
            </w:pPr>
          </w:p>
        </w:tc>
        <w:tc>
          <w:tcPr>
            <w:tcW w:w="1170" w:type="dxa"/>
            <w:tcBorders>
              <w:top w:val="single" w:sz="2" w:space="0" w:color="1F4E79" w:themeColor="accent1" w:themeShade="80"/>
            </w:tcBorders>
            <w:shd w:val="clear" w:color="auto" w:fill="auto"/>
            <w:vAlign w:val="center"/>
          </w:tcPr>
          <w:p w14:paraId="0B8BFBC0" w14:textId="77777777" w:rsidR="00613FF1" w:rsidRPr="00D311AA" w:rsidRDefault="00613FF1" w:rsidP="0038786A">
            <w:pPr>
              <w:pStyle w:val="08-Tabelageral"/>
              <w:rPr>
                <w:b/>
                <w:szCs w:val="14"/>
              </w:rPr>
            </w:pPr>
            <w:r w:rsidRPr="00D311AA">
              <w:rPr>
                <w:b/>
                <w:szCs w:val="14"/>
              </w:rPr>
              <w:t xml:space="preserve"> </w:t>
            </w:r>
          </w:p>
        </w:tc>
        <w:tc>
          <w:tcPr>
            <w:tcW w:w="1325" w:type="dxa"/>
            <w:tcBorders>
              <w:top w:val="single" w:sz="2" w:space="0" w:color="1F4E79" w:themeColor="accent1" w:themeShade="80"/>
            </w:tcBorders>
            <w:shd w:val="clear" w:color="auto" w:fill="auto"/>
          </w:tcPr>
          <w:p w14:paraId="1445A41C" w14:textId="77777777" w:rsidR="00613FF1" w:rsidRPr="00D311AA" w:rsidRDefault="00613FF1" w:rsidP="0038786A">
            <w:pPr>
              <w:pStyle w:val="08-Tabelageral"/>
              <w:rPr>
                <w:b/>
              </w:rPr>
            </w:pPr>
          </w:p>
        </w:tc>
        <w:tc>
          <w:tcPr>
            <w:tcW w:w="1323" w:type="dxa"/>
            <w:tcBorders>
              <w:top w:val="single" w:sz="2" w:space="0" w:color="1F4E79" w:themeColor="accent1" w:themeShade="80"/>
            </w:tcBorders>
            <w:shd w:val="clear" w:color="auto" w:fill="auto"/>
            <w:vAlign w:val="center"/>
          </w:tcPr>
          <w:p w14:paraId="4EB571DB" w14:textId="77777777" w:rsidR="00613FF1" w:rsidRPr="00D311AA" w:rsidRDefault="00613FF1" w:rsidP="0038786A">
            <w:pPr>
              <w:pStyle w:val="08-Tabelageral"/>
              <w:rPr>
                <w:b/>
              </w:rPr>
            </w:pPr>
          </w:p>
        </w:tc>
        <w:tc>
          <w:tcPr>
            <w:tcW w:w="1112" w:type="dxa"/>
            <w:tcBorders>
              <w:top w:val="single" w:sz="2" w:space="0" w:color="1F4E79" w:themeColor="accent1" w:themeShade="80"/>
            </w:tcBorders>
            <w:shd w:val="clear" w:color="auto" w:fill="auto"/>
            <w:vAlign w:val="center"/>
          </w:tcPr>
          <w:p w14:paraId="21DDB46E" w14:textId="77777777" w:rsidR="00613FF1" w:rsidRPr="00D311AA" w:rsidRDefault="00613FF1" w:rsidP="0038786A">
            <w:pPr>
              <w:pStyle w:val="08-Tabelageral"/>
              <w:rPr>
                <w:b/>
              </w:rPr>
            </w:pPr>
          </w:p>
        </w:tc>
        <w:tc>
          <w:tcPr>
            <w:tcW w:w="1230" w:type="dxa"/>
            <w:tcBorders>
              <w:top w:val="single" w:sz="2" w:space="0" w:color="1F4E79" w:themeColor="accent1" w:themeShade="80"/>
            </w:tcBorders>
            <w:shd w:val="clear" w:color="auto" w:fill="auto"/>
          </w:tcPr>
          <w:p w14:paraId="515F9994" w14:textId="77777777" w:rsidR="00613FF1" w:rsidRPr="00D311AA" w:rsidRDefault="00613FF1" w:rsidP="0038786A">
            <w:pPr>
              <w:pStyle w:val="08-Tabelageral"/>
              <w:rPr>
                <w:b/>
              </w:rPr>
            </w:pPr>
          </w:p>
        </w:tc>
      </w:tr>
      <w:tr w:rsidR="00613FF1" w:rsidRPr="00D311AA" w14:paraId="062C28B8" w14:textId="77777777" w:rsidTr="0038786A">
        <w:trPr>
          <w:trHeight w:val="238"/>
          <w:jc w:val="center"/>
        </w:trPr>
        <w:tc>
          <w:tcPr>
            <w:tcW w:w="2438" w:type="dxa"/>
            <w:gridSpan w:val="2"/>
            <w:shd w:val="clear" w:color="auto" w:fill="auto"/>
          </w:tcPr>
          <w:p w14:paraId="4CD6EAD8" w14:textId="77777777" w:rsidR="00613FF1" w:rsidRPr="00613FF1" w:rsidRDefault="00613FF1" w:rsidP="00E100E6">
            <w:pPr>
              <w:pStyle w:val="08-Tabelageral"/>
              <w:ind w:left="113"/>
              <w:jc w:val="left"/>
              <w:rPr>
                <w:bCs/>
                <w:lang w:val="en-US"/>
              </w:rPr>
            </w:pPr>
            <w:r w:rsidRPr="00613FF1">
              <w:rPr>
                <w:bCs/>
                <w:lang w:val="en-US"/>
              </w:rPr>
              <w:t>Interest earnings of financial instruments</w:t>
            </w:r>
          </w:p>
        </w:tc>
        <w:tc>
          <w:tcPr>
            <w:tcW w:w="1148" w:type="dxa"/>
            <w:tcBorders>
              <w:top w:val="nil"/>
            </w:tcBorders>
            <w:shd w:val="clear" w:color="auto" w:fill="auto"/>
            <w:vAlign w:val="center"/>
          </w:tcPr>
          <w:p w14:paraId="6BFC4D6A" w14:textId="77777777" w:rsidR="00613FF1" w:rsidRPr="00D311AA" w:rsidRDefault="00613FF1" w:rsidP="00E100E6">
            <w:pPr>
              <w:pStyle w:val="08-Tabelageral"/>
            </w:pPr>
            <w:r>
              <w:t>497,615</w:t>
            </w:r>
          </w:p>
        </w:tc>
        <w:tc>
          <w:tcPr>
            <w:tcW w:w="1170" w:type="dxa"/>
            <w:tcBorders>
              <w:top w:val="nil"/>
            </w:tcBorders>
            <w:shd w:val="clear" w:color="auto" w:fill="auto"/>
            <w:vAlign w:val="center"/>
          </w:tcPr>
          <w:p w14:paraId="4932B965" w14:textId="77777777" w:rsidR="00613FF1" w:rsidRPr="00D311AA" w:rsidRDefault="00613FF1" w:rsidP="00E100E6">
            <w:pPr>
              <w:pStyle w:val="08-Tabelageral"/>
            </w:pPr>
            <w:r>
              <w:t>--</w:t>
            </w:r>
          </w:p>
        </w:tc>
        <w:tc>
          <w:tcPr>
            <w:tcW w:w="1325" w:type="dxa"/>
            <w:tcBorders>
              <w:top w:val="nil"/>
            </w:tcBorders>
            <w:shd w:val="clear" w:color="auto" w:fill="auto"/>
            <w:vAlign w:val="center"/>
          </w:tcPr>
          <w:p w14:paraId="39FF2219" w14:textId="77777777" w:rsidR="00613FF1" w:rsidRPr="00D311AA" w:rsidRDefault="00613FF1" w:rsidP="00E100E6">
            <w:pPr>
              <w:pStyle w:val="08-Tabelageral"/>
            </w:pPr>
            <w:r>
              <w:t>--</w:t>
            </w:r>
          </w:p>
        </w:tc>
        <w:tc>
          <w:tcPr>
            <w:tcW w:w="1323" w:type="dxa"/>
            <w:tcBorders>
              <w:top w:val="nil"/>
            </w:tcBorders>
            <w:shd w:val="clear" w:color="auto" w:fill="auto"/>
            <w:vAlign w:val="center"/>
          </w:tcPr>
          <w:p w14:paraId="0BCBDAB9" w14:textId="77777777" w:rsidR="00613FF1" w:rsidRPr="00D311AA" w:rsidRDefault="00613FF1" w:rsidP="00E100E6">
            <w:pPr>
              <w:pStyle w:val="08-Tabelageral"/>
              <w:rPr>
                <w:rFonts w:cs="Arial"/>
                <w:szCs w:val="14"/>
              </w:rPr>
            </w:pPr>
            <w:r w:rsidRPr="002E4E49">
              <w:rPr>
                <w:rFonts w:cs="Arial"/>
                <w:szCs w:val="14"/>
              </w:rPr>
              <w:t>125</w:t>
            </w:r>
            <w:r>
              <w:rPr>
                <w:rFonts w:cs="Arial"/>
                <w:szCs w:val="14"/>
              </w:rPr>
              <w:t>,</w:t>
            </w:r>
            <w:r w:rsidRPr="002E4E49">
              <w:rPr>
                <w:rFonts w:cs="Arial"/>
                <w:szCs w:val="14"/>
              </w:rPr>
              <w:t>090</w:t>
            </w:r>
          </w:p>
        </w:tc>
        <w:tc>
          <w:tcPr>
            <w:tcW w:w="1112" w:type="dxa"/>
            <w:tcBorders>
              <w:top w:val="nil"/>
            </w:tcBorders>
            <w:shd w:val="clear" w:color="auto" w:fill="auto"/>
            <w:vAlign w:val="center"/>
          </w:tcPr>
          <w:p w14:paraId="2692A32E" w14:textId="77777777" w:rsidR="00613FF1" w:rsidRPr="00D311AA" w:rsidRDefault="00613FF1" w:rsidP="00E100E6">
            <w:pPr>
              <w:pStyle w:val="08-Tabelageral"/>
              <w:rPr>
                <w:rFonts w:cs="Arial"/>
                <w:szCs w:val="14"/>
              </w:rPr>
            </w:pPr>
            <w:r>
              <w:rPr>
                <w:rFonts w:cs="Arial"/>
                <w:szCs w:val="14"/>
              </w:rPr>
              <w:t>--</w:t>
            </w:r>
          </w:p>
        </w:tc>
        <w:tc>
          <w:tcPr>
            <w:tcW w:w="1230" w:type="dxa"/>
            <w:tcBorders>
              <w:top w:val="nil"/>
            </w:tcBorders>
            <w:shd w:val="clear" w:color="auto" w:fill="auto"/>
            <w:vAlign w:val="center"/>
          </w:tcPr>
          <w:p w14:paraId="628AE97C" w14:textId="77777777" w:rsidR="00613FF1" w:rsidRPr="00D311AA" w:rsidRDefault="00613FF1" w:rsidP="00E100E6">
            <w:pPr>
              <w:pStyle w:val="08-Tabelageral"/>
            </w:pPr>
            <w:r>
              <w:t>--</w:t>
            </w:r>
          </w:p>
        </w:tc>
      </w:tr>
      <w:tr w:rsidR="00613FF1" w:rsidRPr="00D311AA" w14:paraId="446CA354" w14:textId="77777777" w:rsidTr="0038786A">
        <w:trPr>
          <w:trHeight w:val="238"/>
          <w:jc w:val="center"/>
        </w:trPr>
        <w:tc>
          <w:tcPr>
            <w:tcW w:w="2438" w:type="dxa"/>
            <w:gridSpan w:val="2"/>
            <w:shd w:val="clear" w:color="auto" w:fill="auto"/>
            <w:vAlign w:val="center"/>
          </w:tcPr>
          <w:p w14:paraId="6722D92F" w14:textId="77777777" w:rsidR="00613FF1" w:rsidRPr="00D311AA" w:rsidRDefault="00613FF1" w:rsidP="00E100E6">
            <w:pPr>
              <w:pStyle w:val="08-Tabelageral"/>
              <w:ind w:left="113"/>
              <w:jc w:val="left"/>
              <w:rPr>
                <w:bCs/>
              </w:rPr>
            </w:pPr>
            <w:r w:rsidRPr="00D311AA">
              <w:rPr>
                <w:bCs/>
              </w:rPr>
              <w:t>Income from Commission</w:t>
            </w:r>
          </w:p>
        </w:tc>
        <w:tc>
          <w:tcPr>
            <w:tcW w:w="1148" w:type="dxa"/>
            <w:shd w:val="clear" w:color="auto" w:fill="auto"/>
            <w:vAlign w:val="center"/>
          </w:tcPr>
          <w:p w14:paraId="3EF2BEB6" w14:textId="77777777" w:rsidR="00613FF1" w:rsidRPr="00D311AA" w:rsidRDefault="00613FF1" w:rsidP="00E100E6">
            <w:pPr>
              <w:pStyle w:val="08-Tabelageral"/>
            </w:pPr>
            <w:r>
              <w:t>--</w:t>
            </w:r>
          </w:p>
        </w:tc>
        <w:tc>
          <w:tcPr>
            <w:tcW w:w="1170" w:type="dxa"/>
            <w:shd w:val="clear" w:color="auto" w:fill="auto"/>
            <w:vAlign w:val="center"/>
          </w:tcPr>
          <w:p w14:paraId="018B0F68" w14:textId="77777777" w:rsidR="00613FF1" w:rsidRPr="00D311AA" w:rsidRDefault="00613FF1" w:rsidP="00E100E6">
            <w:pPr>
              <w:pStyle w:val="08-Tabelageral"/>
            </w:pPr>
            <w:r>
              <w:t>4,515,298</w:t>
            </w:r>
          </w:p>
        </w:tc>
        <w:tc>
          <w:tcPr>
            <w:tcW w:w="1325" w:type="dxa"/>
            <w:shd w:val="clear" w:color="auto" w:fill="auto"/>
            <w:vAlign w:val="center"/>
          </w:tcPr>
          <w:p w14:paraId="4EDAC09A" w14:textId="77777777" w:rsidR="00613FF1" w:rsidRPr="00D311AA" w:rsidRDefault="00613FF1" w:rsidP="00E100E6">
            <w:pPr>
              <w:pStyle w:val="08-Tabelageral"/>
            </w:pPr>
            <w:r>
              <w:t>--</w:t>
            </w:r>
          </w:p>
        </w:tc>
        <w:tc>
          <w:tcPr>
            <w:tcW w:w="1323" w:type="dxa"/>
            <w:shd w:val="clear" w:color="auto" w:fill="auto"/>
            <w:vAlign w:val="center"/>
          </w:tcPr>
          <w:p w14:paraId="391BBA26" w14:textId="77777777" w:rsidR="00613FF1" w:rsidRPr="00D311AA" w:rsidRDefault="00613FF1" w:rsidP="00E100E6">
            <w:pPr>
              <w:pStyle w:val="08-Tabelageral"/>
              <w:rPr>
                <w:rFonts w:cs="Arial"/>
                <w:szCs w:val="14"/>
              </w:rPr>
            </w:pPr>
            <w:r>
              <w:rPr>
                <w:rFonts w:cs="Arial"/>
                <w:szCs w:val="14"/>
              </w:rPr>
              <w:t>--</w:t>
            </w:r>
          </w:p>
        </w:tc>
        <w:tc>
          <w:tcPr>
            <w:tcW w:w="1112" w:type="dxa"/>
            <w:shd w:val="clear" w:color="auto" w:fill="auto"/>
            <w:vAlign w:val="center"/>
          </w:tcPr>
          <w:p w14:paraId="77C11FD0" w14:textId="77777777" w:rsidR="00613FF1" w:rsidRPr="00D311AA" w:rsidRDefault="00613FF1" w:rsidP="00E100E6">
            <w:pPr>
              <w:pStyle w:val="08-Tabelageral"/>
              <w:rPr>
                <w:rFonts w:cs="Arial"/>
                <w:szCs w:val="14"/>
              </w:rPr>
            </w:pPr>
            <w:r>
              <w:rPr>
                <w:szCs w:val="14"/>
              </w:rPr>
              <w:t xml:space="preserve">3,813,331 </w:t>
            </w:r>
          </w:p>
        </w:tc>
        <w:tc>
          <w:tcPr>
            <w:tcW w:w="1230" w:type="dxa"/>
            <w:shd w:val="clear" w:color="auto" w:fill="auto"/>
            <w:vAlign w:val="center"/>
          </w:tcPr>
          <w:p w14:paraId="46EE70DD" w14:textId="77777777" w:rsidR="00613FF1" w:rsidRPr="00D311AA" w:rsidRDefault="00613FF1" w:rsidP="00E100E6">
            <w:pPr>
              <w:pStyle w:val="08-Tabelageral"/>
            </w:pPr>
            <w:r>
              <w:t>--</w:t>
            </w:r>
          </w:p>
        </w:tc>
      </w:tr>
      <w:tr w:rsidR="00613FF1" w:rsidRPr="00D311AA" w14:paraId="60220D7D" w14:textId="77777777" w:rsidTr="0038786A">
        <w:trPr>
          <w:trHeight w:val="238"/>
          <w:jc w:val="center"/>
        </w:trPr>
        <w:tc>
          <w:tcPr>
            <w:tcW w:w="2438" w:type="dxa"/>
            <w:gridSpan w:val="2"/>
            <w:tcBorders>
              <w:bottom w:val="nil"/>
            </w:tcBorders>
            <w:shd w:val="clear" w:color="auto" w:fill="auto"/>
            <w:vAlign w:val="center"/>
          </w:tcPr>
          <w:p w14:paraId="16C2AD94" w14:textId="77777777" w:rsidR="00613FF1" w:rsidRPr="00D311AA" w:rsidRDefault="00613FF1" w:rsidP="00E100E6">
            <w:pPr>
              <w:pStyle w:val="08-Tabelageral"/>
              <w:ind w:left="113"/>
              <w:jc w:val="left"/>
              <w:rPr>
                <w:bCs/>
              </w:rPr>
            </w:pPr>
            <w:r w:rsidRPr="00D311AA">
              <w:rPr>
                <w:bCs/>
              </w:rPr>
              <w:t>Personnel expenses</w:t>
            </w:r>
          </w:p>
        </w:tc>
        <w:tc>
          <w:tcPr>
            <w:tcW w:w="1148" w:type="dxa"/>
            <w:shd w:val="clear" w:color="auto" w:fill="auto"/>
            <w:vAlign w:val="center"/>
          </w:tcPr>
          <w:p w14:paraId="4589B4FF" w14:textId="77777777" w:rsidR="00613FF1" w:rsidRPr="00D311AA" w:rsidRDefault="00613FF1" w:rsidP="00E100E6">
            <w:pPr>
              <w:pStyle w:val="08-Tabelageral"/>
            </w:pPr>
            <w:r>
              <w:t>(74,512)</w:t>
            </w:r>
          </w:p>
        </w:tc>
        <w:tc>
          <w:tcPr>
            <w:tcW w:w="1170" w:type="dxa"/>
            <w:shd w:val="clear" w:color="auto" w:fill="auto"/>
            <w:vAlign w:val="center"/>
          </w:tcPr>
          <w:p w14:paraId="4EF1773F" w14:textId="77777777" w:rsidR="00613FF1" w:rsidRPr="00D311AA" w:rsidRDefault="00613FF1" w:rsidP="00E100E6">
            <w:pPr>
              <w:pStyle w:val="08-Tabelageral"/>
            </w:pPr>
            <w:r>
              <w:t>--</w:t>
            </w:r>
          </w:p>
        </w:tc>
        <w:tc>
          <w:tcPr>
            <w:tcW w:w="1325" w:type="dxa"/>
            <w:shd w:val="clear" w:color="auto" w:fill="auto"/>
            <w:vAlign w:val="center"/>
          </w:tcPr>
          <w:p w14:paraId="20789936" w14:textId="77777777" w:rsidR="00613FF1" w:rsidRPr="00D311AA" w:rsidRDefault="00613FF1" w:rsidP="00E100E6">
            <w:pPr>
              <w:pStyle w:val="08-Tabelageral"/>
            </w:pPr>
            <w:r>
              <w:t>--</w:t>
            </w:r>
          </w:p>
        </w:tc>
        <w:tc>
          <w:tcPr>
            <w:tcW w:w="1323" w:type="dxa"/>
            <w:shd w:val="clear" w:color="auto" w:fill="auto"/>
            <w:vAlign w:val="center"/>
          </w:tcPr>
          <w:p w14:paraId="4D9A609E" w14:textId="77777777" w:rsidR="00613FF1" w:rsidRPr="00D311AA" w:rsidRDefault="00613FF1" w:rsidP="00E100E6">
            <w:pPr>
              <w:pStyle w:val="08-Tabelageral"/>
              <w:rPr>
                <w:rFonts w:cs="Arial"/>
                <w:szCs w:val="14"/>
              </w:rPr>
            </w:pPr>
            <w:r w:rsidRPr="002E4E49">
              <w:rPr>
                <w:rFonts w:cs="Arial"/>
                <w:szCs w:val="14"/>
              </w:rPr>
              <w:t>(63</w:t>
            </w:r>
            <w:r>
              <w:rPr>
                <w:rFonts w:cs="Arial"/>
                <w:szCs w:val="14"/>
              </w:rPr>
              <w:t>,</w:t>
            </w:r>
            <w:r w:rsidRPr="002E4E49">
              <w:rPr>
                <w:rFonts w:cs="Arial"/>
                <w:szCs w:val="14"/>
              </w:rPr>
              <w:t>114)</w:t>
            </w:r>
          </w:p>
        </w:tc>
        <w:tc>
          <w:tcPr>
            <w:tcW w:w="1112" w:type="dxa"/>
            <w:shd w:val="clear" w:color="auto" w:fill="auto"/>
            <w:vAlign w:val="center"/>
          </w:tcPr>
          <w:p w14:paraId="3679697C" w14:textId="77777777" w:rsidR="00613FF1" w:rsidRPr="00D311AA" w:rsidRDefault="00613FF1" w:rsidP="00E100E6">
            <w:pPr>
              <w:pStyle w:val="08-Tabelageral"/>
              <w:rPr>
                <w:rFonts w:cs="Arial"/>
                <w:szCs w:val="14"/>
              </w:rPr>
            </w:pPr>
            <w:r>
              <w:rPr>
                <w:rFonts w:cs="Arial"/>
                <w:szCs w:val="14"/>
              </w:rPr>
              <w:t>--</w:t>
            </w:r>
          </w:p>
        </w:tc>
        <w:tc>
          <w:tcPr>
            <w:tcW w:w="1230" w:type="dxa"/>
            <w:shd w:val="clear" w:color="auto" w:fill="auto"/>
            <w:vAlign w:val="center"/>
          </w:tcPr>
          <w:p w14:paraId="6AD09CF3" w14:textId="77777777" w:rsidR="00613FF1" w:rsidRPr="00D311AA" w:rsidRDefault="00613FF1" w:rsidP="00E100E6">
            <w:pPr>
              <w:pStyle w:val="08-Tabelageral"/>
            </w:pPr>
            <w:r>
              <w:t>--</w:t>
            </w:r>
          </w:p>
        </w:tc>
      </w:tr>
      <w:tr w:rsidR="00613FF1" w:rsidRPr="00D311AA" w14:paraId="425D5C47" w14:textId="77777777" w:rsidTr="0038786A">
        <w:trPr>
          <w:trHeight w:val="238"/>
          <w:jc w:val="center"/>
        </w:trPr>
        <w:tc>
          <w:tcPr>
            <w:tcW w:w="2438" w:type="dxa"/>
            <w:gridSpan w:val="2"/>
            <w:tcBorders>
              <w:top w:val="nil"/>
              <w:bottom w:val="nil"/>
            </w:tcBorders>
            <w:shd w:val="clear" w:color="auto" w:fill="auto"/>
            <w:vAlign w:val="center"/>
          </w:tcPr>
          <w:p w14:paraId="156C4DF4" w14:textId="77777777" w:rsidR="00613FF1" w:rsidRPr="00613FF1" w:rsidRDefault="00613FF1" w:rsidP="00E100E6">
            <w:pPr>
              <w:pStyle w:val="08-Tabelageral"/>
              <w:ind w:left="113"/>
              <w:jc w:val="left"/>
              <w:rPr>
                <w:bCs/>
                <w:lang w:val="en-US"/>
              </w:rPr>
            </w:pPr>
            <w:r w:rsidRPr="00613FF1">
              <w:rPr>
                <w:bCs/>
                <w:lang w:val="en-US"/>
              </w:rPr>
              <w:t xml:space="preserve">Administrative expenses/costs of services provided </w:t>
            </w:r>
            <w:r w:rsidRPr="00613FF1">
              <w:rPr>
                <w:bCs/>
                <w:vertAlign w:val="superscript"/>
                <w:lang w:val="en-US"/>
              </w:rPr>
              <w:t>(3)</w:t>
            </w:r>
          </w:p>
        </w:tc>
        <w:tc>
          <w:tcPr>
            <w:tcW w:w="1148" w:type="dxa"/>
            <w:tcBorders>
              <w:bottom w:val="nil"/>
            </w:tcBorders>
            <w:shd w:val="clear" w:color="auto" w:fill="auto"/>
            <w:vAlign w:val="center"/>
          </w:tcPr>
          <w:p w14:paraId="76F73F70" w14:textId="77777777" w:rsidR="00613FF1" w:rsidRPr="00D311AA" w:rsidRDefault="00613FF1" w:rsidP="00E100E6">
            <w:pPr>
              <w:pStyle w:val="08-Tabelageral"/>
            </w:pPr>
            <w:r>
              <w:t>(221,119)</w:t>
            </w:r>
          </w:p>
        </w:tc>
        <w:tc>
          <w:tcPr>
            <w:tcW w:w="1170" w:type="dxa"/>
            <w:tcBorders>
              <w:bottom w:val="nil"/>
            </w:tcBorders>
            <w:shd w:val="clear" w:color="auto" w:fill="auto"/>
            <w:vAlign w:val="center"/>
          </w:tcPr>
          <w:p w14:paraId="06499591" w14:textId="77777777" w:rsidR="00613FF1" w:rsidRPr="00D311AA" w:rsidRDefault="00613FF1" w:rsidP="00E100E6">
            <w:pPr>
              <w:pStyle w:val="08-Tabelageral"/>
            </w:pPr>
            <w:r>
              <w:t>--</w:t>
            </w:r>
          </w:p>
        </w:tc>
        <w:tc>
          <w:tcPr>
            <w:tcW w:w="1325" w:type="dxa"/>
            <w:tcBorders>
              <w:bottom w:val="nil"/>
            </w:tcBorders>
            <w:shd w:val="clear" w:color="auto" w:fill="auto"/>
            <w:vAlign w:val="center"/>
          </w:tcPr>
          <w:p w14:paraId="4FFB821D" w14:textId="77777777" w:rsidR="00613FF1" w:rsidRPr="00D311AA" w:rsidRDefault="00613FF1" w:rsidP="00E100E6">
            <w:pPr>
              <w:pStyle w:val="08-Tabelageral"/>
            </w:pPr>
            <w:r>
              <w:t>--</w:t>
            </w:r>
          </w:p>
        </w:tc>
        <w:tc>
          <w:tcPr>
            <w:tcW w:w="1323" w:type="dxa"/>
            <w:tcBorders>
              <w:bottom w:val="nil"/>
            </w:tcBorders>
            <w:shd w:val="clear" w:color="auto" w:fill="auto"/>
            <w:vAlign w:val="center"/>
          </w:tcPr>
          <w:p w14:paraId="7EBB7357" w14:textId="77777777" w:rsidR="00613FF1" w:rsidRPr="00D311AA" w:rsidRDefault="00613FF1" w:rsidP="00E100E6">
            <w:pPr>
              <w:pStyle w:val="08-Tabelageral"/>
              <w:rPr>
                <w:rFonts w:cs="Arial"/>
                <w:szCs w:val="14"/>
              </w:rPr>
            </w:pPr>
            <w:r w:rsidRPr="002E4E49">
              <w:rPr>
                <w:rFonts w:cs="Arial"/>
                <w:szCs w:val="14"/>
              </w:rPr>
              <w:t>(203</w:t>
            </w:r>
            <w:r>
              <w:rPr>
                <w:rFonts w:cs="Arial"/>
                <w:szCs w:val="14"/>
              </w:rPr>
              <w:t>,</w:t>
            </w:r>
            <w:r w:rsidRPr="002E4E49">
              <w:rPr>
                <w:rFonts w:cs="Arial"/>
                <w:szCs w:val="14"/>
              </w:rPr>
              <w:t>959)</w:t>
            </w:r>
          </w:p>
        </w:tc>
        <w:tc>
          <w:tcPr>
            <w:tcW w:w="1112" w:type="dxa"/>
            <w:tcBorders>
              <w:bottom w:val="nil"/>
            </w:tcBorders>
            <w:shd w:val="clear" w:color="auto" w:fill="auto"/>
            <w:vAlign w:val="center"/>
          </w:tcPr>
          <w:p w14:paraId="7844C484" w14:textId="77777777" w:rsidR="00613FF1" w:rsidRPr="00D311AA" w:rsidRDefault="00613FF1" w:rsidP="00E100E6">
            <w:pPr>
              <w:pStyle w:val="08-Tabelageral"/>
              <w:rPr>
                <w:rFonts w:cs="Arial"/>
                <w:szCs w:val="14"/>
              </w:rPr>
            </w:pPr>
            <w:r>
              <w:rPr>
                <w:rFonts w:cs="Arial"/>
                <w:szCs w:val="14"/>
              </w:rPr>
              <w:t>--</w:t>
            </w:r>
          </w:p>
        </w:tc>
        <w:tc>
          <w:tcPr>
            <w:tcW w:w="1230" w:type="dxa"/>
            <w:tcBorders>
              <w:bottom w:val="nil"/>
            </w:tcBorders>
            <w:shd w:val="clear" w:color="auto" w:fill="auto"/>
            <w:vAlign w:val="center"/>
          </w:tcPr>
          <w:p w14:paraId="0133FC29" w14:textId="77777777" w:rsidR="00613FF1" w:rsidRPr="00D311AA" w:rsidRDefault="00613FF1" w:rsidP="00E100E6">
            <w:pPr>
              <w:pStyle w:val="08-Tabelageral"/>
            </w:pPr>
            <w:r>
              <w:t>--</w:t>
            </w:r>
          </w:p>
        </w:tc>
      </w:tr>
      <w:tr w:rsidR="00613FF1" w:rsidRPr="00D311AA" w14:paraId="25B3F1B7" w14:textId="77777777" w:rsidTr="00222F42">
        <w:trPr>
          <w:trHeight w:val="238"/>
          <w:jc w:val="center"/>
        </w:trPr>
        <w:tc>
          <w:tcPr>
            <w:tcW w:w="2438" w:type="dxa"/>
            <w:gridSpan w:val="2"/>
            <w:tcBorders>
              <w:top w:val="nil"/>
              <w:bottom w:val="single" w:sz="4" w:space="0" w:color="2E74B5" w:themeColor="accent1" w:themeShade="BF"/>
            </w:tcBorders>
            <w:shd w:val="clear" w:color="auto" w:fill="auto"/>
            <w:vAlign w:val="center"/>
          </w:tcPr>
          <w:p w14:paraId="12A9F028" w14:textId="77777777" w:rsidR="00613FF1" w:rsidRPr="00D311AA" w:rsidRDefault="00613FF1" w:rsidP="00E100E6">
            <w:pPr>
              <w:pStyle w:val="08-Tabelageral"/>
              <w:ind w:left="113"/>
              <w:jc w:val="left"/>
              <w:rPr>
                <w:bCs/>
              </w:rPr>
            </w:pPr>
            <w:r w:rsidRPr="0001502B">
              <w:rPr>
                <w:bCs/>
              </w:rPr>
              <w:t>Monetary liabilities changes</w:t>
            </w:r>
          </w:p>
        </w:tc>
        <w:tc>
          <w:tcPr>
            <w:tcW w:w="1148" w:type="dxa"/>
            <w:tcBorders>
              <w:top w:val="nil"/>
              <w:bottom w:val="single" w:sz="4" w:space="0" w:color="2E74B5" w:themeColor="accent1" w:themeShade="BF"/>
            </w:tcBorders>
            <w:shd w:val="clear" w:color="auto" w:fill="auto"/>
            <w:vAlign w:val="center"/>
          </w:tcPr>
          <w:p w14:paraId="1C6EDDBD" w14:textId="77777777" w:rsidR="00613FF1" w:rsidRPr="00D311AA" w:rsidRDefault="00613FF1" w:rsidP="00E100E6">
            <w:pPr>
              <w:pStyle w:val="08-Tabelageral"/>
            </w:pPr>
            <w:r>
              <w:t>(17,056)</w:t>
            </w:r>
          </w:p>
        </w:tc>
        <w:tc>
          <w:tcPr>
            <w:tcW w:w="1170" w:type="dxa"/>
            <w:tcBorders>
              <w:top w:val="nil"/>
              <w:bottom w:val="single" w:sz="4" w:space="0" w:color="2E74B5" w:themeColor="accent1" w:themeShade="BF"/>
            </w:tcBorders>
            <w:shd w:val="clear" w:color="auto" w:fill="auto"/>
            <w:vAlign w:val="center"/>
          </w:tcPr>
          <w:p w14:paraId="643D5FC5" w14:textId="77777777" w:rsidR="00613FF1" w:rsidRPr="00D311AA" w:rsidRDefault="00613FF1" w:rsidP="00E100E6">
            <w:pPr>
              <w:pStyle w:val="08-Tabelageral"/>
            </w:pPr>
            <w:r>
              <w:t>--</w:t>
            </w:r>
          </w:p>
        </w:tc>
        <w:tc>
          <w:tcPr>
            <w:tcW w:w="1325" w:type="dxa"/>
            <w:tcBorders>
              <w:top w:val="nil"/>
              <w:bottom w:val="single" w:sz="4" w:space="0" w:color="2E74B5" w:themeColor="accent1" w:themeShade="BF"/>
            </w:tcBorders>
            <w:shd w:val="clear" w:color="auto" w:fill="auto"/>
            <w:vAlign w:val="center"/>
          </w:tcPr>
          <w:p w14:paraId="218FE6AE" w14:textId="77777777" w:rsidR="00613FF1" w:rsidRPr="00D311AA" w:rsidRDefault="00613FF1" w:rsidP="00E100E6">
            <w:pPr>
              <w:pStyle w:val="08-Tabelageral"/>
            </w:pPr>
            <w:r>
              <w:t>--</w:t>
            </w:r>
          </w:p>
        </w:tc>
        <w:tc>
          <w:tcPr>
            <w:tcW w:w="1323" w:type="dxa"/>
            <w:tcBorders>
              <w:top w:val="nil"/>
              <w:bottom w:val="single" w:sz="4" w:space="0" w:color="2E74B5" w:themeColor="accent1" w:themeShade="BF"/>
            </w:tcBorders>
            <w:shd w:val="clear" w:color="auto" w:fill="auto"/>
            <w:vAlign w:val="center"/>
          </w:tcPr>
          <w:p w14:paraId="28915A15" w14:textId="77777777" w:rsidR="00613FF1" w:rsidRPr="00D311AA" w:rsidRDefault="00613FF1" w:rsidP="00E100E6">
            <w:pPr>
              <w:pStyle w:val="08-Tabelageral"/>
              <w:rPr>
                <w:rFonts w:cs="Arial"/>
                <w:szCs w:val="14"/>
              </w:rPr>
            </w:pPr>
            <w:r>
              <w:rPr>
                <w:szCs w:val="14"/>
              </w:rPr>
              <w:t xml:space="preserve">(1,738) </w:t>
            </w:r>
          </w:p>
        </w:tc>
        <w:tc>
          <w:tcPr>
            <w:tcW w:w="1112" w:type="dxa"/>
            <w:tcBorders>
              <w:top w:val="nil"/>
              <w:bottom w:val="single" w:sz="4" w:space="0" w:color="2E74B5" w:themeColor="accent1" w:themeShade="BF"/>
            </w:tcBorders>
            <w:shd w:val="clear" w:color="auto" w:fill="auto"/>
            <w:vAlign w:val="center"/>
          </w:tcPr>
          <w:p w14:paraId="6B39AC4C" w14:textId="77777777" w:rsidR="00613FF1" w:rsidRPr="00D311AA" w:rsidRDefault="00613FF1" w:rsidP="00E100E6">
            <w:pPr>
              <w:pStyle w:val="08-Tabelageral"/>
              <w:rPr>
                <w:rFonts w:cs="Arial"/>
                <w:szCs w:val="14"/>
              </w:rPr>
            </w:pPr>
            <w:r>
              <w:rPr>
                <w:rFonts w:cs="Arial"/>
                <w:bCs/>
                <w:szCs w:val="14"/>
              </w:rPr>
              <w:t>--</w:t>
            </w:r>
          </w:p>
        </w:tc>
        <w:tc>
          <w:tcPr>
            <w:tcW w:w="1230" w:type="dxa"/>
            <w:tcBorders>
              <w:top w:val="nil"/>
              <w:bottom w:val="single" w:sz="4" w:space="0" w:color="2E74B5" w:themeColor="accent1" w:themeShade="BF"/>
            </w:tcBorders>
            <w:shd w:val="clear" w:color="auto" w:fill="auto"/>
          </w:tcPr>
          <w:p w14:paraId="1E93C331" w14:textId="77777777" w:rsidR="00613FF1" w:rsidRPr="00D311AA" w:rsidRDefault="00613FF1" w:rsidP="00E100E6">
            <w:pPr>
              <w:pStyle w:val="08-Tabelageral"/>
            </w:pPr>
            <w:r>
              <w:t>--</w:t>
            </w:r>
          </w:p>
        </w:tc>
      </w:tr>
    </w:tbl>
    <w:p w14:paraId="034CB4D4" w14:textId="77777777" w:rsidR="00613FF1" w:rsidRPr="00CA0C3C" w:rsidRDefault="00613FF1" w:rsidP="00613FF1">
      <w:pPr>
        <w:pStyle w:val="07-Legenda"/>
        <w:numPr>
          <w:ilvl w:val="0"/>
          <w:numId w:val="30"/>
        </w:numPr>
        <w:ind w:left="284" w:hanging="284"/>
      </w:pPr>
      <w:r w:rsidRPr="00CA0C3C">
        <w:t>Banco do Brasil S</w:t>
      </w:r>
      <w:r>
        <w:t>.</w:t>
      </w:r>
      <w:r w:rsidRPr="00CA0C3C">
        <w:t>A</w:t>
      </w:r>
      <w:r>
        <w:t>.</w:t>
      </w:r>
    </w:p>
    <w:p w14:paraId="30C1D719" w14:textId="77777777" w:rsidR="00613FF1" w:rsidRPr="00CA0C3C" w:rsidRDefault="00613FF1" w:rsidP="00613FF1">
      <w:pPr>
        <w:pStyle w:val="07-Legenda"/>
        <w:numPr>
          <w:ilvl w:val="0"/>
          <w:numId w:val="30"/>
        </w:numPr>
        <w:tabs>
          <w:tab w:val="clear" w:pos="284"/>
          <w:tab w:val="left" w:pos="851"/>
        </w:tabs>
        <w:ind w:left="284" w:hanging="284"/>
      </w:pPr>
      <w:r w:rsidRPr="00CA0C3C">
        <w:t>Related companies BB MAPFRE Participações S.A. and its subsidiaries, Brasilprev Seguros e Previdência S.A. Brasilcap Capitalização S.A. and Brasildental S.A.</w:t>
      </w:r>
    </w:p>
    <w:p w14:paraId="1765A8C3" w14:textId="77777777" w:rsidR="00613FF1" w:rsidRPr="00613FF1" w:rsidRDefault="00613FF1" w:rsidP="00613FF1">
      <w:pPr>
        <w:pStyle w:val="07-Legenda"/>
        <w:numPr>
          <w:ilvl w:val="0"/>
          <w:numId w:val="30"/>
        </w:numPr>
        <w:tabs>
          <w:tab w:val="clear" w:pos="284"/>
          <w:tab w:val="left" w:pos="851"/>
        </w:tabs>
        <w:ind w:left="284" w:hanging="284"/>
        <w:rPr>
          <w:lang w:val="en-US"/>
        </w:rPr>
      </w:pPr>
      <w:r w:rsidRPr="00613FF1">
        <w:rPr>
          <w:lang w:val="en-US"/>
        </w:rPr>
        <w:t>Refers to expenses as sharing contract customer data, use of staff, distribution network and resource materials technological and administrative, between the Banco do Brasil, BB Seguridade, BB Corretora and BB Seguros.</w:t>
      </w:r>
    </w:p>
    <w:p w14:paraId="320800AE" w14:textId="77777777" w:rsidR="00613FF1" w:rsidRPr="00613FF1" w:rsidRDefault="00613FF1" w:rsidP="0038786A">
      <w:pPr>
        <w:pStyle w:val="01-TtulodeNota"/>
        <w:spacing w:before="0" w:after="0"/>
        <w:jc w:val="right"/>
        <w:rPr>
          <w:sz w:val="14"/>
          <w:szCs w:val="14"/>
          <w:lang w:val="en-US"/>
        </w:rPr>
      </w:pPr>
    </w:p>
    <w:p w14:paraId="780EE3C1" w14:textId="77777777" w:rsidR="00613FF1" w:rsidRPr="00613FF1" w:rsidRDefault="00613FF1" w:rsidP="00613FF1">
      <w:pPr>
        <w:pStyle w:val="03-SubttulodeNota"/>
        <w:numPr>
          <w:ilvl w:val="0"/>
          <w:numId w:val="18"/>
        </w:numPr>
        <w:ind w:left="284" w:hanging="284"/>
        <w:rPr>
          <w:color w:val="1F4E79" w:themeColor="accent1" w:themeShade="80"/>
          <w:sz w:val="18"/>
          <w:szCs w:val="18"/>
          <w:lang w:val="en-US"/>
        </w:rPr>
      </w:pPr>
      <w:r w:rsidRPr="00613FF1">
        <w:rPr>
          <w:color w:val="1F4E79" w:themeColor="accent1" w:themeShade="80"/>
          <w:sz w:val="18"/>
          <w:szCs w:val="18"/>
          <w:lang w:val="en-US"/>
        </w:rPr>
        <w:t>Compensation Paid to Employees and Directors</w:t>
      </w:r>
    </w:p>
    <w:p w14:paraId="6E446D6E" w14:textId="77777777" w:rsidR="00613FF1" w:rsidRDefault="00613FF1" w:rsidP="00134991">
      <w:pPr>
        <w:pStyle w:val="05-Textonormal"/>
      </w:pPr>
      <w:r w:rsidRPr="00613FF1">
        <w:rPr>
          <w:lang w:val="en-US"/>
        </w:rPr>
        <w:t xml:space="preserve">On April 15, 2021 and May 27, 2021, an agreement of assignment new version of employees of Banco do Brasil S,A, to BB Seguridade, for the office of Director levels, Management and other positions of trust was signed. The Banco do Brasil S.A. continues to process the payroll of the transferred employees, receiving a monthly repayment of all current costs from BB Seguridade. </w:t>
      </w:r>
      <w:r w:rsidRPr="00354D32">
        <w:t xml:space="preserve">On </w:t>
      </w:r>
      <w:r>
        <w:t xml:space="preserve">Dec </w:t>
      </w:r>
      <w:r w:rsidRPr="00354D32">
        <w:t>31</w:t>
      </w:r>
      <w:r>
        <w:t xml:space="preserve">, </w:t>
      </w:r>
      <w:r w:rsidRPr="00354D32">
        <w:t xml:space="preserve">2022, there were 171 employees assigned (154 on </w:t>
      </w:r>
      <w:r>
        <w:t xml:space="preserve">Dec </w:t>
      </w:r>
      <w:r w:rsidRPr="00354D32">
        <w:t>31</w:t>
      </w:r>
      <w:r>
        <w:t xml:space="preserve">, </w:t>
      </w:r>
      <w:r w:rsidRPr="00354D32">
        <w:t>2021).</w:t>
      </w:r>
    </w:p>
    <w:p w14:paraId="5226FACA" w14:textId="77777777" w:rsidR="00613FF1" w:rsidRPr="00274BB2" w:rsidRDefault="00613FF1" w:rsidP="00F12587">
      <w:pPr>
        <w:pStyle w:val="03-SubttulodeNota"/>
        <w:keepNext/>
        <w:keepLines/>
        <w:pageBreakBefore/>
        <w:numPr>
          <w:ilvl w:val="0"/>
          <w:numId w:val="18"/>
        </w:numPr>
        <w:ind w:left="284" w:hanging="284"/>
        <w:rPr>
          <w:color w:val="1F4E79" w:themeColor="accent1" w:themeShade="80"/>
          <w:sz w:val="18"/>
          <w:szCs w:val="18"/>
        </w:rPr>
      </w:pPr>
      <w:r w:rsidRPr="00274BB2">
        <w:rPr>
          <w:color w:val="1F4E79" w:themeColor="accent1" w:themeShade="80"/>
          <w:sz w:val="18"/>
          <w:szCs w:val="18"/>
        </w:rPr>
        <w:lastRenderedPageBreak/>
        <w:t>Remuneration of employees and managers</w:t>
      </w:r>
    </w:p>
    <w:p w14:paraId="3C6FEB87" w14:textId="77777777" w:rsidR="00613FF1" w:rsidRPr="00613FF1" w:rsidRDefault="00613FF1" w:rsidP="00134991">
      <w:pPr>
        <w:pStyle w:val="05-Textonormal"/>
        <w:rPr>
          <w:lang w:val="en-US"/>
        </w:rPr>
      </w:pPr>
      <w:r w:rsidRPr="00613FF1">
        <w:rPr>
          <w:lang w:val="en-US"/>
        </w:rPr>
        <w:t>Monthly wages paid to employees and Directors of the BB Seguridade S.A.</w:t>
      </w:r>
    </w:p>
    <w:p w14:paraId="2CAB7336" w14:textId="77777777" w:rsidR="00613FF1" w:rsidRPr="00D311AA" w:rsidRDefault="00613FF1" w:rsidP="001A03DC">
      <w:pPr>
        <w:pStyle w:val="05-Textonormal"/>
        <w:spacing w:before="0" w:after="0" w:line="240" w:lineRule="auto"/>
        <w:jc w:val="right"/>
        <w:rPr>
          <w:rFonts w:cs="Arial"/>
          <w:b/>
          <w:sz w:val="14"/>
          <w:szCs w:val="14"/>
          <w:lang w:eastAsia="zh-CN"/>
        </w:rPr>
      </w:pPr>
      <w:r w:rsidRPr="00613FF1">
        <w:rPr>
          <w:rFonts w:cs="Arial"/>
          <w:b/>
          <w:sz w:val="14"/>
          <w:szCs w:val="14"/>
          <w:lang w:val="en-US" w:eastAsia="zh-CN"/>
        </w:rPr>
        <w:tab/>
      </w:r>
      <w:r w:rsidRPr="00613FF1">
        <w:rPr>
          <w:rFonts w:cs="Arial"/>
          <w:b/>
          <w:sz w:val="14"/>
          <w:szCs w:val="14"/>
          <w:lang w:val="en-US" w:eastAsia="zh-CN"/>
        </w:rPr>
        <w:tab/>
      </w:r>
      <w:r w:rsidRPr="00D311AA">
        <w:rPr>
          <w:rFonts w:cs="Arial"/>
          <w:b/>
          <w:sz w:val="14"/>
          <w:szCs w:val="14"/>
          <w:lang w:eastAsia="zh-CN"/>
        </w:rPr>
        <w:t>In Reais</w:t>
      </w:r>
    </w:p>
    <w:tbl>
      <w:tblPr>
        <w:tblStyle w:val="TabeladeLista6Colorida-nfase510"/>
        <w:tblW w:w="9747" w:type="dxa"/>
        <w:tblInd w:w="0" w:type="dxa"/>
        <w:tblLook w:val="04A0" w:firstRow="1" w:lastRow="0" w:firstColumn="1" w:lastColumn="0" w:noHBand="0" w:noVBand="1"/>
      </w:tblPr>
      <w:tblGrid>
        <w:gridCol w:w="3094"/>
        <w:gridCol w:w="604"/>
        <w:gridCol w:w="1411"/>
        <w:gridCol w:w="1412"/>
        <w:gridCol w:w="283"/>
        <w:gridCol w:w="1417"/>
        <w:gridCol w:w="1526"/>
      </w:tblGrid>
      <w:tr w:rsidR="00613FF1" w:rsidRPr="00D311AA" w14:paraId="3B36BAF2" w14:textId="77777777" w:rsidTr="000A686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521" w:type="dxa"/>
            <w:gridSpan w:val="4"/>
            <w:tcBorders>
              <w:top w:val="single" w:sz="4" w:space="0" w:color="1F4E79" w:themeColor="accent1" w:themeShade="80"/>
              <w:bottom w:val="single" w:sz="4" w:space="0" w:color="1F4E79" w:themeColor="accent1" w:themeShade="80"/>
            </w:tcBorders>
            <w:shd w:val="clear" w:color="auto" w:fill="auto"/>
          </w:tcPr>
          <w:p w14:paraId="486F97F0" w14:textId="77777777" w:rsidR="00613FF1" w:rsidRPr="00D311AA" w:rsidRDefault="00613FF1" w:rsidP="00C74364">
            <w:pPr>
              <w:keepNext/>
              <w:keepLines/>
              <w:spacing w:before="40" w:after="40"/>
              <w:jc w:val="right"/>
              <w:rPr>
                <w:rFonts w:cs="Arial"/>
                <w:b w:val="0"/>
                <w:spacing w:val="-2"/>
                <w:sz w:val="14"/>
                <w:szCs w:val="18"/>
              </w:rPr>
            </w:pPr>
          </w:p>
        </w:tc>
        <w:tc>
          <w:tcPr>
            <w:tcW w:w="283" w:type="dxa"/>
            <w:tcBorders>
              <w:top w:val="single" w:sz="4" w:space="0" w:color="1F4E79" w:themeColor="accent1" w:themeShade="80"/>
              <w:bottom w:val="single" w:sz="4" w:space="0" w:color="1F4E79" w:themeColor="accent1" w:themeShade="80"/>
            </w:tcBorders>
            <w:shd w:val="clear" w:color="auto" w:fill="auto"/>
          </w:tcPr>
          <w:p w14:paraId="7C24AA4D" w14:textId="77777777" w:rsidR="00613FF1" w:rsidRPr="00D311AA" w:rsidRDefault="00613FF1" w:rsidP="00C74364">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8"/>
              </w:rPr>
            </w:pPr>
          </w:p>
        </w:tc>
        <w:tc>
          <w:tcPr>
            <w:tcW w:w="1417" w:type="dxa"/>
            <w:tcBorders>
              <w:top w:val="single" w:sz="4" w:space="0" w:color="1F4E79" w:themeColor="accent1" w:themeShade="80"/>
              <w:bottom w:val="single" w:sz="4" w:space="0" w:color="1F4E79" w:themeColor="accent1" w:themeShade="80"/>
            </w:tcBorders>
            <w:shd w:val="clear" w:color="auto" w:fill="auto"/>
          </w:tcPr>
          <w:p w14:paraId="25A63D31" w14:textId="77777777" w:rsidR="00613FF1" w:rsidRPr="00D311AA" w:rsidRDefault="00613FF1" w:rsidP="0052229F">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8"/>
              </w:rPr>
            </w:pPr>
            <w:r>
              <w:rPr>
                <w:rFonts w:cs="Arial"/>
                <w:spacing w:val="-2"/>
                <w:sz w:val="14"/>
                <w:szCs w:val="18"/>
              </w:rPr>
              <w:t>Dec</w:t>
            </w:r>
            <w:r w:rsidRPr="009566CA">
              <w:rPr>
                <w:rFonts w:cs="Arial"/>
                <w:spacing w:val="-2"/>
                <w:sz w:val="14"/>
                <w:szCs w:val="18"/>
              </w:rPr>
              <w:t xml:space="preserve"> 3</w:t>
            </w:r>
            <w:r>
              <w:rPr>
                <w:rFonts w:cs="Arial"/>
                <w:spacing w:val="-2"/>
                <w:sz w:val="14"/>
                <w:szCs w:val="18"/>
              </w:rPr>
              <w:t>1</w:t>
            </w:r>
            <w:r w:rsidRPr="009566CA">
              <w:rPr>
                <w:rFonts w:cs="Arial"/>
                <w:spacing w:val="-2"/>
                <w:sz w:val="14"/>
                <w:szCs w:val="18"/>
              </w:rPr>
              <w:t>, 2022</w:t>
            </w:r>
          </w:p>
        </w:tc>
        <w:tc>
          <w:tcPr>
            <w:tcW w:w="1526" w:type="dxa"/>
            <w:tcBorders>
              <w:top w:val="single" w:sz="4" w:space="0" w:color="1F4E79" w:themeColor="accent1" w:themeShade="80"/>
              <w:bottom w:val="single" w:sz="4" w:space="0" w:color="1F4E79" w:themeColor="accent1" w:themeShade="80"/>
            </w:tcBorders>
            <w:shd w:val="clear" w:color="auto" w:fill="auto"/>
          </w:tcPr>
          <w:p w14:paraId="758645F5" w14:textId="77777777" w:rsidR="00613FF1" w:rsidRPr="00D311AA" w:rsidRDefault="00613FF1" w:rsidP="00611EFF">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8"/>
              </w:rPr>
            </w:pPr>
            <w:r w:rsidRPr="00D311AA">
              <w:rPr>
                <w:rFonts w:cs="Arial"/>
                <w:spacing w:val="-2"/>
                <w:sz w:val="14"/>
                <w:szCs w:val="18"/>
              </w:rPr>
              <w:t>Dec 31, 202</w:t>
            </w:r>
            <w:r>
              <w:rPr>
                <w:rFonts w:cs="Arial"/>
                <w:spacing w:val="-2"/>
                <w:sz w:val="14"/>
                <w:szCs w:val="18"/>
              </w:rPr>
              <w:t>1</w:t>
            </w:r>
          </w:p>
        </w:tc>
      </w:tr>
      <w:tr w:rsidR="00613FF1" w:rsidRPr="0032222F" w14:paraId="2E6094A1" w14:textId="77777777" w:rsidTr="003878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Borders>
              <w:top w:val="single" w:sz="4" w:space="0" w:color="1F4E79" w:themeColor="accent1" w:themeShade="80"/>
            </w:tcBorders>
            <w:shd w:val="clear" w:color="auto" w:fill="auto"/>
          </w:tcPr>
          <w:p w14:paraId="3DAEA1F7" w14:textId="77777777" w:rsidR="00613FF1" w:rsidRPr="00F50AA9" w:rsidRDefault="00613FF1" w:rsidP="00F50AA9">
            <w:pPr>
              <w:pStyle w:val="08-Tabelageral"/>
              <w:jc w:val="left"/>
              <w:rPr>
                <w:b w:val="0"/>
              </w:rPr>
            </w:pPr>
            <w:r w:rsidRPr="00F50AA9">
              <w:rPr>
                <w:b w:val="0"/>
              </w:rPr>
              <w:t>Lowest salary</w:t>
            </w:r>
          </w:p>
        </w:tc>
        <w:tc>
          <w:tcPr>
            <w:tcW w:w="604" w:type="dxa"/>
            <w:tcBorders>
              <w:top w:val="single" w:sz="4" w:space="0" w:color="1F4E79" w:themeColor="accent1" w:themeShade="80"/>
            </w:tcBorders>
            <w:shd w:val="clear" w:color="auto" w:fill="auto"/>
          </w:tcPr>
          <w:p w14:paraId="6F886894"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1" w:type="dxa"/>
            <w:tcBorders>
              <w:top w:val="single" w:sz="4" w:space="0" w:color="1F4E79" w:themeColor="accent1" w:themeShade="80"/>
            </w:tcBorders>
            <w:shd w:val="clear" w:color="auto" w:fill="auto"/>
          </w:tcPr>
          <w:p w14:paraId="5F20EC87"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2" w:type="dxa"/>
            <w:tcBorders>
              <w:top w:val="single" w:sz="4" w:space="0" w:color="1F4E79" w:themeColor="accent1" w:themeShade="80"/>
            </w:tcBorders>
            <w:shd w:val="clear" w:color="auto" w:fill="auto"/>
          </w:tcPr>
          <w:p w14:paraId="0D1ECD24"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283" w:type="dxa"/>
            <w:tcBorders>
              <w:top w:val="single" w:sz="4" w:space="0" w:color="1F4E79" w:themeColor="accent1" w:themeShade="80"/>
            </w:tcBorders>
            <w:shd w:val="clear" w:color="auto" w:fill="auto"/>
          </w:tcPr>
          <w:p w14:paraId="71B0863D"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7" w:type="dxa"/>
            <w:tcBorders>
              <w:top w:val="single" w:sz="2" w:space="0" w:color="8EAADB" w:themeColor="accent5" w:themeTint="99"/>
            </w:tcBorders>
            <w:shd w:val="clear" w:color="auto" w:fill="auto"/>
            <w:vAlign w:val="center"/>
          </w:tcPr>
          <w:p w14:paraId="1C1AB9CA"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r w:rsidRPr="006C2242">
              <w:t>7</w:t>
            </w:r>
            <w:r>
              <w:t>,</w:t>
            </w:r>
            <w:r w:rsidRPr="006C2242">
              <w:t>721</w:t>
            </w:r>
            <w:r>
              <w:t>.</w:t>
            </w:r>
            <w:r w:rsidRPr="006C2242">
              <w:t>75</w:t>
            </w:r>
          </w:p>
        </w:tc>
        <w:tc>
          <w:tcPr>
            <w:tcW w:w="1526" w:type="dxa"/>
            <w:tcBorders>
              <w:top w:val="single" w:sz="2" w:space="0" w:color="8EAADB" w:themeColor="accent5" w:themeTint="99"/>
            </w:tcBorders>
            <w:shd w:val="clear" w:color="auto" w:fill="auto"/>
            <w:vAlign w:val="center"/>
          </w:tcPr>
          <w:p w14:paraId="485635F3"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r>
              <w:t>7,149.77</w:t>
            </w:r>
          </w:p>
        </w:tc>
      </w:tr>
      <w:tr w:rsidR="00613FF1" w:rsidRPr="00D311AA" w14:paraId="2C343CD9" w14:textId="77777777" w:rsidTr="003878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4A32A6CD" w14:textId="77777777" w:rsidR="00613FF1" w:rsidRPr="00D311AA" w:rsidRDefault="00613FF1" w:rsidP="00F50AA9">
            <w:pPr>
              <w:pStyle w:val="08-Tabelageral"/>
              <w:jc w:val="left"/>
              <w:rPr>
                <w:b w:val="0"/>
              </w:rPr>
            </w:pPr>
            <w:r w:rsidRPr="00D311AA">
              <w:rPr>
                <w:b w:val="0"/>
              </w:rPr>
              <w:t>Highest salary</w:t>
            </w:r>
          </w:p>
        </w:tc>
        <w:tc>
          <w:tcPr>
            <w:tcW w:w="604" w:type="dxa"/>
            <w:shd w:val="clear" w:color="auto" w:fill="auto"/>
          </w:tcPr>
          <w:p w14:paraId="1435D6CC"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707E1F28"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2" w:type="dxa"/>
            <w:shd w:val="clear" w:color="auto" w:fill="auto"/>
          </w:tcPr>
          <w:p w14:paraId="317E3393"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283" w:type="dxa"/>
            <w:shd w:val="clear" w:color="auto" w:fill="auto"/>
          </w:tcPr>
          <w:p w14:paraId="518D538F"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vAlign w:val="center"/>
          </w:tcPr>
          <w:p w14:paraId="35CB87E4"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r w:rsidRPr="006C2242">
              <w:t>46</w:t>
            </w:r>
            <w:r>
              <w:t>,</w:t>
            </w:r>
            <w:r w:rsidRPr="006C2242">
              <w:t>140</w:t>
            </w:r>
            <w:r>
              <w:t>.</w:t>
            </w:r>
            <w:r w:rsidRPr="006C2242">
              <w:t>21</w:t>
            </w:r>
          </w:p>
        </w:tc>
        <w:tc>
          <w:tcPr>
            <w:tcW w:w="1526" w:type="dxa"/>
            <w:shd w:val="clear" w:color="auto" w:fill="auto"/>
            <w:vAlign w:val="center"/>
          </w:tcPr>
          <w:p w14:paraId="5C2901BB"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r>
              <w:t>42,722.42</w:t>
            </w:r>
          </w:p>
        </w:tc>
      </w:tr>
      <w:tr w:rsidR="00613FF1" w:rsidRPr="00D311AA" w14:paraId="122B7890" w14:textId="77777777" w:rsidTr="003878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6B0F2978" w14:textId="77777777" w:rsidR="00613FF1" w:rsidRPr="00D311AA" w:rsidRDefault="00613FF1" w:rsidP="00F50AA9">
            <w:pPr>
              <w:pStyle w:val="08-Tabelageral"/>
              <w:jc w:val="left"/>
              <w:rPr>
                <w:b w:val="0"/>
              </w:rPr>
            </w:pPr>
            <w:r w:rsidRPr="00D311AA">
              <w:rPr>
                <w:b w:val="0"/>
              </w:rPr>
              <w:t>Average salary</w:t>
            </w:r>
          </w:p>
        </w:tc>
        <w:tc>
          <w:tcPr>
            <w:tcW w:w="604" w:type="dxa"/>
            <w:shd w:val="clear" w:color="auto" w:fill="auto"/>
          </w:tcPr>
          <w:p w14:paraId="3FB6DC3A"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p>
        </w:tc>
        <w:tc>
          <w:tcPr>
            <w:tcW w:w="1411" w:type="dxa"/>
            <w:shd w:val="clear" w:color="auto" w:fill="auto"/>
          </w:tcPr>
          <w:p w14:paraId="652B6BD1"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p>
        </w:tc>
        <w:tc>
          <w:tcPr>
            <w:tcW w:w="1412" w:type="dxa"/>
            <w:shd w:val="clear" w:color="auto" w:fill="auto"/>
          </w:tcPr>
          <w:p w14:paraId="4DD42D75"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shd w:val="clear" w:color="auto" w:fill="auto"/>
          </w:tcPr>
          <w:p w14:paraId="5FE0B6FF"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p>
        </w:tc>
        <w:tc>
          <w:tcPr>
            <w:tcW w:w="1417" w:type="dxa"/>
            <w:shd w:val="clear" w:color="auto" w:fill="auto"/>
            <w:vAlign w:val="center"/>
          </w:tcPr>
          <w:p w14:paraId="4AD93824"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r w:rsidRPr="006C2242">
              <w:t>18</w:t>
            </w:r>
            <w:r>
              <w:t>,</w:t>
            </w:r>
            <w:r w:rsidRPr="006C2242">
              <w:t>151</w:t>
            </w:r>
            <w:r>
              <w:t>.</w:t>
            </w:r>
            <w:r w:rsidRPr="006C2242">
              <w:t>96</w:t>
            </w:r>
          </w:p>
        </w:tc>
        <w:tc>
          <w:tcPr>
            <w:tcW w:w="1526" w:type="dxa"/>
            <w:shd w:val="clear" w:color="auto" w:fill="auto"/>
            <w:vAlign w:val="center"/>
          </w:tcPr>
          <w:p w14:paraId="0A4B9F50"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r>
              <w:t>17,104.87</w:t>
            </w:r>
          </w:p>
        </w:tc>
      </w:tr>
      <w:tr w:rsidR="00613FF1" w:rsidRPr="00D311AA" w14:paraId="4CC5DA09" w14:textId="77777777" w:rsidTr="003878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28BCDE24" w14:textId="77777777" w:rsidR="00613FF1" w:rsidRPr="00D311AA" w:rsidRDefault="00613FF1" w:rsidP="00F50AA9">
            <w:pPr>
              <w:pStyle w:val="08-Tabelageral"/>
              <w:jc w:val="left"/>
              <w:rPr>
                <w:b w:val="0"/>
              </w:rPr>
            </w:pPr>
          </w:p>
        </w:tc>
        <w:tc>
          <w:tcPr>
            <w:tcW w:w="604" w:type="dxa"/>
            <w:shd w:val="clear" w:color="auto" w:fill="auto"/>
          </w:tcPr>
          <w:p w14:paraId="70A2DCE6"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33014AE2"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2" w:type="dxa"/>
            <w:shd w:val="clear" w:color="auto" w:fill="auto"/>
          </w:tcPr>
          <w:p w14:paraId="53A28629"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283" w:type="dxa"/>
            <w:shd w:val="clear" w:color="auto" w:fill="auto"/>
          </w:tcPr>
          <w:p w14:paraId="1D01A65E"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vAlign w:val="center"/>
          </w:tcPr>
          <w:p w14:paraId="635824F6"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526" w:type="dxa"/>
            <w:shd w:val="clear" w:color="auto" w:fill="auto"/>
            <w:vAlign w:val="center"/>
          </w:tcPr>
          <w:p w14:paraId="478ECFC7"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r>
      <w:tr w:rsidR="00613FF1" w:rsidRPr="0032222F" w14:paraId="62E5BE8E" w14:textId="77777777" w:rsidTr="003878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5D4A75D1" w14:textId="77777777" w:rsidR="00613FF1" w:rsidRPr="0032222F" w:rsidRDefault="00613FF1" w:rsidP="00F50AA9">
            <w:pPr>
              <w:pStyle w:val="08-Tabelageral"/>
              <w:jc w:val="left"/>
              <w:rPr>
                <w:bCs w:val="0"/>
              </w:rPr>
            </w:pPr>
            <w:r w:rsidRPr="0032222F">
              <w:rPr>
                <w:bCs w:val="0"/>
              </w:rPr>
              <w:t xml:space="preserve">Management </w:t>
            </w:r>
          </w:p>
        </w:tc>
        <w:tc>
          <w:tcPr>
            <w:tcW w:w="604" w:type="dxa"/>
            <w:shd w:val="clear" w:color="auto" w:fill="auto"/>
          </w:tcPr>
          <w:p w14:paraId="0C96B802"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1" w:type="dxa"/>
            <w:shd w:val="clear" w:color="auto" w:fill="auto"/>
          </w:tcPr>
          <w:p w14:paraId="0D1DD97B"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2" w:type="dxa"/>
            <w:shd w:val="clear" w:color="auto" w:fill="auto"/>
          </w:tcPr>
          <w:p w14:paraId="4D2CF25D"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283" w:type="dxa"/>
            <w:shd w:val="clear" w:color="auto" w:fill="auto"/>
          </w:tcPr>
          <w:p w14:paraId="505AB9D8"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7" w:type="dxa"/>
            <w:shd w:val="clear" w:color="auto" w:fill="auto"/>
            <w:vAlign w:val="center"/>
          </w:tcPr>
          <w:p w14:paraId="43986810"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526" w:type="dxa"/>
            <w:shd w:val="clear" w:color="auto" w:fill="auto"/>
            <w:vAlign w:val="center"/>
          </w:tcPr>
          <w:p w14:paraId="48DD0A6C"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r>
      <w:tr w:rsidR="00613FF1" w:rsidRPr="00D311AA" w14:paraId="71141716" w14:textId="77777777" w:rsidTr="00F76B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22CC27F4" w14:textId="77777777" w:rsidR="00613FF1" w:rsidRPr="00D311AA" w:rsidRDefault="00613FF1" w:rsidP="00F50AA9">
            <w:pPr>
              <w:pStyle w:val="08-Tabelageral"/>
              <w:jc w:val="left"/>
              <w:rPr>
                <w:b w:val="0"/>
              </w:rPr>
            </w:pPr>
            <w:r w:rsidRPr="00D311AA">
              <w:rPr>
                <w:b w:val="0"/>
              </w:rPr>
              <w:t>Director-President</w:t>
            </w:r>
          </w:p>
        </w:tc>
        <w:tc>
          <w:tcPr>
            <w:tcW w:w="604" w:type="dxa"/>
            <w:shd w:val="clear" w:color="auto" w:fill="auto"/>
          </w:tcPr>
          <w:p w14:paraId="0D25715E"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707ADFB0"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2" w:type="dxa"/>
            <w:shd w:val="clear" w:color="auto" w:fill="auto"/>
          </w:tcPr>
          <w:p w14:paraId="34E45A26"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283" w:type="dxa"/>
            <w:shd w:val="clear" w:color="auto" w:fill="auto"/>
          </w:tcPr>
          <w:p w14:paraId="37633D58"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tcPr>
          <w:p w14:paraId="75353521"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r w:rsidRPr="006C2242">
              <w:t>61</w:t>
            </w:r>
            <w:r>
              <w:t>,</w:t>
            </w:r>
            <w:r w:rsidRPr="006C2242">
              <w:t>564</w:t>
            </w:r>
            <w:r>
              <w:t>.</w:t>
            </w:r>
            <w:r w:rsidRPr="006C2242">
              <w:t>83</w:t>
            </w:r>
          </w:p>
        </w:tc>
        <w:tc>
          <w:tcPr>
            <w:tcW w:w="1526" w:type="dxa"/>
            <w:shd w:val="clear" w:color="auto" w:fill="auto"/>
          </w:tcPr>
          <w:p w14:paraId="15441CDD"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r w:rsidRPr="00483F0F">
              <w:t>61</w:t>
            </w:r>
            <w:r>
              <w:t>,</w:t>
            </w:r>
            <w:r w:rsidRPr="00483F0F">
              <w:t>564</w:t>
            </w:r>
            <w:r>
              <w:t>.</w:t>
            </w:r>
            <w:r w:rsidRPr="00483F0F">
              <w:t>83</w:t>
            </w:r>
          </w:p>
        </w:tc>
      </w:tr>
      <w:tr w:rsidR="00613FF1" w:rsidRPr="00D311AA" w14:paraId="6A2C4BBA" w14:textId="77777777" w:rsidTr="00F76B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2AC687CD" w14:textId="77777777" w:rsidR="00613FF1" w:rsidRPr="00D311AA" w:rsidRDefault="00613FF1" w:rsidP="00F50AA9">
            <w:pPr>
              <w:pStyle w:val="08-Tabelageral"/>
              <w:jc w:val="left"/>
              <w:rPr>
                <w:b w:val="0"/>
              </w:rPr>
            </w:pPr>
            <w:r w:rsidRPr="00D311AA">
              <w:rPr>
                <w:b w:val="0"/>
              </w:rPr>
              <w:t>Director</w:t>
            </w:r>
          </w:p>
        </w:tc>
        <w:tc>
          <w:tcPr>
            <w:tcW w:w="604" w:type="dxa"/>
            <w:shd w:val="clear" w:color="auto" w:fill="auto"/>
          </w:tcPr>
          <w:p w14:paraId="1D549107"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p>
        </w:tc>
        <w:tc>
          <w:tcPr>
            <w:tcW w:w="1411" w:type="dxa"/>
            <w:shd w:val="clear" w:color="auto" w:fill="auto"/>
          </w:tcPr>
          <w:p w14:paraId="504C6CF1"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p>
        </w:tc>
        <w:tc>
          <w:tcPr>
            <w:tcW w:w="1412" w:type="dxa"/>
            <w:shd w:val="clear" w:color="auto" w:fill="auto"/>
          </w:tcPr>
          <w:p w14:paraId="1EFC4A9F"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shd w:val="clear" w:color="auto" w:fill="auto"/>
          </w:tcPr>
          <w:p w14:paraId="4FC76CE9"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p>
        </w:tc>
        <w:tc>
          <w:tcPr>
            <w:tcW w:w="1417" w:type="dxa"/>
            <w:shd w:val="clear" w:color="auto" w:fill="auto"/>
          </w:tcPr>
          <w:p w14:paraId="30A9F47F"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r w:rsidRPr="006C2242">
              <w:t>52</w:t>
            </w:r>
            <w:r>
              <w:t>,</w:t>
            </w:r>
            <w:r w:rsidRPr="006C2242">
              <w:t>177</w:t>
            </w:r>
            <w:r>
              <w:t>.</w:t>
            </w:r>
            <w:r w:rsidRPr="006C2242">
              <w:t>45</w:t>
            </w:r>
          </w:p>
        </w:tc>
        <w:tc>
          <w:tcPr>
            <w:tcW w:w="1526" w:type="dxa"/>
            <w:shd w:val="clear" w:color="auto" w:fill="auto"/>
          </w:tcPr>
          <w:p w14:paraId="03157B6A"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r w:rsidRPr="00483F0F">
              <w:t>52</w:t>
            </w:r>
            <w:r>
              <w:t>,</w:t>
            </w:r>
            <w:r w:rsidRPr="00483F0F">
              <w:t>177</w:t>
            </w:r>
            <w:r>
              <w:t>.</w:t>
            </w:r>
            <w:r w:rsidRPr="00483F0F">
              <w:t>45</w:t>
            </w:r>
          </w:p>
        </w:tc>
      </w:tr>
      <w:tr w:rsidR="00613FF1" w:rsidRPr="00D311AA" w14:paraId="268749E5" w14:textId="77777777" w:rsidTr="0038786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4061FD95" w14:textId="77777777" w:rsidR="00613FF1" w:rsidRPr="00D311AA" w:rsidRDefault="00613FF1" w:rsidP="00F50AA9">
            <w:pPr>
              <w:pStyle w:val="08-Tabelageral"/>
              <w:jc w:val="left"/>
              <w:rPr>
                <w:b w:val="0"/>
              </w:rPr>
            </w:pPr>
          </w:p>
        </w:tc>
        <w:tc>
          <w:tcPr>
            <w:tcW w:w="604" w:type="dxa"/>
            <w:shd w:val="clear" w:color="auto" w:fill="auto"/>
          </w:tcPr>
          <w:p w14:paraId="0A4A13E6"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56EA1F11"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2" w:type="dxa"/>
            <w:shd w:val="clear" w:color="auto" w:fill="auto"/>
          </w:tcPr>
          <w:p w14:paraId="6EB6B813"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283" w:type="dxa"/>
            <w:shd w:val="clear" w:color="auto" w:fill="auto"/>
          </w:tcPr>
          <w:p w14:paraId="72C09621"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vAlign w:val="center"/>
          </w:tcPr>
          <w:p w14:paraId="614C591C"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526" w:type="dxa"/>
            <w:shd w:val="clear" w:color="auto" w:fill="auto"/>
            <w:vAlign w:val="center"/>
          </w:tcPr>
          <w:p w14:paraId="49038161"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r>
      <w:tr w:rsidR="00613FF1" w:rsidRPr="0032222F" w14:paraId="71A88884" w14:textId="77777777" w:rsidTr="0038786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2F2A9FFF" w14:textId="77777777" w:rsidR="00613FF1" w:rsidRPr="0032222F" w:rsidRDefault="00613FF1" w:rsidP="00F50AA9">
            <w:pPr>
              <w:pStyle w:val="08-Tabelageral"/>
              <w:jc w:val="left"/>
              <w:rPr>
                <w:bCs w:val="0"/>
              </w:rPr>
            </w:pPr>
            <w:r w:rsidRPr="0032222F">
              <w:rPr>
                <w:bCs w:val="0"/>
              </w:rPr>
              <w:t>Council members</w:t>
            </w:r>
          </w:p>
        </w:tc>
        <w:tc>
          <w:tcPr>
            <w:tcW w:w="604" w:type="dxa"/>
            <w:shd w:val="clear" w:color="auto" w:fill="auto"/>
          </w:tcPr>
          <w:p w14:paraId="1148D042"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1" w:type="dxa"/>
            <w:shd w:val="clear" w:color="auto" w:fill="auto"/>
          </w:tcPr>
          <w:p w14:paraId="316A268E"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2" w:type="dxa"/>
            <w:shd w:val="clear" w:color="auto" w:fill="auto"/>
          </w:tcPr>
          <w:p w14:paraId="5055E05D"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283" w:type="dxa"/>
            <w:shd w:val="clear" w:color="auto" w:fill="auto"/>
          </w:tcPr>
          <w:p w14:paraId="098D3445"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7" w:type="dxa"/>
            <w:shd w:val="clear" w:color="auto" w:fill="auto"/>
            <w:vAlign w:val="center"/>
          </w:tcPr>
          <w:p w14:paraId="091ADE70"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526" w:type="dxa"/>
            <w:shd w:val="clear" w:color="auto" w:fill="auto"/>
            <w:vAlign w:val="center"/>
          </w:tcPr>
          <w:p w14:paraId="66D417F9"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r>
      <w:tr w:rsidR="00613FF1" w:rsidRPr="00D311AA" w14:paraId="379A12AF" w14:textId="77777777" w:rsidTr="00F76B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shd w:val="clear" w:color="auto" w:fill="auto"/>
          </w:tcPr>
          <w:p w14:paraId="698A20B8" w14:textId="77777777" w:rsidR="00613FF1" w:rsidRPr="00D311AA" w:rsidRDefault="00613FF1" w:rsidP="00F50AA9">
            <w:pPr>
              <w:pStyle w:val="08-Tabelageral"/>
              <w:jc w:val="left"/>
              <w:rPr>
                <w:b w:val="0"/>
              </w:rPr>
            </w:pPr>
            <w:r w:rsidRPr="00D311AA">
              <w:rPr>
                <w:b w:val="0"/>
              </w:rPr>
              <w:t>Board of Directors</w:t>
            </w:r>
          </w:p>
        </w:tc>
        <w:tc>
          <w:tcPr>
            <w:tcW w:w="604" w:type="dxa"/>
            <w:shd w:val="clear" w:color="auto" w:fill="auto"/>
          </w:tcPr>
          <w:p w14:paraId="73161AEB"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1" w:type="dxa"/>
            <w:shd w:val="clear" w:color="auto" w:fill="auto"/>
          </w:tcPr>
          <w:p w14:paraId="32138EAD"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2" w:type="dxa"/>
            <w:shd w:val="clear" w:color="auto" w:fill="auto"/>
          </w:tcPr>
          <w:p w14:paraId="33554C81"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283" w:type="dxa"/>
            <w:shd w:val="clear" w:color="auto" w:fill="auto"/>
          </w:tcPr>
          <w:p w14:paraId="6A64B98B"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p>
        </w:tc>
        <w:tc>
          <w:tcPr>
            <w:tcW w:w="1417" w:type="dxa"/>
            <w:shd w:val="clear" w:color="auto" w:fill="auto"/>
          </w:tcPr>
          <w:p w14:paraId="352EEAAE"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r w:rsidRPr="006C2242">
              <w:t>5</w:t>
            </w:r>
            <w:r>
              <w:t>,</w:t>
            </w:r>
            <w:r w:rsidRPr="006C2242">
              <w:t>906</w:t>
            </w:r>
            <w:r>
              <w:t>.</w:t>
            </w:r>
            <w:r w:rsidRPr="006C2242">
              <w:t>80</w:t>
            </w:r>
          </w:p>
        </w:tc>
        <w:tc>
          <w:tcPr>
            <w:tcW w:w="1526" w:type="dxa"/>
            <w:shd w:val="clear" w:color="auto" w:fill="auto"/>
          </w:tcPr>
          <w:p w14:paraId="63EDDF3D"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r w:rsidRPr="00483F0F">
              <w:t>5</w:t>
            </w:r>
            <w:r>
              <w:t>,</w:t>
            </w:r>
            <w:r w:rsidRPr="00483F0F">
              <w:t>906</w:t>
            </w:r>
            <w:r>
              <w:t>.</w:t>
            </w:r>
            <w:r w:rsidRPr="00483F0F">
              <w:t>80</w:t>
            </w:r>
          </w:p>
        </w:tc>
      </w:tr>
      <w:tr w:rsidR="00613FF1" w:rsidRPr="00D311AA" w14:paraId="25613DB7" w14:textId="77777777" w:rsidTr="00F76B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Borders>
              <w:bottom w:val="nil"/>
            </w:tcBorders>
            <w:shd w:val="clear" w:color="auto" w:fill="auto"/>
          </w:tcPr>
          <w:p w14:paraId="2CCB9027" w14:textId="77777777" w:rsidR="00613FF1" w:rsidRPr="00D311AA" w:rsidRDefault="00613FF1" w:rsidP="00F50AA9">
            <w:pPr>
              <w:pStyle w:val="08-Tabelageral"/>
              <w:jc w:val="left"/>
              <w:rPr>
                <w:b w:val="0"/>
              </w:rPr>
            </w:pPr>
            <w:r w:rsidRPr="00D311AA">
              <w:rPr>
                <w:b w:val="0"/>
              </w:rPr>
              <w:t>Fiscal Council</w:t>
            </w:r>
          </w:p>
        </w:tc>
        <w:tc>
          <w:tcPr>
            <w:tcW w:w="604" w:type="dxa"/>
            <w:tcBorders>
              <w:bottom w:val="nil"/>
            </w:tcBorders>
            <w:shd w:val="clear" w:color="auto" w:fill="auto"/>
          </w:tcPr>
          <w:p w14:paraId="1865F413"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1" w:type="dxa"/>
            <w:tcBorders>
              <w:bottom w:val="nil"/>
            </w:tcBorders>
            <w:shd w:val="clear" w:color="auto" w:fill="auto"/>
          </w:tcPr>
          <w:p w14:paraId="1A513075"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2" w:type="dxa"/>
            <w:tcBorders>
              <w:bottom w:val="nil"/>
            </w:tcBorders>
            <w:shd w:val="clear" w:color="auto" w:fill="auto"/>
          </w:tcPr>
          <w:p w14:paraId="37BCAAC8"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283" w:type="dxa"/>
            <w:tcBorders>
              <w:bottom w:val="nil"/>
            </w:tcBorders>
            <w:shd w:val="clear" w:color="auto" w:fill="auto"/>
          </w:tcPr>
          <w:p w14:paraId="5BF08FEC"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417" w:type="dxa"/>
            <w:tcBorders>
              <w:bottom w:val="nil"/>
            </w:tcBorders>
            <w:shd w:val="clear" w:color="auto" w:fill="auto"/>
          </w:tcPr>
          <w:p w14:paraId="36CE45B3"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r w:rsidRPr="006C2242">
              <w:t>5</w:t>
            </w:r>
            <w:r>
              <w:t>,</w:t>
            </w:r>
            <w:r w:rsidRPr="006C2242">
              <w:t>906</w:t>
            </w:r>
            <w:r>
              <w:t>.</w:t>
            </w:r>
            <w:r w:rsidRPr="006C2242">
              <w:t>80</w:t>
            </w:r>
          </w:p>
        </w:tc>
        <w:tc>
          <w:tcPr>
            <w:tcW w:w="1526" w:type="dxa"/>
            <w:tcBorders>
              <w:bottom w:val="nil"/>
            </w:tcBorders>
            <w:shd w:val="clear" w:color="auto" w:fill="auto"/>
          </w:tcPr>
          <w:p w14:paraId="2254AC43" w14:textId="77777777" w:rsidR="00613FF1" w:rsidRPr="00D311AA"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r w:rsidRPr="00483F0F">
              <w:t>5</w:t>
            </w:r>
            <w:r>
              <w:t>,</w:t>
            </w:r>
            <w:r w:rsidRPr="00483F0F">
              <w:t>906</w:t>
            </w:r>
            <w:r>
              <w:t>.</w:t>
            </w:r>
            <w:r w:rsidRPr="00483F0F">
              <w:t>80</w:t>
            </w:r>
          </w:p>
        </w:tc>
      </w:tr>
      <w:tr w:rsidR="00613FF1" w:rsidRPr="003735AD" w14:paraId="54830639" w14:textId="77777777" w:rsidTr="0032222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Borders>
              <w:top w:val="nil"/>
              <w:bottom w:val="nil"/>
            </w:tcBorders>
            <w:shd w:val="clear" w:color="auto" w:fill="auto"/>
          </w:tcPr>
          <w:p w14:paraId="1E8951E0" w14:textId="77777777" w:rsidR="00613FF1" w:rsidRPr="00D311AA" w:rsidRDefault="00613FF1" w:rsidP="00F50AA9">
            <w:pPr>
              <w:pStyle w:val="08-Tabelageral"/>
              <w:jc w:val="left"/>
              <w:rPr>
                <w:b w:val="0"/>
              </w:rPr>
            </w:pPr>
            <w:r w:rsidRPr="00D311AA">
              <w:rPr>
                <w:b w:val="0"/>
              </w:rPr>
              <w:t>Audit Committee - Member</w:t>
            </w:r>
          </w:p>
        </w:tc>
        <w:tc>
          <w:tcPr>
            <w:tcW w:w="604" w:type="dxa"/>
            <w:tcBorders>
              <w:top w:val="nil"/>
              <w:bottom w:val="nil"/>
            </w:tcBorders>
            <w:shd w:val="clear" w:color="auto" w:fill="auto"/>
          </w:tcPr>
          <w:p w14:paraId="1516C14A"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411" w:type="dxa"/>
            <w:tcBorders>
              <w:top w:val="nil"/>
              <w:bottom w:val="nil"/>
            </w:tcBorders>
            <w:shd w:val="clear" w:color="auto" w:fill="auto"/>
          </w:tcPr>
          <w:p w14:paraId="2501EF3A"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rPr>
                <w:b/>
              </w:rPr>
            </w:pPr>
          </w:p>
        </w:tc>
        <w:tc>
          <w:tcPr>
            <w:tcW w:w="1412" w:type="dxa"/>
            <w:tcBorders>
              <w:top w:val="nil"/>
              <w:bottom w:val="nil"/>
            </w:tcBorders>
            <w:shd w:val="clear" w:color="auto" w:fill="auto"/>
          </w:tcPr>
          <w:p w14:paraId="56435883"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rPr>
                <w:b/>
              </w:rPr>
            </w:pPr>
          </w:p>
        </w:tc>
        <w:tc>
          <w:tcPr>
            <w:tcW w:w="283" w:type="dxa"/>
            <w:tcBorders>
              <w:top w:val="nil"/>
              <w:bottom w:val="nil"/>
            </w:tcBorders>
            <w:shd w:val="clear" w:color="auto" w:fill="auto"/>
          </w:tcPr>
          <w:p w14:paraId="70A78EA0"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rPr>
                <w:b/>
                <w:szCs w:val="14"/>
              </w:rPr>
            </w:pPr>
          </w:p>
        </w:tc>
        <w:tc>
          <w:tcPr>
            <w:tcW w:w="1417" w:type="dxa"/>
            <w:tcBorders>
              <w:top w:val="nil"/>
              <w:bottom w:val="nil"/>
            </w:tcBorders>
            <w:shd w:val="clear" w:color="auto" w:fill="auto"/>
          </w:tcPr>
          <w:p w14:paraId="671785AF" w14:textId="77777777" w:rsidR="00613FF1" w:rsidRPr="00D311AA"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r w:rsidRPr="006C2242">
              <w:t>9</w:t>
            </w:r>
            <w:r>
              <w:t>,</w:t>
            </w:r>
            <w:r w:rsidRPr="006C2242">
              <w:t>870</w:t>
            </w:r>
            <w:r>
              <w:t>.</w:t>
            </w:r>
            <w:r w:rsidRPr="006C2242">
              <w:t>26</w:t>
            </w:r>
          </w:p>
        </w:tc>
        <w:tc>
          <w:tcPr>
            <w:tcW w:w="1526" w:type="dxa"/>
            <w:tcBorders>
              <w:top w:val="nil"/>
              <w:bottom w:val="nil"/>
            </w:tcBorders>
            <w:shd w:val="clear" w:color="auto" w:fill="auto"/>
          </w:tcPr>
          <w:p w14:paraId="0C708AA1" w14:textId="77777777" w:rsidR="00613FF1" w:rsidRDefault="00613FF1" w:rsidP="00F50AA9">
            <w:pPr>
              <w:pStyle w:val="08-Tabelageral"/>
              <w:cnfStyle w:val="000000010000" w:firstRow="0" w:lastRow="0" w:firstColumn="0" w:lastColumn="0" w:oddVBand="0" w:evenVBand="0" w:oddHBand="0" w:evenHBand="1" w:firstRowFirstColumn="0" w:firstRowLastColumn="0" w:lastRowFirstColumn="0" w:lastRowLastColumn="0"/>
            </w:pPr>
            <w:r w:rsidRPr="00483F0F">
              <w:t>9</w:t>
            </w:r>
            <w:r>
              <w:t>,</w:t>
            </w:r>
            <w:r w:rsidRPr="00483F0F">
              <w:t>8</w:t>
            </w:r>
            <w:r>
              <w:t>70.26</w:t>
            </w:r>
          </w:p>
        </w:tc>
      </w:tr>
      <w:tr w:rsidR="00613FF1" w:rsidRPr="0032222F" w14:paraId="268DA6E5" w14:textId="77777777" w:rsidTr="00F76B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Borders>
              <w:top w:val="nil"/>
              <w:bottom w:val="single" w:sz="4" w:space="0" w:color="1F4E79" w:themeColor="accent1" w:themeShade="80"/>
            </w:tcBorders>
            <w:shd w:val="clear" w:color="auto" w:fill="auto"/>
          </w:tcPr>
          <w:p w14:paraId="41929A57" w14:textId="77777777" w:rsidR="00613FF1" w:rsidRPr="0032222F" w:rsidRDefault="00613FF1" w:rsidP="00F50AA9">
            <w:pPr>
              <w:pStyle w:val="08-Tabelageral"/>
              <w:jc w:val="left"/>
              <w:rPr>
                <w:b w:val="0"/>
                <w:bCs w:val="0"/>
              </w:rPr>
            </w:pPr>
            <w:r w:rsidRPr="0032222F">
              <w:rPr>
                <w:b w:val="0"/>
                <w:bCs w:val="0"/>
              </w:rPr>
              <w:t>Risk and Capital Committee</w:t>
            </w:r>
          </w:p>
        </w:tc>
        <w:tc>
          <w:tcPr>
            <w:tcW w:w="604" w:type="dxa"/>
            <w:tcBorders>
              <w:top w:val="nil"/>
              <w:bottom w:val="single" w:sz="4" w:space="0" w:color="1F4E79" w:themeColor="accent1" w:themeShade="80"/>
            </w:tcBorders>
            <w:shd w:val="clear" w:color="auto" w:fill="auto"/>
          </w:tcPr>
          <w:p w14:paraId="3037C915"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411" w:type="dxa"/>
            <w:tcBorders>
              <w:top w:val="nil"/>
              <w:bottom w:val="single" w:sz="4" w:space="0" w:color="1F4E79" w:themeColor="accent1" w:themeShade="80"/>
            </w:tcBorders>
            <w:shd w:val="clear" w:color="auto" w:fill="auto"/>
          </w:tcPr>
          <w:p w14:paraId="6729FD6C"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p>
        </w:tc>
        <w:tc>
          <w:tcPr>
            <w:tcW w:w="1412" w:type="dxa"/>
            <w:tcBorders>
              <w:top w:val="nil"/>
              <w:bottom w:val="single" w:sz="4" w:space="0" w:color="1F4E79" w:themeColor="accent1" w:themeShade="80"/>
            </w:tcBorders>
            <w:shd w:val="clear" w:color="auto" w:fill="auto"/>
          </w:tcPr>
          <w:p w14:paraId="50EC0D6C"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single" w:sz="4" w:space="0" w:color="1F4E79" w:themeColor="accent1" w:themeShade="80"/>
            </w:tcBorders>
            <w:shd w:val="clear" w:color="auto" w:fill="auto"/>
          </w:tcPr>
          <w:p w14:paraId="0ACBC560"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417" w:type="dxa"/>
            <w:tcBorders>
              <w:top w:val="nil"/>
              <w:bottom w:val="single" w:sz="4" w:space="0" w:color="1F4E79" w:themeColor="accent1" w:themeShade="80"/>
            </w:tcBorders>
            <w:shd w:val="clear" w:color="auto" w:fill="auto"/>
          </w:tcPr>
          <w:p w14:paraId="465F9EE2"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r w:rsidRPr="006C2242">
              <w:t>9</w:t>
            </w:r>
            <w:r>
              <w:t>,</w:t>
            </w:r>
            <w:r w:rsidRPr="006C2242">
              <w:t>870</w:t>
            </w:r>
            <w:r>
              <w:t>.</w:t>
            </w:r>
            <w:r w:rsidRPr="006C2242">
              <w:t>26</w:t>
            </w:r>
          </w:p>
        </w:tc>
        <w:tc>
          <w:tcPr>
            <w:tcW w:w="1526" w:type="dxa"/>
            <w:tcBorders>
              <w:top w:val="nil"/>
              <w:bottom w:val="single" w:sz="4" w:space="0" w:color="1F4E79" w:themeColor="accent1" w:themeShade="80"/>
            </w:tcBorders>
            <w:shd w:val="clear" w:color="auto" w:fill="auto"/>
          </w:tcPr>
          <w:p w14:paraId="5D5F27FB" w14:textId="77777777" w:rsidR="00613FF1" w:rsidRPr="0032222F" w:rsidRDefault="00613FF1" w:rsidP="00F50AA9">
            <w:pPr>
              <w:pStyle w:val="08-Tabelageral"/>
              <w:cnfStyle w:val="000000100000" w:firstRow="0" w:lastRow="0" w:firstColumn="0" w:lastColumn="0" w:oddVBand="0" w:evenVBand="0" w:oddHBand="1" w:evenHBand="0" w:firstRowFirstColumn="0" w:firstRowLastColumn="0" w:lastRowFirstColumn="0" w:lastRowLastColumn="0"/>
            </w:pPr>
            <w:r>
              <w:t>--</w:t>
            </w:r>
          </w:p>
        </w:tc>
      </w:tr>
    </w:tbl>
    <w:p w14:paraId="23486973" w14:textId="77777777" w:rsidR="00613FF1" w:rsidRDefault="00613FF1" w:rsidP="00514A18">
      <w:pPr>
        <w:pStyle w:val="05-Textonormal2"/>
        <w:spacing w:before="0" w:line="240" w:lineRule="auto"/>
      </w:pPr>
    </w:p>
    <w:p w14:paraId="2C02147B" w14:textId="77777777" w:rsidR="00613FF1" w:rsidRPr="00613FF1" w:rsidRDefault="00613FF1" w:rsidP="00613FF1">
      <w:pPr>
        <w:pStyle w:val="03-SubttulodeNota"/>
        <w:numPr>
          <w:ilvl w:val="0"/>
          <w:numId w:val="18"/>
        </w:numPr>
        <w:ind w:left="284" w:hanging="284"/>
        <w:rPr>
          <w:color w:val="1F4E79" w:themeColor="accent1" w:themeShade="80"/>
          <w:sz w:val="18"/>
          <w:szCs w:val="18"/>
          <w:lang w:val="en-US"/>
        </w:rPr>
      </w:pPr>
      <w:r w:rsidRPr="00613FF1">
        <w:rPr>
          <w:color w:val="1F4E79" w:themeColor="accent1" w:themeShade="80"/>
          <w:sz w:val="18"/>
          <w:szCs w:val="18"/>
          <w:lang w:val="en-US"/>
        </w:rPr>
        <w:t>Compensation and Benefits of Employees and Managers</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986"/>
        <w:gridCol w:w="604"/>
        <w:gridCol w:w="1411"/>
        <w:gridCol w:w="1412"/>
        <w:gridCol w:w="283"/>
        <w:gridCol w:w="1417"/>
        <w:gridCol w:w="1526"/>
      </w:tblGrid>
      <w:tr w:rsidR="00613FF1" w:rsidRPr="00EC49EB" w14:paraId="408939E6" w14:textId="77777777" w:rsidTr="000508AC">
        <w:trPr>
          <w:trHeight w:val="227"/>
          <w:jc w:val="center"/>
        </w:trPr>
        <w:tc>
          <w:tcPr>
            <w:tcW w:w="6413" w:type="dxa"/>
            <w:gridSpan w:val="4"/>
            <w:tcBorders>
              <w:top w:val="single" w:sz="2" w:space="0" w:color="1F4E79" w:themeColor="accent1" w:themeShade="80"/>
              <w:bottom w:val="single" w:sz="2" w:space="0" w:color="1F4E79" w:themeColor="accent1" w:themeShade="80"/>
            </w:tcBorders>
            <w:shd w:val="clear" w:color="auto" w:fill="auto"/>
            <w:vAlign w:val="center"/>
          </w:tcPr>
          <w:p w14:paraId="66D872E5" w14:textId="77777777" w:rsidR="00613FF1" w:rsidRPr="00613FF1" w:rsidRDefault="00613FF1" w:rsidP="00F50AA9">
            <w:pPr>
              <w:keepNext/>
              <w:keepLines/>
              <w:spacing w:before="40" w:after="40"/>
              <w:jc w:val="right"/>
              <w:rPr>
                <w:rFonts w:cs="Arial"/>
                <w:b/>
                <w:spacing w:val="-2"/>
                <w:sz w:val="14"/>
                <w:szCs w:val="18"/>
                <w:lang w:val="en-US"/>
              </w:rPr>
            </w:pP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18BCAE95" w14:textId="77777777" w:rsidR="00613FF1" w:rsidRPr="00613FF1" w:rsidRDefault="00613FF1" w:rsidP="00F50AA9">
            <w:pPr>
              <w:keepNext/>
              <w:keepLines/>
              <w:spacing w:before="40" w:after="40"/>
              <w:jc w:val="right"/>
              <w:rPr>
                <w:rFonts w:cs="Arial"/>
                <w:b/>
                <w:spacing w:val="-2"/>
                <w:sz w:val="14"/>
                <w:szCs w:val="18"/>
                <w:lang w:val="en-US"/>
              </w:rPr>
            </w:pPr>
          </w:p>
        </w:tc>
        <w:tc>
          <w:tcPr>
            <w:tcW w:w="1417" w:type="dxa"/>
            <w:tcBorders>
              <w:top w:val="single" w:sz="2" w:space="0" w:color="1F4E79" w:themeColor="accent1" w:themeShade="80"/>
              <w:bottom w:val="single" w:sz="2" w:space="0" w:color="1F4E79" w:themeColor="accent1" w:themeShade="80"/>
            </w:tcBorders>
            <w:shd w:val="clear" w:color="auto" w:fill="auto"/>
          </w:tcPr>
          <w:p w14:paraId="1982597B" w14:textId="77777777" w:rsidR="00613FF1" w:rsidRPr="00F50AA9" w:rsidRDefault="00613FF1" w:rsidP="00F50AA9">
            <w:pPr>
              <w:keepNext/>
              <w:keepLines/>
              <w:spacing w:before="40" w:after="40"/>
              <w:jc w:val="right"/>
              <w:rPr>
                <w:rFonts w:cs="Arial"/>
                <w:b/>
                <w:bCs/>
                <w:spacing w:val="-2"/>
                <w:sz w:val="14"/>
                <w:szCs w:val="18"/>
              </w:rPr>
            </w:pPr>
            <w:r w:rsidRPr="00F50AA9">
              <w:rPr>
                <w:rFonts w:cs="Arial"/>
                <w:b/>
                <w:bCs/>
                <w:spacing w:val="-2"/>
                <w:sz w:val="14"/>
                <w:szCs w:val="18"/>
              </w:rPr>
              <w:t>Dec 31, 2022</w:t>
            </w:r>
          </w:p>
        </w:tc>
        <w:tc>
          <w:tcPr>
            <w:tcW w:w="1526" w:type="dxa"/>
            <w:tcBorders>
              <w:top w:val="single" w:sz="2" w:space="0" w:color="1F4E79" w:themeColor="accent1" w:themeShade="80"/>
              <w:bottom w:val="single" w:sz="2" w:space="0" w:color="1F4E79" w:themeColor="accent1" w:themeShade="80"/>
            </w:tcBorders>
            <w:shd w:val="clear" w:color="auto" w:fill="auto"/>
          </w:tcPr>
          <w:p w14:paraId="38AF84DF" w14:textId="77777777" w:rsidR="00613FF1" w:rsidRPr="00F50AA9" w:rsidRDefault="00613FF1" w:rsidP="00F50AA9">
            <w:pPr>
              <w:keepNext/>
              <w:keepLines/>
              <w:spacing w:before="40" w:after="40"/>
              <w:jc w:val="right"/>
              <w:rPr>
                <w:rFonts w:cs="Arial"/>
                <w:b/>
                <w:bCs/>
                <w:spacing w:val="-2"/>
                <w:sz w:val="14"/>
                <w:szCs w:val="18"/>
              </w:rPr>
            </w:pPr>
            <w:r w:rsidRPr="00F50AA9">
              <w:rPr>
                <w:rFonts w:cs="Arial"/>
                <w:b/>
                <w:bCs/>
                <w:spacing w:val="-2"/>
                <w:sz w:val="14"/>
                <w:szCs w:val="18"/>
              </w:rPr>
              <w:t>Dec 31, 2021</w:t>
            </w:r>
          </w:p>
        </w:tc>
      </w:tr>
      <w:tr w:rsidR="00613FF1" w:rsidRPr="003735AD" w14:paraId="709C2B30" w14:textId="77777777" w:rsidTr="006F7D1A">
        <w:trPr>
          <w:trHeight w:val="227"/>
          <w:jc w:val="center"/>
        </w:trPr>
        <w:tc>
          <w:tcPr>
            <w:tcW w:w="2986" w:type="dxa"/>
            <w:tcBorders>
              <w:top w:val="single" w:sz="2" w:space="0" w:color="1F4E79" w:themeColor="accent1" w:themeShade="80"/>
            </w:tcBorders>
            <w:shd w:val="clear" w:color="auto" w:fill="auto"/>
          </w:tcPr>
          <w:p w14:paraId="6B7F130E" w14:textId="77777777" w:rsidR="00613FF1" w:rsidRDefault="00613FF1" w:rsidP="006F7D1A">
            <w:pPr>
              <w:pStyle w:val="08-Tabelageral"/>
              <w:jc w:val="left"/>
            </w:pPr>
            <w:r>
              <w:rPr>
                <w:b/>
              </w:rPr>
              <w:t>Management</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p w14:paraId="050AEC83" w14:textId="77777777" w:rsidR="00613FF1" w:rsidRPr="0078045C" w:rsidRDefault="00613FF1" w:rsidP="006F7D1A">
            <w:pPr>
              <w:pStyle w:val="08-Tabelageral"/>
              <w:jc w:val="left"/>
              <w:rPr>
                <w:b/>
              </w:rPr>
            </w:pPr>
            <w:r w:rsidRPr="00F50AA9">
              <w:t>Lowest salary</w:t>
            </w:r>
          </w:p>
        </w:tc>
        <w:tc>
          <w:tcPr>
            <w:tcW w:w="604" w:type="dxa"/>
            <w:tcBorders>
              <w:top w:val="single" w:sz="2" w:space="0" w:color="1F4E79" w:themeColor="accent1" w:themeShade="80"/>
            </w:tcBorders>
            <w:shd w:val="clear" w:color="auto" w:fill="auto"/>
          </w:tcPr>
          <w:p w14:paraId="0F200AC6" w14:textId="77777777" w:rsidR="00613FF1" w:rsidRPr="003735AD" w:rsidRDefault="00613FF1" w:rsidP="006F7D1A">
            <w:pPr>
              <w:pStyle w:val="08-Tabelageral"/>
              <w:rPr>
                <w:b/>
              </w:rPr>
            </w:pPr>
          </w:p>
        </w:tc>
        <w:tc>
          <w:tcPr>
            <w:tcW w:w="1411" w:type="dxa"/>
            <w:tcBorders>
              <w:top w:val="single" w:sz="2" w:space="0" w:color="1F4E79" w:themeColor="accent1" w:themeShade="80"/>
            </w:tcBorders>
            <w:shd w:val="clear" w:color="auto" w:fill="auto"/>
          </w:tcPr>
          <w:p w14:paraId="5B4A15B6" w14:textId="77777777" w:rsidR="00613FF1" w:rsidRPr="003735AD" w:rsidRDefault="00613FF1" w:rsidP="006F7D1A">
            <w:pPr>
              <w:pStyle w:val="08-Tabelageral"/>
              <w:rPr>
                <w:b/>
              </w:rPr>
            </w:pPr>
          </w:p>
        </w:tc>
        <w:tc>
          <w:tcPr>
            <w:tcW w:w="1412" w:type="dxa"/>
            <w:tcBorders>
              <w:top w:val="single" w:sz="2" w:space="0" w:color="1F4E79" w:themeColor="accent1" w:themeShade="80"/>
            </w:tcBorders>
            <w:shd w:val="clear" w:color="auto" w:fill="auto"/>
            <w:vAlign w:val="center"/>
          </w:tcPr>
          <w:p w14:paraId="442FC168" w14:textId="77777777" w:rsidR="00613FF1" w:rsidRPr="003735AD" w:rsidRDefault="00613FF1" w:rsidP="006F7D1A">
            <w:pPr>
              <w:pStyle w:val="08-Tabelageral"/>
              <w:rPr>
                <w:b/>
              </w:rPr>
            </w:pPr>
          </w:p>
        </w:tc>
        <w:tc>
          <w:tcPr>
            <w:tcW w:w="283" w:type="dxa"/>
            <w:tcBorders>
              <w:top w:val="single" w:sz="2" w:space="0" w:color="1F4E79" w:themeColor="accent1" w:themeShade="80"/>
            </w:tcBorders>
            <w:shd w:val="clear" w:color="auto" w:fill="auto"/>
          </w:tcPr>
          <w:p w14:paraId="771B87E6" w14:textId="77777777" w:rsidR="00613FF1" w:rsidRPr="003735AD" w:rsidRDefault="00613FF1" w:rsidP="006F7D1A">
            <w:pPr>
              <w:pStyle w:val="08-Tabelageral"/>
              <w:jc w:val="left"/>
              <w:rPr>
                <w:b/>
              </w:rPr>
            </w:pPr>
          </w:p>
        </w:tc>
        <w:tc>
          <w:tcPr>
            <w:tcW w:w="1417" w:type="dxa"/>
            <w:tcBorders>
              <w:top w:val="single" w:sz="2" w:space="0" w:color="8EAADB" w:themeColor="accent5" w:themeTint="99"/>
            </w:tcBorders>
            <w:shd w:val="clear" w:color="auto" w:fill="auto"/>
            <w:vAlign w:val="center"/>
          </w:tcPr>
          <w:p w14:paraId="76396994" w14:textId="77777777" w:rsidR="00613FF1" w:rsidRDefault="00613FF1" w:rsidP="006F7D1A">
            <w:pPr>
              <w:pStyle w:val="08-Tabelageral"/>
            </w:pPr>
          </w:p>
          <w:p w14:paraId="139449AE" w14:textId="77777777" w:rsidR="00613FF1" w:rsidRPr="006C2242" w:rsidRDefault="00613FF1" w:rsidP="006F7D1A">
            <w:pPr>
              <w:pStyle w:val="08-Tabelageral"/>
            </w:pPr>
            <w:r>
              <w:t>104,537.44</w:t>
            </w:r>
          </w:p>
        </w:tc>
        <w:tc>
          <w:tcPr>
            <w:tcW w:w="1526" w:type="dxa"/>
            <w:tcBorders>
              <w:top w:val="single" w:sz="2" w:space="0" w:color="8EAADB" w:themeColor="accent5" w:themeTint="99"/>
            </w:tcBorders>
            <w:shd w:val="clear" w:color="auto" w:fill="auto"/>
            <w:vAlign w:val="center"/>
          </w:tcPr>
          <w:p w14:paraId="3ADB55E1" w14:textId="77777777" w:rsidR="00613FF1" w:rsidRDefault="00613FF1" w:rsidP="006F7D1A">
            <w:pPr>
              <w:pStyle w:val="08-Tabelageral"/>
            </w:pPr>
          </w:p>
          <w:p w14:paraId="0B7A5F06" w14:textId="77777777" w:rsidR="00613FF1" w:rsidRPr="00C75209" w:rsidRDefault="00613FF1" w:rsidP="006F7D1A">
            <w:pPr>
              <w:pStyle w:val="08-Tabelageral"/>
            </w:pPr>
            <w:r>
              <w:t>105,379.08</w:t>
            </w:r>
          </w:p>
        </w:tc>
      </w:tr>
      <w:tr w:rsidR="00613FF1" w:rsidRPr="0049410B" w14:paraId="4080FF10" w14:textId="77777777" w:rsidTr="006F7D1A">
        <w:trPr>
          <w:trHeight w:val="227"/>
          <w:jc w:val="center"/>
        </w:trPr>
        <w:tc>
          <w:tcPr>
            <w:tcW w:w="2986" w:type="dxa"/>
            <w:shd w:val="clear" w:color="auto" w:fill="auto"/>
          </w:tcPr>
          <w:p w14:paraId="3231D19D" w14:textId="77777777" w:rsidR="00613FF1" w:rsidRPr="0078045C" w:rsidRDefault="00613FF1" w:rsidP="006F7D1A">
            <w:pPr>
              <w:pStyle w:val="08-Tabelageral"/>
              <w:jc w:val="left"/>
              <w:rPr>
                <w:b/>
              </w:rPr>
            </w:pPr>
            <w:r w:rsidRPr="00F50AA9">
              <w:t>Highest salary</w:t>
            </w:r>
          </w:p>
        </w:tc>
        <w:tc>
          <w:tcPr>
            <w:tcW w:w="604" w:type="dxa"/>
            <w:shd w:val="clear" w:color="auto" w:fill="auto"/>
          </w:tcPr>
          <w:p w14:paraId="3C435392" w14:textId="77777777" w:rsidR="00613FF1" w:rsidRPr="0049410B" w:rsidRDefault="00613FF1" w:rsidP="006F7D1A">
            <w:pPr>
              <w:pStyle w:val="08-Tabelageral"/>
            </w:pPr>
          </w:p>
        </w:tc>
        <w:tc>
          <w:tcPr>
            <w:tcW w:w="1411" w:type="dxa"/>
            <w:shd w:val="clear" w:color="auto" w:fill="auto"/>
          </w:tcPr>
          <w:p w14:paraId="7DE9D237" w14:textId="77777777" w:rsidR="00613FF1" w:rsidRPr="00110D6B" w:rsidRDefault="00613FF1" w:rsidP="006F7D1A">
            <w:pPr>
              <w:pStyle w:val="08-Tabelageral"/>
            </w:pPr>
          </w:p>
        </w:tc>
        <w:tc>
          <w:tcPr>
            <w:tcW w:w="1412" w:type="dxa"/>
            <w:shd w:val="clear" w:color="auto" w:fill="auto"/>
            <w:vAlign w:val="center"/>
          </w:tcPr>
          <w:p w14:paraId="0E328171" w14:textId="77777777" w:rsidR="00613FF1" w:rsidRPr="00BB5EF7" w:rsidRDefault="00613FF1" w:rsidP="006F7D1A">
            <w:pPr>
              <w:pStyle w:val="08-Tabelageral"/>
            </w:pPr>
          </w:p>
        </w:tc>
        <w:tc>
          <w:tcPr>
            <w:tcW w:w="283" w:type="dxa"/>
            <w:shd w:val="clear" w:color="auto" w:fill="auto"/>
          </w:tcPr>
          <w:p w14:paraId="429C9076" w14:textId="77777777" w:rsidR="00613FF1" w:rsidRPr="0049410B" w:rsidRDefault="00613FF1" w:rsidP="006F7D1A">
            <w:pPr>
              <w:pStyle w:val="08-Tabelageral"/>
            </w:pPr>
          </w:p>
        </w:tc>
        <w:tc>
          <w:tcPr>
            <w:tcW w:w="1417" w:type="dxa"/>
            <w:shd w:val="clear" w:color="auto" w:fill="auto"/>
            <w:vAlign w:val="center"/>
          </w:tcPr>
          <w:p w14:paraId="0B5ED27E" w14:textId="77777777" w:rsidR="00613FF1" w:rsidRPr="006C2242" w:rsidRDefault="00613FF1" w:rsidP="006F7D1A">
            <w:pPr>
              <w:pStyle w:val="08-Tabelageral"/>
            </w:pPr>
            <w:r>
              <w:t>131,440.89</w:t>
            </w:r>
          </w:p>
        </w:tc>
        <w:tc>
          <w:tcPr>
            <w:tcW w:w="1526" w:type="dxa"/>
            <w:shd w:val="clear" w:color="auto" w:fill="auto"/>
            <w:vAlign w:val="center"/>
          </w:tcPr>
          <w:p w14:paraId="4FBDD429" w14:textId="77777777" w:rsidR="00613FF1" w:rsidRPr="00C75209" w:rsidRDefault="00613FF1" w:rsidP="006F7D1A">
            <w:pPr>
              <w:pStyle w:val="08-Tabelageral"/>
            </w:pPr>
            <w:r>
              <w:t>105,379.08</w:t>
            </w:r>
          </w:p>
        </w:tc>
      </w:tr>
      <w:tr w:rsidR="00613FF1" w:rsidRPr="0049410B" w14:paraId="671020A3" w14:textId="77777777" w:rsidTr="006F7D1A">
        <w:trPr>
          <w:trHeight w:val="227"/>
          <w:jc w:val="center"/>
        </w:trPr>
        <w:tc>
          <w:tcPr>
            <w:tcW w:w="2986" w:type="dxa"/>
            <w:shd w:val="clear" w:color="auto" w:fill="auto"/>
          </w:tcPr>
          <w:p w14:paraId="2FC5DE4F" w14:textId="77777777" w:rsidR="00613FF1" w:rsidRPr="0078045C" w:rsidRDefault="00613FF1" w:rsidP="006F7D1A">
            <w:pPr>
              <w:pStyle w:val="08-Tabelageral"/>
              <w:jc w:val="left"/>
              <w:rPr>
                <w:b/>
              </w:rPr>
            </w:pPr>
            <w:r w:rsidRPr="00F50AA9">
              <w:t>Average salary</w:t>
            </w:r>
          </w:p>
        </w:tc>
        <w:tc>
          <w:tcPr>
            <w:tcW w:w="604" w:type="dxa"/>
            <w:shd w:val="clear" w:color="auto" w:fill="auto"/>
          </w:tcPr>
          <w:p w14:paraId="54EE39D7" w14:textId="77777777" w:rsidR="00613FF1" w:rsidRPr="0049410B" w:rsidRDefault="00613FF1" w:rsidP="006F7D1A">
            <w:pPr>
              <w:pStyle w:val="08-Tabelageral"/>
            </w:pPr>
          </w:p>
        </w:tc>
        <w:tc>
          <w:tcPr>
            <w:tcW w:w="1411" w:type="dxa"/>
            <w:shd w:val="clear" w:color="auto" w:fill="auto"/>
          </w:tcPr>
          <w:p w14:paraId="522DCF56" w14:textId="77777777" w:rsidR="00613FF1" w:rsidRPr="00110D6B" w:rsidRDefault="00613FF1" w:rsidP="006F7D1A">
            <w:pPr>
              <w:pStyle w:val="08-Tabelageral"/>
            </w:pPr>
          </w:p>
        </w:tc>
        <w:tc>
          <w:tcPr>
            <w:tcW w:w="1412" w:type="dxa"/>
            <w:shd w:val="clear" w:color="auto" w:fill="auto"/>
            <w:vAlign w:val="center"/>
          </w:tcPr>
          <w:p w14:paraId="4277F51A" w14:textId="77777777" w:rsidR="00613FF1" w:rsidRPr="00BB5EF7" w:rsidRDefault="00613FF1" w:rsidP="006F7D1A">
            <w:pPr>
              <w:pStyle w:val="08-Tabelageral"/>
            </w:pPr>
          </w:p>
        </w:tc>
        <w:tc>
          <w:tcPr>
            <w:tcW w:w="283" w:type="dxa"/>
            <w:shd w:val="clear" w:color="auto" w:fill="auto"/>
          </w:tcPr>
          <w:p w14:paraId="0F02BEA4" w14:textId="77777777" w:rsidR="00613FF1" w:rsidRPr="0049410B" w:rsidRDefault="00613FF1" w:rsidP="006F7D1A">
            <w:pPr>
              <w:pStyle w:val="08-Tabelageral"/>
            </w:pPr>
          </w:p>
        </w:tc>
        <w:tc>
          <w:tcPr>
            <w:tcW w:w="1417" w:type="dxa"/>
            <w:shd w:val="clear" w:color="auto" w:fill="auto"/>
            <w:vAlign w:val="center"/>
          </w:tcPr>
          <w:p w14:paraId="77584509" w14:textId="77777777" w:rsidR="00613FF1" w:rsidRPr="006C2242" w:rsidRDefault="00613FF1" w:rsidP="006F7D1A">
            <w:pPr>
              <w:pStyle w:val="08-Tabelageral"/>
            </w:pPr>
            <w:r>
              <w:t>114,308.43</w:t>
            </w:r>
          </w:p>
        </w:tc>
        <w:tc>
          <w:tcPr>
            <w:tcW w:w="1526" w:type="dxa"/>
            <w:shd w:val="clear" w:color="auto" w:fill="auto"/>
            <w:vAlign w:val="center"/>
          </w:tcPr>
          <w:p w14:paraId="105D5199" w14:textId="77777777" w:rsidR="00613FF1" w:rsidRPr="00C75209" w:rsidRDefault="00613FF1" w:rsidP="006F7D1A">
            <w:pPr>
              <w:pStyle w:val="08-Tabelageral"/>
            </w:pPr>
            <w:r>
              <w:t>105,379.08</w:t>
            </w:r>
          </w:p>
        </w:tc>
      </w:tr>
      <w:tr w:rsidR="00613FF1" w:rsidRPr="0049410B" w14:paraId="619C3243" w14:textId="77777777" w:rsidTr="006F7D1A">
        <w:trPr>
          <w:trHeight w:val="227"/>
          <w:jc w:val="center"/>
        </w:trPr>
        <w:tc>
          <w:tcPr>
            <w:tcW w:w="2986" w:type="dxa"/>
            <w:shd w:val="clear" w:color="auto" w:fill="auto"/>
          </w:tcPr>
          <w:p w14:paraId="70C1070C" w14:textId="77777777" w:rsidR="00613FF1" w:rsidRPr="0078045C" w:rsidRDefault="00613FF1" w:rsidP="006F7D1A">
            <w:pPr>
              <w:pStyle w:val="08-Tabelageral"/>
              <w:jc w:val="left"/>
              <w:rPr>
                <w:b/>
              </w:rPr>
            </w:pPr>
          </w:p>
        </w:tc>
        <w:tc>
          <w:tcPr>
            <w:tcW w:w="604" w:type="dxa"/>
            <w:shd w:val="clear" w:color="auto" w:fill="auto"/>
          </w:tcPr>
          <w:p w14:paraId="38383E89" w14:textId="77777777" w:rsidR="00613FF1" w:rsidRPr="0049410B" w:rsidRDefault="00613FF1" w:rsidP="006F7D1A">
            <w:pPr>
              <w:pStyle w:val="08-Tabelageral"/>
            </w:pPr>
          </w:p>
        </w:tc>
        <w:tc>
          <w:tcPr>
            <w:tcW w:w="1411" w:type="dxa"/>
            <w:shd w:val="clear" w:color="auto" w:fill="auto"/>
          </w:tcPr>
          <w:p w14:paraId="60C3EC41" w14:textId="77777777" w:rsidR="00613FF1" w:rsidRPr="00110D6B" w:rsidRDefault="00613FF1" w:rsidP="006F7D1A">
            <w:pPr>
              <w:pStyle w:val="08-Tabelageral"/>
            </w:pPr>
          </w:p>
        </w:tc>
        <w:tc>
          <w:tcPr>
            <w:tcW w:w="1412" w:type="dxa"/>
            <w:shd w:val="clear" w:color="auto" w:fill="auto"/>
            <w:vAlign w:val="center"/>
          </w:tcPr>
          <w:p w14:paraId="574B5553" w14:textId="77777777" w:rsidR="00613FF1" w:rsidRPr="00BB5EF7" w:rsidRDefault="00613FF1" w:rsidP="006F7D1A">
            <w:pPr>
              <w:pStyle w:val="08-Tabelageral"/>
            </w:pPr>
          </w:p>
        </w:tc>
        <w:tc>
          <w:tcPr>
            <w:tcW w:w="283" w:type="dxa"/>
            <w:shd w:val="clear" w:color="auto" w:fill="auto"/>
          </w:tcPr>
          <w:p w14:paraId="00153795" w14:textId="77777777" w:rsidR="00613FF1" w:rsidRPr="0049410B" w:rsidRDefault="00613FF1" w:rsidP="006F7D1A">
            <w:pPr>
              <w:pStyle w:val="08-Tabelageral"/>
            </w:pPr>
          </w:p>
        </w:tc>
        <w:tc>
          <w:tcPr>
            <w:tcW w:w="1417" w:type="dxa"/>
            <w:shd w:val="clear" w:color="auto" w:fill="auto"/>
            <w:vAlign w:val="center"/>
          </w:tcPr>
          <w:p w14:paraId="49020E38" w14:textId="77777777" w:rsidR="00613FF1" w:rsidRPr="006C2242" w:rsidRDefault="00613FF1" w:rsidP="006F7D1A">
            <w:pPr>
              <w:pStyle w:val="08-Tabelageral"/>
            </w:pPr>
          </w:p>
        </w:tc>
        <w:tc>
          <w:tcPr>
            <w:tcW w:w="1526" w:type="dxa"/>
            <w:shd w:val="clear" w:color="auto" w:fill="auto"/>
            <w:vAlign w:val="center"/>
          </w:tcPr>
          <w:p w14:paraId="6EE851EF" w14:textId="77777777" w:rsidR="00613FF1" w:rsidRPr="00C75209" w:rsidRDefault="00613FF1" w:rsidP="006F7D1A">
            <w:pPr>
              <w:pStyle w:val="08-Tabelageral"/>
            </w:pPr>
          </w:p>
        </w:tc>
      </w:tr>
      <w:tr w:rsidR="00613FF1" w:rsidRPr="00A63FA4" w14:paraId="352C7291" w14:textId="77777777" w:rsidTr="006F7D1A">
        <w:trPr>
          <w:trHeight w:val="227"/>
          <w:jc w:val="center"/>
        </w:trPr>
        <w:tc>
          <w:tcPr>
            <w:tcW w:w="2986" w:type="dxa"/>
            <w:shd w:val="clear" w:color="auto" w:fill="auto"/>
          </w:tcPr>
          <w:p w14:paraId="404118AB" w14:textId="77777777" w:rsidR="00613FF1" w:rsidRPr="009A3D96" w:rsidRDefault="00613FF1" w:rsidP="006F7D1A">
            <w:pPr>
              <w:pStyle w:val="08-Tabelageral"/>
              <w:jc w:val="left"/>
              <w:rPr>
                <w:b/>
                <w:bCs/>
              </w:rPr>
            </w:pPr>
            <w:r>
              <w:rPr>
                <w:b/>
                <w:bCs/>
              </w:rPr>
              <w:t>E</w:t>
            </w:r>
            <w:r w:rsidRPr="00F50AA9">
              <w:rPr>
                <w:b/>
                <w:bCs/>
              </w:rPr>
              <w:t>mployees</w:t>
            </w:r>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p w14:paraId="1C5C3A48" w14:textId="77777777" w:rsidR="00613FF1" w:rsidRPr="00257FAD" w:rsidRDefault="00613FF1" w:rsidP="006F7D1A">
            <w:pPr>
              <w:pStyle w:val="08-Tabelageral"/>
              <w:jc w:val="left"/>
              <w:rPr>
                <w:b/>
              </w:rPr>
            </w:pPr>
            <w:r w:rsidRPr="00F50AA9">
              <w:t>Lowest salary</w:t>
            </w:r>
          </w:p>
        </w:tc>
        <w:tc>
          <w:tcPr>
            <w:tcW w:w="604" w:type="dxa"/>
            <w:shd w:val="clear" w:color="auto" w:fill="auto"/>
          </w:tcPr>
          <w:p w14:paraId="19348DB0" w14:textId="77777777" w:rsidR="00613FF1" w:rsidRPr="00257FAD" w:rsidRDefault="00613FF1" w:rsidP="006F7D1A">
            <w:pPr>
              <w:pStyle w:val="08-Tabelageral"/>
              <w:rPr>
                <w:b/>
              </w:rPr>
            </w:pPr>
          </w:p>
        </w:tc>
        <w:tc>
          <w:tcPr>
            <w:tcW w:w="1411" w:type="dxa"/>
            <w:shd w:val="clear" w:color="auto" w:fill="auto"/>
          </w:tcPr>
          <w:p w14:paraId="102C4EE4" w14:textId="77777777" w:rsidR="00613FF1" w:rsidRPr="00257FAD" w:rsidRDefault="00613FF1" w:rsidP="006F7D1A">
            <w:pPr>
              <w:pStyle w:val="08-Tabelageral"/>
              <w:rPr>
                <w:b/>
              </w:rPr>
            </w:pPr>
          </w:p>
        </w:tc>
        <w:tc>
          <w:tcPr>
            <w:tcW w:w="1412" w:type="dxa"/>
            <w:shd w:val="clear" w:color="auto" w:fill="auto"/>
            <w:vAlign w:val="center"/>
          </w:tcPr>
          <w:p w14:paraId="0EDB2BEA" w14:textId="77777777" w:rsidR="00613FF1" w:rsidRPr="00257FAD" w:rsidRDefault="00613FF1" w:rsidP="006F7D1A">
            <w:pPr>
              <w:pStyle w:val="08-Tabelageral"/>
              <w:rPr>
                <w:b/>
              </w:rPr>
            </w:pPr>
          </w:p>
        </w:tc>
        <w:tc>
          <w:tcPr>
            <w:tcW w:w="283" w:type="dxa"/>
            <w:shd w:val="clear" w:color="auto" w:fill="auto"/>
          </w:tcPr>
          <w:p w14:paraId="0930747F" w14:textId="77777777" w:rsidR="00613FF1" w:rsidRPr="00257FAD" w:rsidRDefault="00613FF1" w:rsidP="006F7D1A">
            <w:pPr>
              <w:pStyle w:val="08-Tabelageral"/>
              <w:rPr>
                <w:b/>
              </w:rPr>
            </w:pPr>
          </w:p>
        </w:tc>
        <w:tc>
          <w:tcPr>
            <w:tcW w:w="1417" w:type="dxa"/>
            <w:shd w:val="clear" w:color="auto" w:fill="auto"/>
            <w:vAlign w:val="center"/>
          </w:tcPr>
          <w:p w14:paraId="22F1E05D" w14:textId="77777777" w:rsidR="00613FF1" w:rsidRDefault="00613FF1" w:rsidP="006F7D1A">
            <w:pPr>
              <w:pStyle w:val="08-Tabelageral"/>
              <w:rPr>
                <w:b/>
              </w:rPr>
            </w:pPr>
          </w:p>
          <w:p w14:paraId="34391A6A" w14:textId="77777777" w:rsidR="00613FF1" w:rsidRPr="00571EBD" w:rsidRDefault="00613FF1" w:rsidP="006F7D1A">
            <w:pPr>
              <w:pStyle w:val="08-Tabelageral"/>
              <w:rPr>
                <w:bCs/>
              </w:rPr>
            </w:pPr>
            <w:r>
              <w:rPr>
                <w:bCs/>
              </w:rPr>
              <w:t>7,705.20</w:t>
            </w:r>
          </w:p>
        </w:tc>
        <w:tc>
          <w:tcPr>
            <w:tcW w:w="1526" w:type="dxa"/>
            <w:shd w:val="clear" w:color="auto" w:fill="auto"/>
            <w:vAlign w:val="center"/>
          </w:tcPr>
          <w:p w14:paraId="0DB72B0E" w14:textId="77777777" w:rsidR="00613FF1" w:rsidRPr="00A63FA4" w:rsidRDefault="00613FF1" w:rsidP="006F7D1A">
            <w:pPr>
              <w:pStyle w:val="08-Tabelageral"/>
              <w:rPr>
                <w:bCs/>
              </w:rPr>
            </w:pPr>
          </w:p>
          <w:p w14:paraId="46FB63B2" w14:textId="77777777" w:rsidR="00613FF1" w:rsidRPr="00A63FA4" w:rsidRDefault="00613FF1" w:rsidP="006F7D1A">
            <w:pPr>
              <w:pStyle w:val="08-Tabelageral"/>
              <w:rPr>
                <w:bCs/>
              </w:rPr>
            </w:pPr>
            <w:r>
              <w:rPr>
                <w:bCs/>
              </w:rPr>
              <w:t>8,872.03</w:t>
            </w:r>
          </w:p>
        </w:tc>
      </w:tr>
      <w:tr w:rsidR="00613FF1" w:rsidRPr="0049410B" w14:paraId="44C87C12" w14:textId="77777777" w:rsidTr="006F7D1A">
        <w:trPr>
          <w:trHeight w:val="227"/>
          <w:jc w:val="center"/>
        </w:trPr>
        <w:tc>
          <w:tcPr>
            <w:tcW w:w="2986" w:type="dxa"/>
            <w:shd w:val="clear" w:color="auto" w:fill="auto"/>
          </w:tcPr>
          <w:p w14:paraId="0533E26C" w14:textId="77777777" w:rsidR="00613FF1" w:rsidRPr="0078045C" w:rsidRDefault="00613FF1" w:rsidP="006F7D1A">
            <w:pPr>
              <w:pStyle w:val="08-Tabelageral"/>
              <w:jc w:val="left"/>
              <w:rPr>
                <w:b/>
              </w:rPr>
            </w:pPr>
            <w:r w:rsidRPr="00F50AA9">
              <w:t>Highest salary</w:t>
            </w:r>
          </w:p>
        </w:tc>
        <w:tc>
          <w:tcPr>
            <w:tcW w:w="604" w:type="dxa"/>
            <w:shd w:val="clear" w:color="auto" w:fill="auto"/>
          </w:tcPr>
          <w:p w14:paraId="3281F020" w14:textId="77777777" w:rsidR="00613FF1" w:rsidRPr="0049410B" w:rsidRDefault="00613FF1" w:rsidP="006F7D1A">
            <w:pPr>
              <w:pStyle w:val="08-Tabelageral"/>
            </w:pPr>
          </w:p>
        </w:tc>
        <w:tc>
          <w:tcPr>
            <w:tcW w:w="1411" w:type="dxa"/>
            <w:shd w:val="clear" w:color="auto" w:fill="auto"/>
          </w:tcPr>
          <w:p w14:paraId="3DE5B984" w14:textId="77777777" w:rsidR="00613FF1" w:rsidRPr="00110D6B" w:rsidRDefault="00613FF1" w:rsidP="006F7D1A">
            <w:pPr>
              <w:pStyle w:val="08-Tabelageral"/>
            </w:pPr>
          </w:p>
        </w:tc>
        <w:tc>
          <w:tcPr>
            <w:tcW w:w="1412" w:type="dxa"/>
            <w:shd w:val="clear" w:color="auto" w:fill="auto"/>
          </w:tcPr>
          <w:p w14:paraId="310AD824" w14:textId="77777777" w:rsidR="00613FF1" w:rsidRPr="00BB5EF7" w:rsidRDefault="00613FF1" w:rsidP="006F7D1A">
            <w:pPr>
              <w:pStyle w:val="08-Tabelageral"/>
            </w:pPr>
          </w:p>
        </w:tc>
        <w:tc>
          <w:tcPr>
            <w:tcW w:w="283" w:type="dxa"/>
            <w:shd w:val="clear" w:color="auto" w:fill="auto"/>
          </w:tcPr>
          <w:p w14:paraId="0812B918" w14:textId="77777777" w:rsidR="00613FF1" w:rsidRPr="0049410B" w:rsidRDefault="00613FF1" w:rsidP="006F7D1A">
            <w:pPr>
              <w:pStyle w:val="08-Tabelageral"/>
            </w:pPr>
          </w:p>
        </w:tc>
        <w:tc>
          <w:tcPr>
            <w:tcW w:w="1417" w:type="dxa"/>
            <w:shd w:val="clear" w:color="auto" w:fill="auto"/>
          </w:tcPr>
          <w:p w14:paraId="5153834B" w14:textId="77777777" w:rsidR="00613FF1" w:rsidRPr="006C2242" w:rsidRDefault="00613FF1" w:rsidP="006F7D1A">
            <w:pPr>
              <w:pStyle w:val="08-Tabelageral"/>
            </w:pPr>
            <w:r>
              <w:t>58,422.01</w:t>
            </w:r>
          </w:p>
        </w:tc>
        <w:tc>
          <w:tcPr>
            <w:tcW w:w="1526" w:type="dxa"/>
            <w:shd w:val="clear" w:color="auto" w:fill="auto"/>
          </w:tcPr>
          <w:p w14:paraId="0BE0A938" w14:textId="77777777" w:rsidR="00613FF1" w:rsidRPr="00C75209" w:rsidRDefault="00613FF1" w:rsidP="006F7D1A">
            <w:pPr>
              <w:pStyle w:val="08-Tabelageral"/>
            </w:pPr>
            <w:r>
              <w:t>53,157.78</w:t>
            </w:r>
          </w:p>
        </w:tc>
      </w:tr>
      <w:tr w:rsidR="00613FF1" w:rsidRPr="0049410B" w14:paraId="0D8E106C" w14:textId="77777777" w:rsidTr="006F7D1A">
        <w:trPr>
          <w:trHeight w:val="227"/>
          <w:jc w:val="center"/>
        </w:trPr>
        <w:tc>
          <w:tcPr>
            <w:tcW w:w="2986" w:type="dxa"/>
            <w:shd w:val="clear" w:color="auto" w:fill="auto"/>
          </w:tcPr>
          <w:p w14:paraId="5A4C9741" w14:textId="77777777" w:rsidR="00613FF1" w:rsidRDefault="00613FF1" w:rsidP="006F7D1A">
            <w:pPr>
              <w:pStyle w:val="08-Tabelageral"/>
              <w:jc w:val="left"/>
            </w:pPr>
            <w:r w:rsidRPr="00F50AA9">
              <w:t xml:space="preserve">Average salary </w:t>
            </w:r>
          </w:p>
          <w:p w14:paraId="475374DA" w14:textId="77777777" w:rsidR="00613FF1" w:rsidRPr="0078045C" w:rsidRDefault="00613FF1" w:rsidP="006F7D1A">
            <w:pPr>
              <w:pStyle w:val="08-Tabelageral"/>
              <w:jc w:val="left"/>
              <w:rPr>
                <w:b/>
              </w:rPr>
            </w:pPr>
            <w:r>
              <w:t>Benefícios</w:t>
            </w:r>
            <w:r w:rsidRPr="00600172">
              <w:rPr>
                <w:rFonts w:cs="Arial"/>
                <w:b/>
                <w:bCs/>
                <w:szCs w:val="14"/>
                <w:vertAlign w:val="superscript"/>
              </w:rPr>
              <w:t xml:space="preserve"> (</w:t>
            </w:r>
            <w:r>
              <w:rPr>
                <w:rFonts w:cs="Arial"/>
                <w:b/>
                <w:bCs/>
                <w:szCs w:val="14"/>
                <w:vertAlign w:val="superscript"/>
              </w:rPr>
              <w:t>3</w:t>
            </w:r>
            <w:r w:rsidRPr="00600172">
              <w:rPr>
                <w:rFonts w:cs="Arial"/>
                <w:b/>
                <w:bCs/>
                <w:szCs w:val="14"/>
                <w:vertAlign w:val="superscript"/>
              </w:rPr>
              <w:t>)</w:t>
            </w:r>
          </w:p>
        </w:tc>
        <w:tc>
          <w:tcPr>
            <w:tcW w:w="604" w:type="dxa"/>
            <w:shd w:val="clear" w:color="auto" w:fill="auto"/>
          </w:tcPr>
          <w:p w14:paraId="67B699AC" w14:textId="77777777" w:rsidR="00613FF1" w:rsidRPr="0049410B" w:rsidRDefault="00613FF1" w:rsidP="006F7D1A">
            <w:pPr>
              <w:pStyle w:val="08-Tabelageral"/>
            </w:pPr>
          </w:p>
        </w:tc>
        <w:tc>
          <w:tcPr>
            <w:tcW w:w="1411" w:type="dxa"/>
            <w:shd w:val="clear" w:color="auto" w:fill="auto"/>
          </w:tcPr>
          <w:p w14:paraId="63324A74" w14:textId="77777777" w:rsidR="00613FF1" w:rsidRPr="00110D6B" w:rsidRDefault="00613FF1" w:rsidP="006F7D1A">
            <w:pPr>
              <w:pStyle w:val="08-Tabelageral"/>
            </w:pPr>
          </w:p>
        </w:tc>
        <w:tc>
          <w:tcPr>
            <w:tcW w:w="1412" w:type="dxa"/>
            <w:shd w:val="clear" w:color="auto" w:fill="auto"/>
          </w:tcPr>
          <w:p w14:paraId="1B5F1E5B" w14:textId="77777777" w:rsidR="00613FF1" w:rsidRPr="00BB5EF7" w:rsidRDefault="00613FF1" w:rsidP="006F7D1A">
            <w:pPr>
              <w:pStyle w:val="08-Tabelageral"/>
            </w:pPr>
          </w:p>
        </w:tc>
        <w:tc>
          <w:tcPr>
            <w:tcW w:w="283" w:type="dxa"/>
            <w:shd w:val="clear" w:color="auto" w:fill="auto"/>
          </w:tcPr>
          <w:p w14:paraId="2B1C5736" w14:textId="77777777" w:rsidR="00613FF1" w:rsidRPr="0049410B" w:rsidRDefault="00613FF1" w:rsidP="006F7D1A">
            <w:pPr>
              <w:pStyle w:val="08-Tabelageral"/>
            </w:pPr>
          </w:p>
        </w:tc>
        <w:tc>
          <w:tcPr>
            <w:tcW w:w="1417" w:type="dxa"/>
            <w:shd w:val="clear" w:color="auto" w:fill="auto"/>
          </w:tcPr>
          <w:p w14:paraId="794A7766" w14:textId="77777777" w:rsidR="00613FF1" w:rsidRDefault="00613FF1" w:rsidP="006F7D1A">
            <w:pPr>
              <w:pStyle w:val="08-Tabelageral"/>
            </w:pPr>
            <w:r>
              <w:t>22,618.59</w:t>
            </w:r>
          </w:p>
          <w:p w14:paraId="38D37A84" w14:textId="77777777" w:rsidR="00613FF1" w:rsidRPr="006C2242" w:rsidRDefault="00613FF1" w:rsidP="006F7D1A">
            <w:pPr>
              <w:pStyle w:val="08-Tabelageral"/>
            </w:pPr>
            <w:r>
              <w:t>3,235.54</w:t>
            </w:r>
          </w:p>
        </w:tc>
        <w:tc>
          <w:tcPr>
            <w:tcW w:w="1526" w:type="dxa"/>
            <w:shd w:val="clear" w:color="auto" w:fill="auto"/>
          </w:tcPr>
          <w:p w14:paraId="240FFA8A" w14:textId="77777777" w:rsidR="00613FF1" w:rsidRDefault="00613FF1" w:rsidP="006F7D1A">
            <w:pPr>
              <w:pStyle w:val="08-Tabelageral"/>
            </w:pPr>
            <w:r>
              <w:t>21,494.14</w:t>
            </w:r>
          </w:p>
          <w:p w14:paraId="140B38C8" w14:textId="77777777" w:rsidR="00613FF1" w:rsidRPr="00C75209" w:rsidRDefault="00613FF1" w:rsidP="006F7D1A">
            <w:pPr>
              <w:pStyle w:val="08-Tabelageral"/>
            </w:pPr>
            <w:r>
              <w:t>2,834.14</w:t>
            </w:r>
          </w:p>
        </w:tc>
      </w:tr>
    </w:tbl>
    <w:p w14:paraId="1E18C8D1" w14:textId="77777777" w:rsidR="00613FF1" w:rsidRPr="00613FF1" w:rsidRDefault="00613FF1" w:rsidP="00613FF1">
      <w:pPr>
        <w:pStyle w:val="07-Legenda"/>
        <w:numPr>
          <w:ilvl w:val="0"/>
          <w:numId w:val="38"/>
        </w:numPr>
        <w:ind w:left="284" w:hanging="284"/>
        <w:rPr>
          <w:lang w:val="en-US"/>
        </w:rPr>
      </w:pPr>
      <w:r w:rsidRPr="00613FF1">
        <w:rPr>
          <w:lang w:val="en-US"/>
        </w:rPr>
        <w:t>Average monthly remuneration of Officers who have held the position for the twelve months of the year, including the Chief Executive Officer, considering variable remuneration and benefits offered, except social charges.</w:t>
      </w:r>
    </w:p>
    <w:p w14:paraId="37DCBBA4" w14:textId="77777777" w:rsidR="00613FF1" w:rsidRPr="00613FF1" w:rsidRDefault="00613FF1" w:rsidP="00613FF1">
      <w:pPr>
        <w:pStyle w:val="07-Legenda"/>
        <w:numPr>
          <w:ilvl w:val="0"/>
          <w:numId w:val="38"/>
        </w:numPr>
        <w:ind w:left="284" w:hanging="284"/>
        <w:rPr>
          <w:lang w:val="en-US"/>
        </w:rPr>
      </w:pPr>
      <w:r w:rsidRPr="00613FF1">
        <w:rPr>
          <w:lang w:val="en-US"/>
        </w:rPr>
        <w:t>Average monthly remuneration of Employees who have remained in the company for the twelve months of the year, considering expenses with salaries, personal benefits, commissions, gratuities, additional, overtime and other expenses related to remuneration, including benefits offered, except charges.</w:t>
      </w:r>
    </w:p>
    <w:p w14:paraId="2A174185" w14:textId="77777777" w:rsidR="00613FF1" w:rsidRPr="00613FF1" w:rsidRDefault="00613FF1" w:rsidP="00613FF1">
      <w:pPr>
        <w:pStyle w:val="07-Legenda"/>
        <w:numPr>
          <w:ilvl w:val="0"/>
          <w:numId w:val="38"/>
        </w:numPr>
        <w:ind w:left="284" w:hanging="284"/>
        <w:rPr>
          <w:lang w:val="en-US"/>
        </w:rPr>
      </w:pPr>
      <w:r w:rsidRPr="00613FF1">
        <w:rPr>
          <w:lang w:val="en-US"/>
        </w:rPr>
        <w:t>Global average value of benefits offered to Employees, considering, for example, medical and dental care, food and meal allowances, daycare allowance, transportation allowance, supplementary pension. The overall average figure considers the total employee benefit spend for the year divided by the average number of employees for the year.</w:t>
      </w:r>
    </w:p>
    <w:p w14:paraId="26DB4CEF" w14:textId="0502F937" w:rsidR="00613FF1" w:rsidRPr="00FC4475" w:rsidRDefault="00613FF1" w:rsidP="00FC4475">
      <w:pPr>
        <w:pStyle w:val="Ttulo1"/>
      </w:pPr>
      <w:bookmarkStart w:id="67" w:name="_Toc126781118"/>
      <w:r w:rsidRPr="00FC4475">
        <w:t>27 - OTHER INFORMATION</w:t>
      </w:r>
      <w:bookmarkEnd w:id="67"/>
    </w:p>
    <w:p w14:paraId="4623325C" w14:textId="77777777" w:rsidR="00613FF1" w:rsidRPr="006925BF" w:rsidRDefault="00613FF1" w:rsidP="006925BF">
      <w:pPr>
        <w:spacing w:before="120" w:after="120"/>
        <w:rPr>
          <w:rFonts w:cs="Arial"/>
          <w:b/>
          <w:bCs/>
          <w:color w:val="1F4E79" w:themeColor="accent1" w:themeShade="80"/>
          <w:szCs w:val="18"/>
          <w:lang w:val="en-US"/>
        </w:rPr>
      </w:pPr>
      <w:r w:rsidRPr="006925BF">
        <w:rPr>
          <w:rFonts w:cs="Arial"/>
          <w:b/>
          <w:bCs/>
          <w:color w:val="1F4E79" w:themeColor="accent1" w:themeShade="80"/>
          <w:szCs w:val="18"/>
          <w:lang w:val="en-US"/>
        </w:rPr>
        <w:t>Impairment Test</w:t>
      </w:r>
    </w:p>
    <w:p w14:paraId="4F4FBC7A" w14:textId="77777777" w:rsidR="00613FF1" w:rsidRDefault="00613FF1" w:rsidP="0050295C">
      <w:pPr>
        <w:pStyle w:val="05-Textonormal"/>
        <w:rPr>
          <w:lang w:val="en-US" w:eastAsia="zh-CN"/>
        </w:rPr>
      </w:pPr>
      <w:r w:rsidRPr="0050295C">
        <w:rPr>
          <w:lang w:val="en-US" w:eastAsia="zh-CN"/>
        </w:rPr>
        <w:t>In the 2022 financial year, the evaluation identified signs of devaluation in the intangible asset related to the investments in the ERP software used in the middle activities of BB Seguridade. Due to the discontinuation of use of two ERP modules, a write-off of R$ 397 thousand was recognized, equivalent to 9.9% of the balance of said asset.</w:t>
      </w:r>
    </w:p>
    <w:p w14:paraId="40FE71FB" w14:textId="77777777" w:rsidR="00613FF1" w:rsidRPr="00AB1548" w:rsidRDefault="00613FF1" w:rsidP="0050295C">
      <w:pPr>
        <w:pStyle w:val="05-Textonormal"/>
        <w:rPr>
          <w:lang w:val="en-US" w:eastAsia="zh-CN"/>
        </w:rPr>
      </w:pPr>
      <w:r w:rsidRPr="00AB1548">
        <w:rPr>
          <w:lang w:val="en-US" w:eastAsia="zh-CN"/>
        </w:rPr>
        <w:t xml:space="preserve">For assets subject to impairment testing, the recoverable amount obtained was higher than the </w:t>
      </w:r>
      <w:r>
        <w:rPr>
          <w:lang w:val="en-US" w:eastAsia="zh-CN"/>
        </w:rPr>
        <w:t>book value</w:t>
      </w:r>
      <w:r w:rsidRPr="00AB1548">
        <w:rPr>
          <w:lang w:val="en-US" w:eastAsia="zh-CN"/>
        </w:rPr>
        <w:t xml:space="preserve"> of investments and goodwill, when existing, and there is no need to record impairment losses for these assets.</w:t>
      </w:r>
    </w:p>
    <w:p w14:paraId="7C6785F8" w14:textId="77777777" w:rsidR="00613FF1" w:rsidRDefault="00613FF1" w:rsidP="0050295C">
      <w:pPr>
        <w:pStyle w:val="05-Textonormal"/>
        <w:rPr>
          <w:lang w:val="en-US" w:eastAsia="zh-CN"/>
        </w:rPr>
      </w:pPr>
      <w:r w:rsidRPr="00284430">
        <w:rPr>
          <w:lang w:val="en-US" w:eastAsia="zh-CN"/>
        </w:rPr>
        <w:t>The methodology consisted of an evaluation in two stages</w:t>
      </w:r>
      <w:r>
        <w:rPr>
          <w:lang w:val="en-US" w:eastAsia="zh-CN"/>
        </w:rPr>
        <w:t>,</w:t>
      </w:r>
      <w:r w:rsidRPr="00284430">
        <w:rPr>
          <w:lang w:val="en-US" w:eastAsia="zh-CN"/>
        </w:rPr>
        <w:t xml:space="preserve"> </w:t>
      </w:r>
      <w:r>
        <w:rPr>
          <w:lang w:val="en-US" w:eastAsia="zh-CN"/>
        </w:rPr>
        <w:t>the f</w:t>
      </w:r>
      <w:r w:rsidRPr="00284430">
        <w:rPr>
          <w:lang w:val="en-US" w:eastAsia="zh-CN"/>
        </w:rPr>
        <w:t xml:space="preserve">irst one there was a survey of </w:t>
      </w:r>
      <w:r>
        <w:rPr>
          <w:lang w:val="en-US" w:eastAsia="zh-CN"/>
        </w:rPr>
        <w:t xml:space="preserve">evidences </w:t>
      </w:r>
      <w:r w:rsidRPr="00284430">
        <w:rPr>
          <w:lang w:val="en-US" w:eastAsia="zh-CN"/>
        </w:rPr>
        <w:t>of loss for the assets, with the exception of investments in participations. The result of the assessment pointed to the absence of signs of loss for almost all assets, except for the intangible asset of BB Seguridade, as previously indicated. The second stage consisted of preparing the impairment test for the assets related to equity investments, which represent more than 45% of the group's consolidated assets.</w:t>
      </w:r>
    </w:p>
    <w:p w14:paraId="2A8B687E" w14:textId="77777777" w:rsidR="00613FF1" w:rsidRPr="00AB1548" w:rsidRDefault="00613FF1" w:rsidP="0050295C">
      <w:pPr>
        <w:pStyle w:val="05-Textonormal"/>
        <w:rPr>
          <w:lang w:val="en-US" w:eastAsia="zh-CN"/>
        </w:rPr>
      </w:pPr>
      <w:r w:rsidRPr="00AB1548">
        <w:rPr>
          <w:lang w:val="en-US" w:eastAsia="zh-CN"/>
        </w:rPr>
        <w:t xml:space="preserve">To perform the impairment test, the Discounted Dividend Flow method was used, which estimated the amount to be received with the investee's dividends. Cash flow was estimated over a period of five years plus the residual value in perpetuity. It is worth mentioning that the test considers three scenarios, base, optimistic and adverse, with weights of 60%, 10% and 30%, respectively. </w:t>
      </w:r>
      <w:r w:rsidRPr="00284430">
        <w:rPr>
          <w:lang w:val="en-US" w:eastAsia="zh-CN"/>
        </w:rPr>
        <w:t>The discount rate used was equivalent to the Minimum Attractive Rate adopted by the BB Seguros group and approved by the Company's Board of Directors.</w:t>
      </w:r>
    </w:p>
    <w:p w14:paraId="413464BE" w14:textId="77777777" w:rsidR="00613FF1" w:rsidRPr="00AB1548" w:rsidRDefault="00613FF1" w:rsidP="0050295C">
      <w:pPr>
        <w:pStyle w:val="05-Textonormal"/>
        <w:rPr>
          <w:lang w:val="en-US" w:eastAsia="zh-CN"/>
        </w:rPr>
      </w:pPr>
      <w:r w:rsidRPr="006E32CC">
        <w:rPr>
          <w:lang w:val="en-US" w:eastAsia="zh-CN"/>
        </w:rPr>
        <w:t>For the impairment test, goodwill of R$ 110,749 thousand at Brasilcap and intangible assets resulting from the partnership agreement with Mapfre at BB Mapfre Participações SA (Brasilseg), in the amount of R$ 498,967 thousand, were considered.</w:t>
      </w:r>
    </w:p>
    <w:p w14:paraId="1209A4FE" w14:textId="77777777" w:rsidR="00613FF1" w:rsidRPr="00AB1548" w:rsidRDefault="00613FF1" w:rsidP="0050295C">
      <w:pPr>
        <w:pStyle w:val="05-Textonormal"/>
        <w:rPr>
          <w:bCs/>
          <w:lang w:val="en-US"/>
        </w:rPr>
      </w:pPr>
      <w:r w:rsidRPr="00AB1548">
        <w:rPr>
          <w:bCs/>
          <w:lang w:val="en-US" w:eastAsia="zh-CN"/>
        </w:rPr>
        <w:t>The main assumptions used in the base scenario of the impairment test:</w:t>
      </w:r>
    </w:p>
    <w:p w14:paraId="170B6131" w14:textId="77777777" w:rsidR="00613FF1" w:rsidRPr="00AB1548" w:rsidRDefault="00613FF1" w:rsidP="00613FF1">
      <w:pPr>
        <w:pStyle w:val="05-Textonormal"/>
        <w:numPr>
          <w:ilvl w:val="0"/>
          <w:numId w:val="49"/>
        </w:numPr>
        <w:rPr>
          <w:lang w:val="en-US" w:eastAsia="zh-CN"/>
        </w:rPr>
      </w:pPr>
      <w:r w:rsidRPr="00AB1548">
        <w:rPr>
          <w:lang w:val="en-US" w:eastAsia="zh-CN"/>
        </w:rPr>
        <w:lastRenderedPageBreak/>
        <w:t>Revenues and Costs: a historical basis was used, reflecting past experience, and expectations of market growth, the segment in which they operate and the performance of each business;</w:t>
      </w:r>
    </w:p>
    <w:p w14:paraId="2A9C6221" w14:textId="77777777" w:rsidR="00613FF1" w:rsidRPr="00AB1548" w:rsidRDefault="00613FF1" w:rsidP="00613FF1">
      <w:pPr>
        <w:pStyle w:val="05-Textonormal"/>
        <w:numPr>
          <w:ilvl w:val="0"/>
          <w:numId w:val="49"/>
        </w:numPr>
        <w:rPr>
          <w:lang w:val="en-US" w:eastAsia="zh-CN"/>
        </w:rPr>
      </w:pPr>
      <w:r w:rsidRPr="00AB1548">
        <w:rPr>
          <w:lang w:val="en-US" w:eastAsia="zh-CN"/>
        </w:rPr>
        <w:t>Financial Result: forecast of the average return consistent with current financial markets’ return rate;</w:t>
      </w:r>
    </w:p>
    <w:p w14:paraId="4C6D50D9" w14:textId="77777777" w:rsidR="00613FF1" w:rsidRPr="00AB1548" w:rsidRDefault="00613FF1" w:rsidP="00613FF1">
      <w:pPr>
        <w:pStyle w:val="05-Textonormal"/>
        <w:numPr>
          <w:ilvl w:val="0"/>
          <w:numId w:val="49"/>
        </w:numPr>
        <w:rPr>
          <w:lang w:val="en-US" w:eastAsia="zh-CN"/>
        </w:rPr>
      </w:pPr>
      <w:r w:rsidRPr="00AB1548">
        <w:rPr>
          <w:lang w:val="en-US" w:eastAsia="zh-CN"/>
        </w:rPr>
        <w:t xml:space="preserve">Minimum Capital Requirement: legal capital requirement as of the time the evaluation was conducted, according to </w:t>
      </w:r>
      <w:r w:rsidRPr="00AB1548">
        <w:rPr>
          <w:lang w:val="en-US"/>
        </w:rPr>
        <w:t>Conselho Nacional Seguros Privados e Agência Nacional de Saúde Suplementar;</w:t>
      </w:r>
    </w:p>
    <w:p w14:paraId="18C36BE7" w14:textId="77777777" w:rsidR="00613FF1" w:rsidRPr="00AB1548" w:rsidRDefault="00613FF1" w:rsidP="00613FF1">
      <w:pPr>
        <w:pStyle w:val="PargrafodaLista"/>
        <w:numPr>
          <w:ilvl w:val="0"/>
          <w:numId w:val="49"/>
        </w:numPr>
        <w:contextualSpacing w:val="0"/>
        <w:rPr>
          <w:rFonts w:ascii="Arial" w:hAnsi="Arial"/>
          <w:sz w:val="18"/>
          <w:szCs w:val="20"/>
          <w:lang w:val="en-US" w:eastAsia="zh-CN"/>
        </w:rPr>
      </w:pPr>
      <w:r w:rsidRPr="00AB1548">
        <w:rPr>
          <w:rFonts w:ascii="Arial" w:hAnsi="Arial"/>
          <w:sz w:val="18"/>
          <w:szCs w:val="20"/>
          <w:lang w:val="en-US" w:eastAsia="zh-CN"/>
        </w:rPr>
        <w:t xml:space="preserve">Income Tax and Social Contribution: considered the rates provided by </w:t>
      </w:r>
      <w:r>
        <w:rPr>
          <w:rFonts w:ascii="Arial" w:hAnsi="Arial"/>
          <w:sz w:val="18"/>
          <w:szCs w:val="20"/>
          <w:lang w:val="en-US" w:eastAsia="zh-CN"/>
        </w:rPr>
        <w:t xml:space="preserve">Brazilian </w:t>
      </w:r>
      <w:r w:rsidRPr="00AB1548">
        <w:rPr>
          <w:rFonts w:ascii="Arial" w:hAnsi="Arial"/>
          <w:sz w:val="18"/>
          <w:szCs w:val="20"/>
          <w:lang w:val="en-US" w:eastAsia="zh-CN"/>
        </w:rPr>
        <w:t>law.</w:t>
      </w:r>
    </w:p>
    <w:p w14:paraId="1C0F32F2" w14:textId="77777777" w:rsidR="00613FF1" w:rsidRPr="00AB1548" w:rsidRDefault="00613FF1" w:rsidP="00613FF1">
      <w:pPr>
        <w:pStyle w:val="05-Textonormal"/>
        <w:numPr>
          <w:ilvl w:val="0"/>
          <w:numId w:val="49"/>
        </w:numPr>
        <w:rPr>
          <w:lang w:val="en-US" w:eastAsia="zh-CN"/>
        </w:rPr>
      </w:pPr>
      <w:r w:rsidRPr="00AB1548">
        <w:rPr>
          <w:lang w:val="en-US"/>
        </w:rPr>
        <w:t>Perpetuity: the nominal growth rate corresponding to the expected future long-term investment rate;</w:t>
      </w:r>
    </w:p>
    <w:p w14:paraId="0E221FF8" w14:textId="77777777" w:rsidR="00613FF1" w:rsidRPr="0050295C" w:rsidRDefault="00613FF1" w:rsidP="00613FF1">
      <w:pPr>
        <w:pStyle w:val="05-Textonormal"/>
        <w:numPr>
          <w:ilvl w:val="0"/>
          <w:numId w:val="49"/>
        </w:numPr>
        <w:rPr>
          <w:lang w:val="en-US"/>
        </w:rPr>
      </w:pPr>
      <w:r w:rsidRPr="00AB1548">
        <w:rPr>
          <w:lang w:val="en-US"/>
        </w:rPr>
        <w:t>Discount Rate: in order to define the discount rate, a method to calculate cost of equity was used, given that the invested companies do not have any debt. The rate was calcutaled through the CAPM model (</w:t>
      </w:r>
      <w:r w:rsidRPr="0050295C">
        <w:rPr>
          <w:lang w:val="en-US"/>
        </w:rPr>
        <w:t>Capital Asset Pricing Model</w:t>
      </w:r>
      <w:r w:rsidRPr="00AB1548">
        <w:rPr>
          <w:lang w:val="en-US"/>
        </w:rPr>
        <w:t xml:space="preserve">), which </w:t>
      </w:r>
      <w:r>
        <w:rPr>
          <w:lang w:val="en-US"/>
        </w:rPr>
        <w:t xml:space="preserve">considers </w:t>
      </w:r>
      <w:r w:rsidRPr="00AB1548">
        <w:rPr>
          <w:lang w:val="en-US"/>
        </w:rPr>
        <w:t>the cost of capital relative to the return rate required by the stockholders as compensation for the market risk they are exposed to.</w:t>
      </w:r>
    </w:p>
    <w:p w14:paraId="61683045" w14:textId="608CC114" w:rsidR="000A40F5" w:rsidRDefault="000A40F5" w:rsidP="00FC4475">
      <w:pPr>
        <w:pStyle w:val="Ttulo1"/>
        <w:rPr>
          <w:rFonts w:eastAsiaTheme="majorEastAsia"/>
        </w:rPr>
        <w:sectPr w:rsidR="000A40F5" w:rsidSect="000A40F5">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134" w:right="1134" w:bottom="851" w:left="1134" w:header="851" w:footer="284" w:gutter="0"/>
          <w:cols w:space="708"/>
          <w:docGrid w:linePitch="360"/>
        </w:sectPr>
      </w:pPr>
    </w:p>
    <w:p w14:paraId="1AF3CAB4" w14:textId="77777777" w:rsidR="000A40F5" w:rsidRDefault="000A40F5" w:rsidP="00FC4475">
      <w:pPr>
        <w:pStyle w:val="Ttulo1"/>
        <w:rPr>
          <w:rFonts w:eastAsiaTheme="majorEastAsia"/>
        </w:rPr>
      </w:pPr>
    </w:p>
    <w:p w14:paraId="4AABD943" w14:textId="3CEE730B" w:rsidR="00A4469D" w:rsidRDefault="00A4469D" w:rsidP="00FC4475">
      <w:pPr>
        <w:pStyle w:val="Ttulo1"/>
      </w:pPr>
    </w:p>
    <w:tbl>
      <w:tblPr>
        <w:tblW w:w="5385" w:type="dxa"/>
        <w:tblInd w:w="3118" w:type="dxa"/>
        <w:tblLayout w:type="fixed"/>
        <w:tblCellMar>
          <w:left w:w="113" w:type="dxa"/>
          <w:right w:w="113" w:type="dxa"/>
        </w:tblCellMar>
        <w:tblLook w:val="0000" w:firstRow="0" w:lastRow="0" w:firstColumn="0" w:lastColumn="0" w:noHBand="0" w:noVBand="0"/>
      </w:tblPr>
      <w:tblGrid>
        <w:gridCol w:w="5385"/>
      </w:tblGrid>
      <w:tr w:rsidR="00453406" w:rsidRPr="000F0E2F" w14:paraId="632B6380" w14:textId="77777777" w:rsidTr="00C2519A">
        <w:trPr>
          <w:cantSplit/>
          <w:trHeight w:val="3969"/>
        </w:trPr>
        <w:tc>
          <w:tcPr>
            <w:tcW w:w="5385" w:type="dxa"/>
          </w:tcPr>
          <w:p w14:paraId="3C522F44" w14:textId="77777777" w:rsidR="00453406" w:rsidRPr="00453406" w:rsidRDefault="00453406" w:rsidP="00453406">
            <w:pPr>
              <w:pStyle w:val="Normal1"/>
              <w:widowControl w:val="0"/>
              <w:spacing w:before="60" w:after="200"/>
              <w:ind w:left="0"/>
              <w:jc w:val="left"/>
              <w:rPr>
                <w:rFonts w:asciiTheme="minorHAnsi" w:hAnsiTheme="minorHAnsi" w:cstheme="minorHAnsi"/>
                <w:b/>
                <w:sz w:val="36"/>
                <w:szCs w:val="38"/>
                <w:lang w:val="pt-BR"/>
              </w:rPr>
            </w:pPr>
            <w:r w:rsidRPr="00453406">
              <w:rPr>
                <w:rFonts w:asciiTheme="minorHAnsi" w:hAnsiTheme="minorHAnsi" w:cstheme="minorHAnsi"/>
                <w:b/>
                <w:sz w:val="36"/>
                <w:szCs w:val="38"/>
                <w:lang w:val="pt-BR"/>
              </w:rPr>
              <w:t>BB Seguridade Participações S.A.</w:t>
            </w:r>
          </w:p>
          <w:p w14:paraId="37EC0F62" w14:textId="77777777" w:rsidR="00453406" w:rsidRPr="00453406" w:rsidRDefault="00453406" w:rsidP="00C2519A">
            <w:pPr>
              <w:spacing w:after="0" w:line="240" w:lineRule="auto"/>
              <w:rPr>
                <w:rFonts w:asciiTheme="minorHAnsi" w:hAnsiTheme="minorHAnsi" w:cstheme="minorHAnsi"/>
                <w:lang w:val="en-US"/>
              </w:rPr>
            </w:pPr>
            <w:r w:rsidRPr="00453406">
              <w:rPr>
                <w:rFonts w:asciiTheme="minorHAnsi" w:hAnsiTheme="minorHAnsi" w:cstheme="minorHAnsi"/>
                <w:lang w:val="en-US"/>
              </w:rPr>
              <w:t xml:space="preserve">Individual and Consolidated </w:t>
            </w:r>
            <w:r w:rsidRPr="00453406">
              <w:rPr>
                <w:rFonts w:asciiTheme="minorHAnsi" w:hAnsiTheme="minorHAnsi" w:cstheme="minorHAnsi"/>
                <w:lang w:val="en-US"/>
              </w:rPr>
              <w:br/>
              <w:t>Financial Statements</w:t>
            </w:r>
            <w:r w:rsidRPr="00453406">
              <w:rPr>
                <w:rFonts w:asciiTheme="minorHAnsi" w:hAnsiTheme="minorHAnsi" w:cstheme="minorHAnsi"/>
                <w:lang w:val="en-US"/>
              </w:rPr>
              <w:br/>
              <w:t>for the Year Ended</w:t>
            </w:r>
            <w:r w:rsidRPr="00453406">
              <w:rPr>
                <w:rFonts w:asciiTheme="minorHAnsi" w:hAnsiTheme="minorHAnsi" w:cstheme="minorHAnsi"/>
                <w:lang w:val="en-US"/>
              </w:rPr>
              <w:br/>
              <w:t xml:space="preserve">December 31, 2022 and </w:t>
            </w:r>
            <w:r w:rsidRPr="00453406">
              <w:rPr>
                <w:rFonts w:asciiTheme="minorHAnsi" w:hAnsiTheme="minorHAnsi" w:cstheme="minorHAnsi"/>
                <w:lang w:val="en-US"/>
              </w:rPr>
              <w:br/>
              <w:t>Independent Auditor’s Report</w:t>
            </w:r>
          </w:p>
          <w:p w14:paraId="7616E79C" w14:textId="77777777" w:rsidR="00453406" w:rsidRPr="000F0E2F" w:rsidRDefault="00453406" w:rsidP="00C2519A">
            <w:pPr>
              <w:pStyle w:val="DTT"/>
              <w:widowControl w:val="0"/>
              <w:rPr>
                <w:rFonts w:ascii="Verdana" w:hAnsi="Verdana"/>
                <w:sz w:val="16"/>
                <w:szCs w:val="16"/>
              </w:rPr>
            </w:pPr>
          </w:p>
          <w:p w14:paraId="67C030AC" w14:textId="77777777" w:rsidR="00453406" w:rsidRDefault="00453406" w:rsidP="00C2519A">
            <w:pPr>
              <w:pStyle w:val="DTT"/>
              <w:widowControl w:val="0"/>
              <w:rPr>
                <w:rFonts w:ascii="Verdana" w:hAnsi="Verdana"/>
                <w:sz w:val="16"/>
                <w:szCs w:val="16"/>
              </w:rPr>
            </w:pPr>
          </w:p>
          <w:p w14:paraId="531830FE" w14:textId="77777777" w:rsidR="00453406" w:rsidRDefault="00453406" w:rsidP="00C2519A">
            <w:pPr>
              <w:pStyle w:val="DTT"/>
              <w:widowControl w:val="0"/>
              <w:rPr>
                <w:rFonts w:ascii="Verdana" w:hAnsi="Verdana"/>
                <w:sz w:val="16"/>
                <w:szCs w:val="16"/>
              </w:rPr>
            </w:pPr>
          </w:p>
          <w:p w14:paraId="621C5970" w14:textId="77777777" w:rsidR="00453406" w:rsidRPr="000F0E2F" w:rsidRDefault="00453406" w:rsidP="00C2519A">
            <w:pPr>
              <w:pStyle w:val="DTT"/>
              <w:widowControl w:val="0"/>
              <w:rPr>
                <w:rFonts w:ascii="Verdana" w:hAnsi="Verdana"/>
                <w:sz w:val="16"/>
                <w:szCs w:val="16"/>
              </w:rPr>
            </w:pPr>
          </w:p>
          <w:p w14:paraId="749FFD5E" w14:textId="77777777" w:rsidR="00453406" w:rsidRPr="000F0E2F" w:rsidRDefault="00453406" w:rsidP="00C2519A">
            <w:pPr>
              <w:pStyle w:val="DTT"/>
              <w:widowControl w:val="0"/>
              <w:rPr>
                <w:rFonts w:ascii="Verdana" w:hAnsi="Verdana"/>
                <w:sz w:val="16"/>
                <w:szCs w:val="16"/>
              </w:rPr>
            </w:pPr>
          </w:p>
          <w:p w14:paraId="38C7FDA1" w14:textId="77777777" w:rsidR="00453406" w:rsidRPr="000F0E2F" w:rsidRDefault="00453406" w:rsidP="00C2519A">
            <w:pPr>
              <w:pStyle w:val="DTT"/>
              <w:widowControl w:val="0"/>
              <w:rPr>
                <w:rFonts w:ascii="Verdana" w:hAnsi="Verdana"/>
                <w:sz w:val="16"/>
                <w:szCs w:val="16"/>
              </w:rPr>
            </w:pPr>
          </w:p>
          <w:p w14:paraId="6B59D457" w14:textId="77777777" w:rsidR="00453406" w:rsidRPr="000F0E2F" w:rsidRDefault="00453406" w:rsidP="00C2519A">
            <w:pPr>
              <w:pStyle w:val="DTT"/>
              <w:widowControl w:val="0"/>
              <w:rPr>
                <w:rFonts w:ascii="Verdana" w:hAnsi="Verdana"/>
                <w:sz w:val="16"/>
                <w:szCs w:val="16"/>
              </w:rPr>
            </w:pPr>
          </w:p>
          <w:p w14:paraId="7033F90D" w14:textId="77777777" w:rsidR="00453406" w:rsidRPr="000F0E2F" w:rsidRDefault="00453406" w:rsidP="00C2519A">
            <w:pPr>
              <w:pStyle w:val="DTT"/>
              <w:widowControl w:val="0"/>
              <w:rPr>
                <w:rFonts w:ascii="Verdana" w:hAnsi="Verdana"/>
                <w:sz w:val="16"/>
                <w:szCs w:val="16"/>
              </w:rPr>
            </w:pPr>
          </w:p>
          <w:p w14:paraId="14E653D9" w14:textId="77777777" w:rsidR="00453406" w:rsidRPr="000F0E2F" w:rsidRDefault="00453406" w:rsidP="00C2519A">
            <w:pPr>
              <w:pStyle w:val="DTT"/>
              <w:widowControl w:val="0"/>
              <w:rPr>
                <w:rFonts w:asciiTheme="majorHAnsi" w:hAnsiTheme="majorHAnsi" w:cstheme="majorHAnsi"/>
                <w:szCs w:val="18"/>
              </w:rPr>
            </w:pPr>
            <w:r w:rsidRPr="000F0E2F">
              <w:rPr>
                <w:rFonts w:asciiTheme="minorHAnsi" w:hAnsiTheme="minorHAnsi" w:cstheme="minorHAnsi"/>
                <w:szCs w:val="22"/>
                <w:lang w:val="pt-BR"/>
              </w:rPr>
              <w:t>Deloitte Touche Tohmatsu Auditores Independentes</w:t>
            </w:r>
            <w:r>
              <w:rPr>
                <w:rFonts w:asciiTheme="minorHAnsi" w:hAnsiTheme="minorHAnsi" w:cstheme="minorHAnsi"/>
                <w:szCs w:val="22"/>
                <w:lang w:val="pt-BR"/>
              </w:rPr>
              <w:t xml:space="preserve"> Ltda.</w:t>
            </w:r>
          </w:p>
        </w:tc>
      </w:tr>
    </w:tbl>
    <w:p w14:paraId="12952422" w14:textId="77777777" w:rsidR="00453406" w:rsidRPr="004C6ACC" w:rsidRDefault="00453406" w:rsidP="00453406">
      <w:pPr>
        <w:spacing w:after="0" w:line="240" w:lineRule="auto"/>
        <w:rPr>
          <w:rFonts w:ascii="Verdana" w:eastAsia="Arial" w:hAnsi="Verdana"/>
          <w:b/>
          <w:bCs/>
          <w:sz w:val="20"/>
          <w:szCs w:val="20"/>
        </w:rPr>
        <w:sectPr w:rsidR="00453406" w:rsidRPr="004C6ACC" w:rsidSect="00C35EEA">
          <w:headerReference w:type="even" r:id="rId33"/>
          <w:headerReference w:type="default" r:id="rId34"/>
          <w:footerReference w:type="even" r:id="rId35"/>
          <w:footerReference w:type="default" r:id="rId36"/>
          <w:headerReference w:type="first" r:id="rId37"/>
          <w:footerReference w:type="first" r:id="rId38"/>
          <w:pgSz w:w="11907" w:h="16840" w:code="9"/>
          <w:pgMar w:top="3402" w:right="1134" w:bottom="1134" w:left="1134" w:header="851" w:footer="567" w:gutter="0"/>
          <w:cols w:space="720"/>
          <w:titlePg/>
          <w:docGrid w:linePitch="299"/>
        </w:sectPr>
      </w:pPr>
    </w:p>
    <w:p w14:paraId="7E97DEC6" w14:textId="4AEF6CC1" w:rsidR="00453406" w:rsidRPr="00453406" w:rsidRDefault="00453406" w:rsidP="00453406">
      <w:pPr>
        <w:spacing w:before="1200" w:line="240" w:lineRule="auto"/>
        <w:rPr>
          <w:rFonts w:asciiTheme="minorHAnsi" w:hAnsiTheme="minorHAnsi" w:cstheme="minorHAnsi"/>
          <w:color w:val="000000"/>
          <w:lang w:val="en-US"/>
        </w:rPr>
      </w:pPr>
      <w:r w:rsidRPr="00453406">
        <w:rPr>
          <w:rFonts w:asciiTheme="minorHAnsi" w:hAnsiTheme="minorHAnsi" w:cstheme="minorHAnsi"/>
          <w:color w:val="000000"/>
          <w:lang w:val="en-US"/>
        </w:rPr>
        <w:lastRenderedPageBreak/>
        <w:t>(Convenience Translation into English from the Original Previously Issued in Portuguese)</w:t>
      </w:r>
    </w:p>
    <w:p w14:paraId="234A5B80" w14:textId="77777777" w:rsidR="00453406" w:rsidRPr="00453406" w:rsidRDefault="00453406" w:rsidP="00453406">
      <w:pPr>
        <w:tabs>
          <w:tab w:val="left" w:pos="7688"/>
        </w:tabs>
        <w:spacing w:line="240" w:lineRule="auto"/>
        <w:rPr>
          <w:rFonts w:asciiTheme="minorHAnsi" w:hAnsiTheme="minorHAnsi" w:cstheme="minorHAnsi"/>
          <w:u w:val="single"/>
          <w:lang w:val="en-US"/>
        </w:rPr>
      </w:pPr>
      <w:r w:rsidRPr="00453406">
        <w:rPr>
          <w:rFonts w:asciiTheme="minorHAnsi" w:hAnsiTheme="minorHAnsi" w:cstheme="minorHAnsi"/>
          <w:lang w:val="en-US"/>
        </w:rPr>
        <w:t xml:space="preserve">INDEPENDENT AUDITOR’S REPORT ON THE INDIVIDUAL </w:t>
      </w:r>
      <w:r w:rsidRPr="00453406">
        <w:rPr>
          <w:rFonts w:asciiTheme="minorHAnsi" w:hAnsiTheme="minorHAnsi" w:cstheme="minorHAnsi"/>
          <w:lang w:val="en-US"/>
        </w:rPr>
        <w:br/>
      </w:r>
      <w:r w:rsidRPr="00453406">
        <w:rPr>
          <w:rFonts w:asciiTheme="minorHAnsi" w:hAnsiTheme="minorHAnsi" w:cstheme="minorHAnsi"/>
          <w:u w:val="single"/>
          <w:lang w:val="en-US"/>
        </w:rPr>
        <w:t>AND CONSOLIDATED FINANCIAL STATEMENTS</w:t>
      </w:r>
      <w:r w:rsidRPr="00453406">
        <w:rPr>
          <w:rFonts w:asciiTheme="minorHAnsi" w:hAnsiTheme="minorHAnsi" w:cstheme="minorHAnsi"/>
          <w:lang w:val="en-US"/>
        </w:rPr>
        <w:t xml:space="preserve">                </w:t>
      </w:r>
      <w:r w:rsidRPr="00453406">
        <w:rPr>
          <w:rFonts w:asciiTheme="minorHAnsi" w:eastAsia="Arial" w:hAnsiTheme="minorHAnsi" w:cstheme="minorHAnsi"/>
          <w:bCs/>
          <w:lang w:val="en-US"/>
        </w:rPr>
        <w:t> </w:t>
      </w:r>
    </w:p>
    <w:p w14:paraId="76A503DB" w14:textId="77777777" w:rsidR="00453406" w:rsidRPr="00EF27FA" w:rsidRDefault="00453406" w:rsidP="00453406">
      <w:pPr>
        <w:pStyle w:val="17TEXTOcorpojustificado"/>
        <w:widowControl w:val="0"/>
        <w:spacing w:after="200" w:line="240" w:lineRule="auto"/>
        <w:jc w:val="left"/>
        <w:rPr>
          <w:rFonts w:asciiTheme="minorHAnsi" w:hAnsiTheme="minorHAnsi" w:cstheme="minorHAnsi"/>
          <w:szCs w:val="22"/>
          <w:lang w:val="en-US"/>
        </w:rPr>
      </w:pPr>
      <w:r w:rsidRPr="00EF27FA">
        <w:rPr>
          <w:rFonts w:asciiTheme="minorHAnsi" w:hAnsiTheme="minorHAnsi" w:cstheme="minorHAnsi"/>
          <w:color w:val="000000"/>
          <w:szCs w:val="22"/>
          <w:lang w:val="en-US"/>
        </w:rPr>
        <w:t>To the Management, Members of the Board and Shareholders of</w:t>
      </w:r>
      <w:r w:rsidRPr="00EF27FA">
        <w:rPr>
          <w:rFonts w:asciiTheme="minorHAnsi" w:hAnsiTheme="minorHAnsi" w:cstheme="minorHAnsi"/>
          <w:szCs w:val="22"/>
          <w:lang w:val="en-US"/>
        </w:rPr>
        <w:t xml:space="preserve"> </w:t>
      </w:r>
      <w:r w:rsidRPr="00EF27FA">
        <w:rPr>
          <w:rFonts w:asciiTheme="minorHAnsi" w:hAnsiTheme="minorHAnsi" w:cstheme="minorHAnsi"/>
          <w:szCs w:val="22"/>
          <w:lang w:val="en-US"/>
        </w:rPr>
        <w:br/>
        <w:t>BB Seguridade Participações S.A.</w:t>
      </w:r>
    </w:p>
    <w:p w14:paraId="3391D7E7" w14:textId="77777777" w:rsidR="00453406" w:rsidRPr="00EF27FA" w:rsidRDefault="00453406" w:rsidP="00453406">
      <w:pPr>
        <w:spacing w:line="240" w:lineRule="auto"/>
        <w:rPr>
          <w:rFonts w:asciiTheme="minorHAnsi" w:eastAsia="Arial" w:hAnsiTheme="minorHAnsi" w:cstheme="minorHAnsi"/>
          <w:sz w:val="22"/>
          <w:lang w:val="en-US"/>
        </w:rPr>
      </w:pPr>
      <w:r w:rsidRPr="00EF27FA">
        <w:rPr>
          <w:rFonts w:asciiTheme="minorHAnsi" w:hAnsiTheme="minorHAnsi" w:cstheme="minorHAnsi"/>
          <w:b/>
          <w:sz w:val="22"/>
          <w:lang w:val="en-US"/>
        </w:rPr>
        <w:t>Opinion</w:t>
      </w:r>
    </w:p>
    <w:p w14:paraId="7D148FC2" w14:textId="77777777" w:rsidR="00453406" w:rsidRPr="00EF27FA" w:rsidRDefault="00453406" w:rsidP="00453406">
      <w:pPr>
        <w:pStyle w:val="17TEXTOcorpojustificado"/>
        <w:widowControl w:val="0"/>
        <w:spacing w:after="200" w:line="240" w:lineRule="auto"/>
        <w:jc w:val="left"/>
        <w:rPr>
          <w:rFonts w:asciiTheme="minorHAnsi" w:eastAsia="Calibri" w:hAnsiTheme="minorHAnsi" w:cstheme="minorHAnsi"/>
          <w:szCs w:val="22"/>
          <w:lang w:val="en-US"/>
        </w:rPr>
      </w:pPr>
      <w:r w:rsidRPr="00EF27FA">
        <w:rPr>
          <w:rFonts w:asciiTheme="minorHAnsi" w:hAnsiTheme="minorHAnsi" w:cstheme="minorHAnsi"/>
          <w:szCs w:val="22"/>
          <w:lang w:val="en-US"/>
        </w:rPr>
        <w:t xml:space="preserve">We have audited the accompanying individual and consolidated financial statements of </w:t>
      </w:r>
      <w:r w:rsidRPr="00EF27FA">
        <w:rPr>
          <w:rFonts w:asciiTheme="minorHAnsi" w:eastAsia="Calibri" w:hAnsiTheme="minorHAnsi" w:cstheme="minorHAnsi"/>
          <w:color w:val="000000"/>
          <w:szCs w:val="22"/>
          <w:lang w:val="en-US"/>
        </w:rPr>
        <w:t>BB Seguridade Participações S.A. (“Company”)</w:t>
      </w:r>
      <w:r w:rsidRPr="00EF27FA">
        <w:rPr>
          <w:rFonts w:asciiTheme="minorHAnsi" w:hAnsiTheme="minorHAnsi" w:cstheme="minorHAnsi"/>
          <w:szCs w:val="22"/>
          <w:lang w:val="en-US"/>
        </w:rPr>
        <w:t xml:space="preserve">, </w:t>
      </w:r>
      <w:r w:rsidRPr="00EF27FA">
        <w:rPr>
          <w:rFonts w:asciiTheme="minorHAnsi" w:eastAsia="Calibri" w:hAnsiTheme="minorHAnsi" w:cstheme="minorHAnsi"/>
          <w:color w:val="000000"/>
          <w:szCs w:val="22"/>
          <w:lang w:val="en-US"/>
        </w:rPr>
        <w:t>identified as Parent and Consolidated,</w:t>
      </w:r>
      <w:r w:rsidRPr="00EF27FA">
        <w:rPr>
          <w:rFonts w:asciiTheme="minorHAnsi" w:hAnsiTheme="minorHAnsi" w:cstheme="minorHAnsi"/>
          <w:szCs w:val="22"/>
          <w:lang w:val="en-US"/>
        </w:rPr>
        <w:t xml:space="preserve"> respectively, which comprise the balance sheet as at December 31, 2022, and the related statements of income, of comprehensive income, of changes in equity and of cash flows for the year then ended, and notes to the financial statements, including a summary of significant accounting policies.</w:t>
      </w:r>
    </w:p>
    <w:p w14:paraId="18DBF353" w14:textId="77777777" w:rsidR="00453406" w:rsidRPr="00EF27FA" w:rsidRDefault="00453406" w:rsidP="00453406">
      <w:pPr>
        <w:pStyle w:val="Corpodetexto"/>
        <w:spacing w:after="200"/>
        <w:rPr>
          <w:rFonts w:asciiTheme="minorHAnsi" w:hAnsiTheme="minorHAnsi" w:cstheme="minorHAnsi"/>
          <w:sz w:val="22"/>
          <w:szCs w:val="22"/>
          <w:lang w:val="en-US"/>
        </w:rPr>
      </w:pPr>
      <w:r w:rsidRPr="00EF27FA">
        <w:rPr>
          <w:rFonts w:asciiTheme="minorHAnsi" w:hAnsiTheme="minorHAnsi" w:cstheme="minorHAnsi"/>
          <w:sz w:val="22"/>
          <w:szCs w:val="22"/>
          <w:lang w:val="en-US"/>
        </w:rPr>
        <w:t xml:space="preserve">In our opinion, the individual and consolidated financial statements referred to above present fairly, in all material respects, the individual and consolidated financial position of </w:t>
      </w:r>
      <w:r w:rsidRPr="00EF27FA">
        <w:rPr>
          <w:rFonts w:asciiTheme="minorHAnsi" w:eastAsia="Calibri" w:hAnsiTheme="minorHAnsi" w:cstheme="minorHAnsi"/>
          <w:color w:val="000000"/>
          <w:sz w:val="22"/>
          <w:szCs w:val="22"/>
          <w:lang w:val="en-US"/>
        </w:rPr>
        <w:t xml:space="preserve">BB Seguridade Participações S.A. </w:t>
      </w:r>
      <w:r w:rsidRPr="00EF27FA">
        <w:rPr>
          <w:rFonts w:asciiTheme="minorHAnsi" w:hAnsiTheme="minorHAnsi" w:cstheme="minorHAnsi"/>
          <w:sz w:val="22"/>
          <w:szCs w:val="22"/>
          <w:lang w:val="en-US"/>
        </w:rPr>
        <w:t>as at December 31, 2022, and its individual and consolidated financial performance and its individual and consolidated cash flows for the year then ended in accordance with accounting practices adopted in Brazil and International Financial Reporting Standards - IFRS, as issued by the International Accounting Standards Board - IASB.</w:t>
      </w:r>
    </w:p>
    <w:p w14:paraId="491275B8" w14:textId="77777777" w:rsidR="00453406" w:rsidRPr="00EF27FA" w:rsidRDefault="00453406" w:rsidP="00453406">
      <w:pPr>
        <w:spacing w:line="240" w:lineRule="auto"/>
        <w:rPr>
          <w:rFonts w:asciiTheme="minorHAnsi" w:eastAsia="Arial" w:hAnsiTheme="minorHAnsi" w:cstheme="minorHAnsi"/>
          <w:sz w:val="22"/>
          <w:lang w:val="en-US"/>
        </w:rPr>
      </w:pPr>
      <w:r w:rsidRPr="00EF27FA">
        <w:rPr>
          <w:rFonts w:asciiTheme="minorHAnsi" w:hAnsiTheme="minorHAnsi" w:cstheme="minorHAnsi"/>
          <w:b/>
          <w:sz w:val="22"/>
          <w:lang w:val="en-US"/>
        </w:rPr>
        <w:t>Basis for opinion</w:t>
      </w:r>
    </w:p>
    <w:p w14:paraId="643AE105" w14:textId="77777777" w:rsidR="00453406" w:rsidRPr="00EF27FA" w:rsidRDefault="00453406" w:rsidP="00453406">
      <w:pPr>
        <w:spacing w:line="240" w:lineRule="auto"/>
        <w:rPr>
          <w:rFonts w:asciiTheme="minorHAnsi" w:eastAsia="Arial" w:hAnsiTheme="minorHAnsi" w:cstheme="minorHAnsi"/>
          <w:sz w:val="22"/>
          <w:lang w:val="en-US"/>
        </w:rPr>
      </w:pPr>
      <w:bookmarkStart w:id="68" w:name="_bookmark36"/>
      <w:bookmarkEnd w:id="68"/>
      <w:r w:rsidRPr="00EF27FA">
        <w:rPr>
          <w:rFonts w:asciiTheme="minorHAnsi" w:eastAsia="Arial" w:hAnsiTheme="minorHAnsi" w:cstheme="minorHAnsi"/>
          <w:sz w:val="22"/>
          <w:lang w:val="en-US"/>
        </w:rPr>
        <w:t>We conducted our audit in accordance with Brazilian and International Standards on Auditing.</w:t>
      </w:r>
      <w:r w:rsidRPr="00EF27FA">
        <w:rPr>
          <w:rFonts w:asciiTheme="minorHAnsi" w:hAnsiTheme="minorHAnsi" w:cstheme="minorHAnsi"/>
          <w:sz w:val="22"/>
          <w:lang w:val="en-GB"/>
        </w:rPr>
        <w:t xml:space="preserve"> </w:t>
      </w:r>
      <w:r w:rsidRPr="00EF27FA">
        <w:rPr>
          <w:rFonts w:asciiTheme="minorHAnsi" w:eastAsia="Arial" w:hAnsiTheme="minorHAnsi" w:cstheme="minorHAnsi"/>
          <w:sz w:val="22"/>
          <w:lang w:val="en-US"/>
        </w:rPr>
        <w:t>Our responsibilities under those standards are further described in the “</w:t>
      </w:r>
      <w:r w:rsidRPr="00EF27FA">
        <w:rPr>
          <w:rFonts w:asciiTheme="minorHAnsi" w:hAnsiTheme="minorHAnsi" w:cstheme="minorHAnsi"/>
          <w:sz w:val="22"/>
          <w:lang w:val="en-US"/>
        </w:rPr>
        <w:t xml:space="preserve">Auditor’s responsibilities for the audit of the individual and consolidated financial statements” </w:t>
      </w:r>
      <w:r w:rsidRPr="00EF27FA">
        <w:rPr>
          <w:rFonts w:asciiTheme="minorHAnsi" w:eastAsia="Arial" w:hAnsiTheme="minorHAnsi" w:cstheme="minorHAnsi"/>
          <w:sz w:val="22"/>
          <w:lang w:val="en-US"/>
        </w:rPr>
        <w:t>section of our report.</w:t>
      </w:r>
      <w:r w:rsidRPr="00EF27FA">
        <w:rPr>
          <w:rFonts w:asciiTheme="minorHAnsi" w:hAnsiTheme="minorHAnsi" w:cstheme="minorHAnsi"/>
          <w:sz w:val="22"/>
          <w:lang w:val="en-US"/>
        </w:rPr>
        <w:t xml:space="preserve"> </w:t>
      </w:r>
      <w:r w:rsidRPr="00EF27FA">
        <w:rPr>
          <w:rFonts w:asciiTheme="minorHAnsi" w:eastAsia="Arial" w:hAnsiTheme="minorHAnsi" w:cstheme="minorHAnsi"/>
          <w:sz w:val="22"/>
          <w:lang w:val="en-US"/>
        </w:rPr>
        <w:t>We are independent of the Company and its subsidiaries in accordance with the relevant ethical requirements set out in the Code of Ethics for Professional Accountants and the professional standards issued by the Brazilian Federal Accounting Council (“CFC”), and we have fulfilled our other ethical responsibilities in accordance with these requirements.</w:t>
      </w:r>
      <w:r w:rsidRPr="00EF27FA">
        <w:rPr>
          <w:rFonts w:asciiTheme="minorHAnsi" w:hAnsiTheme="minorHAnsi" w:cstheme="minorHAnsi"/>
          <w:sz w:val="22"/>
          <w:lang w:val="en-US"/>
        </w:rPr>
        <w:t xml:space="preserve"> </w:t>
      </w:r>
      <w:r w:rsidRPr="00EF27FA">
        <w:rPr>
          <w:rFonts w:asciiTheme="minorHAnsi" w:eastAsia="Arial" w:hAnsiTheme="minorHAnsi" w:cstheme="minorHAnsi"/>
          <w:sz w:val="22"/>
          <w:lang w:val="en-US"/>
        </w:rPr>
        <w:t>We believe that the audit evidence we have obtained is sufficient and appropriate to provide a basis for our audit opinion.</w:t>
      </w:r>
    </w:p>
    <w:p w14:paraId="41D75A1A" w14:textId="77777777" w:rsidR="00453406" w:rsidRPr="00EF27FA" w:rsidRDefault="00453406" w:rsidP="00453406">
      <w:pPr>
        <w:spacing w:line="240" w:lineRule="auto"/>
        <w:rPr>
          <w:rFonts w:asciiTheme="minorHAnsi" w:eastAsia="Arial" w:hAnsiTheme="minorHAnsi" w:cstheme="minorHAnsi"/>
          <w:sz w:val="22"/>
          <w:lang w:val="en-US"/>
        </w:rPr>
      </w:pPr>
      <w:r w:rsidRPr="00EF27FA">
        <w:rPr>
          <w:rFonts w:asciiTheme="minorHAnsi" w:hAnsiTheme="minorHAnsi" w:cstheme="minorHAnsi"/>
          <w:b/>
          <w:sz w:val="22"/>
          <w:lang w:val="en-US"/>
        </w:rPr>
        <w:t>Key audit matters</w:t>
      </w:r>
    </w:p>
    <w:p w14:paraId="7DA876C0" w14:textId="77777777" w:rsidR="00453406" w:rsidRPr="00EF27FA" w:rsidRDefault="00453406" w:rsidP="00453406">
      <w:pPr>
        <w:spacing w:line="240" w:lineRule="auto"/>
        <w:rPr>
          <w:rFonts w:asciiTheme="minorHAnsi" w:eastAsia="Arial" w:hAnsiTheme="minorHAnsi" w:cstheme="minorHAnsi"/>
          <w:sz w:val="22"/>
          <w:lang w:val="en-US"/>
        </w:rPr>
      </w:pPr>
      <w:r w:rsidRPr="00EF27FA">
        <w:rPr>
          <w:rFonts w:asciiTheme="minorHAnsi" w:eastAsia="Arial" w:hAnsiTheme="minorHAnsi" w:cstheme="minorHAnsi"/>
          <w:sz w:val="22"/>
          <w:lang w:val="en-US"/>
        </w:rPr>
        <w:t>Key audit matters are those matters that, in our professional judgment, were of most significance in our audit of the financial statements of the current year.</w:t>
      </w:r>
      <w:r w:rsidRPr="00EF27FA">
        <w:rPr>
          <w:rFonts w:asciiTheme="minorHAnsi" w:hAnsiTheme="minorHAnsi" w:cstheme="minorHAnsi"/>
          <w:sz w:val="22"/>
          <w:lang w:val="en-US"/>
        </w:rPr>
        <w:t xml:space="preserve"> </w:t>
      </w:r>
      <w:r w:rsidRPr="00EF27FA">
        <w:rPr>
          <w:rFonts w:asciiTheme="minorHAnsi" w:eastAsia="Arial" w:hAnsiTheme="minorHAnsi" w:cstheme="minorHAnsi"/>
          <w:sz w:val="22"/>
          <w:lang w:val="en-US"/>
        </w:rPr>
        <w:t>These matters were addressed in the context of our audit of the individual and consolidated financial statements as a whole, and in forming our opinion thereon, and we do not provide a separate opinion on these matters.</w:t>
      </w:r>
    </w:p>
    <w:p w14:paraId="42E0A5C0" w14:textId="77777777" w:rsidR="00453406" w:rsidRPr="00453406" w:rsidRDefault="00453406" w:rsidP="00FC4475">
      <w:pPr>
        <w:pStyle w:val="PargrafodaLista"/>
        <w:widowControl w:val="0"/>
        <w:numPr>
          <w:ilvl w:val="0"/>
          <w:numId w:val="52"/>
        </w:numPr>
        <w:spacing w:line="240" w:lineRule="auto"/>
        <w:ind w:left="454" w:hanging="454"/>
        <w:contextualSpacing w:val="0"/>
        <w:rPr>
          <w:rFonts w:ascii="Verdana" w:eastAsia="Arial" w:hAnsi="Verdana"/>
          <w:iCs/>
          <w:sz w:val="20"/>
          <w:szCs w:val="20"/>
          <w:lang w:val="en-US"/>
        </w:rPr>
        <w:sectPr w:rsidR="00453406" w:rsidRPr="00453406" w:rsidSect="007A44FF">
          <w:headerReference w:type="even" r:id="rId39"/>
          <w:headerReference w:type="default" r:id="rId40"/>
          <w:footerReference w:type="even" r:id="rId41"/>
          <w:footerReference w:type="default" r:id="rId42"/>
          <w:type w:val="oddPage"/>
          <w:pgSz w:w="11907" w:h="16840" w:code="9"/>
          <w:pgMar w:top="1701" w:right="1134" w:bottom="1134" w:left="1134" w:header="851" w:footer="567" w:gutter="0"/>
          <w:pgNumType w:start="2"/>
          <w:cols w:space="720"/>
          <w:docGrid w:linePitch="299"/>
        </w:sectPr>
      </w:pPr>
      <w:bookmarkStart w:id="69" w:name="_Hlk15809952"/>
    </w:p>
    <w:p w14:paraId="3465BB97" w14:textId="77777777" w:rsidR="00897CE8" w:rsidRDefault="00897CE8" w:rsidP="00453406">
      <w:pPr>
        <w:spacing w:line="240" w:lineRule="auto"/>
        <w:rPr>
          <w:rFonts w:asciiTheme="minorHAnsi" w:eastAsia="Arial" w:hAnsiTheme="minorHAnsi" w:cstheme="minorHAnsi"/>
          <w:i/>
          <w:iCs/>
          <w:lang w:val="en-US"/>
        </w:rPr>
      </w:pPr>
    </w:p>
    <w:p w14:paraId="3F439649" w14:textId="31E835D3" w:rsidR="00453406" w:rsidRPr="00453406" w:rsidRDefault="00453406" w:rsidP="00453406">
      <w:pPr>
        <w:spacing w:line="240" w:lineRule="auto"/>
        <w:rPr>
          <w:rFonts w:asciiTheme="minorHAnsi" w:hAnsiTheme="minorHAnsi" w:cstheme="minorHAnsi"/>
          <w:i/>
          <w:lang w:val="en-US"/>
        </w:rPr>
      </w:pPr>
      <w:r w:rsidRPr="00453406">
        <w:rPr>
          <w:rFonts w:asciiTheme="minorHAnsi" w:eastAsia="Arial" w:hAnsiTheme="minorHAnsi" w:cstheme="minorHAnsi"/>
          <w:i/>
          <w:iCs/>
          <w:lang w:val="en-US"/>
        </w:rPr>
        <w:t>Commissions income</w:t>
      </w:r>
    </w:p>
    <w:bookmarkEnd w:id="69"/>
    <w:p w14:paraId="1EE938B3" w14:textId="77777777" w:rsidR="00453406" w:rsidRPr="00453406" w:rsidRDefault="00453406" w:rsidP="00897CE8">
      <w:pPr>
        <w:pStyle w:val="PargrafodaLista"/>
        <w:autoSpaceDE w:val="0"/>
        <w:autoSpaceDN w:val="0"/>
        <w:adjustRightInd w:val="0"/>
        <w:ind w:left="0"/>
        <w:rPr>
          <w:rFonts w:eastAsia="Arial" w:cstheme="minorHAnsi"/>
          <w:lang w:val="en-US"/>
        </w:rPr>
      </w:pPr>
      <w:r w:rsidRPr="00453406">
        <w:rPr>
          <w:rFonts w:eastAsia="Arial" w:cstheme="minorHAnsi"/>
          <w:lang w:val="en-US"/>
        </w:rPr>
        <w:t xml:space="preserve">As disclosed in note 4 </w:t>
      </w:r>
      <w:r w:rsidRPr="00453406">
        <w:rPr>
          <w:rFonts w:cstheme="minorHAnsi"/>
          <w:lang w:val="en-US"/>
        </w:rPr>
        <w:t>to the individual and consolidated financial statements,</w:t>
      </w:r>
      <w:r w:rsidRPr="00453406">
        <w:rPr>
          <w:rFonts w:eastAsia="Arial" w:cstheme="minorHAnsi"/>
          <w:lang w:val="en-US"/>
        </w:rPr>
        <w:t xml:space="preserve"> BB Corretora de Seguros e Administradora de Bens S.A. (“BB Corretora”), a direct subsidiary of the Company, records income derived from commissions in accordance with technical pronouncement CPC 47 - Revenue from Contracts with Customers (equivalent to IFRS 15), considering the following steps: (i) identification of the contract; (ii) identification of performance obligations; (iii) determination of the price of the transaction; (iv) transaction price allocation; and (v) revenue recognition. As a result, commissions income is recognized when (or to the extent that) BB Corretora satisfies the performance obligation when transferring the promised service to the customer. </w:t>
      </w:r>
    </w:p>
    <w:p w14:paraId="7430FE1F" w14:textId="77777777" w:rsidR="00453406" w:rsidRPr="00453406" w:rsidRDefault="00453406" w:rsidP="00897CE8">
      <w:pPr>
        <w:pStyle w:val="PargrafodaLista"/>
        <w:autoSpaceDE w:val="0"/>
        <w:autoSpaceDN w:val="0"/>
        <w:adjustRightInd w:val="0"/>
        <w:ind w:left="0"/>
        <w:rPr>
          <w:rFonts w:eastAsia="Arial" w:cstheme="minorHAnsi"/>
          <w:lang w:val="en-US"/>
        </w:rPr>
      </w:pPr>
      <w:r w:rsidRPr="00453406">
        <w:rPr>
          <w:rFonts w:eastAsia="Arial" w:cstheme="minorHAnsi"/>
          <w:lang w:val="en-US"/>
        </w:rPr>
        <w:t xml:space="preserve">Mainly due to the relevance of commissions income for the </w:t>
      </w:r>
      <w:r w:rsidRPr="00453406">
        <w:rPr>
          <w:rFonts w:cstheme="minorHAnsi"/>
          <w:lang w:val="en-US"/>
        </w:rPr>
        <w:t xml:space="preserve">consolidated </w:t>
      </w:r>
      <w:r w:rsidRPr="00453406">
        <w:rPr>
          <w:rFonts w:eastAsia="Arial" w:cstheme="minorHAnsi"/>
          <w:lang w:val="en-US"/>
        </w:rPr>
        <w:t>financial statements, the variety of the commercialized products and the quantity of transactions carried out, we consider the existence of a significant risk in commissions income, and, consequently, a key audit matter.</w:t>
      </w:r>
    </w:p>
    <w:p w14:paraId="1691D5F6" w14:textId="77777777" w:rsidR="00453406" w:rsidRPr="00453406" w:rsidRDefault="00453406" w:rsidP="00897CE8">
      <w:pPr>
        <w:pStyle w:val="PargrafodaLista"/>
        <w:autoSpaceDE w:val="0"/>
        <w:autoSpaceDN w:val="0"/>
        <w:adjustRightInd w:val="0"/>
        <w:ind w:left="0"/>
        <w:rPr>
          <w:rFonts w:eastAsia="Arial" w:cstheme="minorHAnsi"/>
          <w:lang w:val="en-US"/>
        </w:rPr>
      </w:pPr>
      <w:r w:rsidRPr="00453406">
        <w:rPr>
          <w:rFonts w:eastAsia="Arial" w:cstheme="minorHAnsi"/>
          <w:lang w:val="en-US"/>
        </w:rPr>
        <w:t>We evaluated the design and the implementation of the key internal control activities related to the process of recognizing commissions income and tested its operational effectiveness, with the support of our information technology specialists. We performed the following main substantive audit procedures for a sample of transactions: (i) verification of the occurrence of the transactions by consulting the legacy systems of Banco do Brasil S.A. and verifying their financial settlement; (ii) reading of the operational agreements between BB Corretora, Banco do Brasil S.A. and operating companies, the Company’s indirect investees, to assess whether the commission rates charged for the selected transactions were the rates agreed between the parties; and (iii) verification of the calculation of the appropriation of commissions income in accordance with the concepts of technical pronouncement CPC 47 (IFRS 15). Additionally, we send confirmation letters to the main operating companies, the Company’s indirect investees, to confirm the commissions income for the year ended December 31, 2022 and performed the verification of the appropriateness of the related disclosures in the accompanying notes.</w:t>
      </w:r>
    </w:p>
    <w:p w14:paraId="73CA0B04" w14:textId="77777777" w:rsidR="00453406" w:rsidRPr="00453406" w:rsidRDefault="00453406" w:rsidP="00897CE8">
      <w:pPr>
        <w:pStyle w:val="PargrafodaLista"/>
        <w:autoSpaceDE w:val="0"/>
        <w:autoSpaceDN w:val="0"/>
        <w:adjustRightInd w:val="0"/>
        <w:ind w:left="0"/>
        <w:rPr>
          <w:rFonts w:eastAsia="Arial" w:cstheme="minorHAnsi"/>
          <w:lang w:val="en-US"/>
        </w:rPr>
      </w:pPr>
      <w:r w:rsidRPr="00453406">
        <w:rPr>
          <w:rFonts w:eastAsia="Arial" w:cstheme="minorHAnsi"/>
          <w:lang w:val="en-US"/>
        </w:rPr>
        <w:t>As a result of these the audit procedures performed, we identified not significant internal control deficiencies related to the process for commissions income recognition and adjustments that have not been recorded by the Company, as they were considered immaterial.</w:t>
      </w:r>
    </w:p>
    <w:p w14:paraId="291591B0" w14:textId="77777777" w:rsidR="00453406" w:rsidRPr="00453406" w:rsidRDefault="00453406" w:rsidP="00897CE8">
      <w:pPr>
        <w:pStyle w:val="PargrafodaLista"/>
        <w:autoSpaceDE w:val="0"/>
        <w:autoSpaceDN w:val="0"/>
        <w:adjustRightInd w:val="0"/>
        <w:ind w:left="0"/>
        <w:rPr>
          <w:rFonts w:eastAsia="Arial" w:cstheme="minorHAnsi"/>
          <w:lang w:val="en-US"/>
        </w:rPr>
      </w:pPr>
      <w:r w:rsidRPr="00453406">
        <w:rPr>
          <w:rFonts w:eastAsia="Arial" w:cstheme="minorHAnsi"/>
          <w:lang w:val="en-US"/>
        </w:rPr>
        <w:t>Based on the audit evidence obtained, we considered that the capture, processing, recording and related disclosures relating to the recognition of commissions income are acceptable in the context of the financial statements taken as a whole.</w:t>
      </w:r>
    </w:p>
    <w:p w14:paraId="2B79F5E7" w14:textId="77777777" w:rsidR="00897CE8" w:rsidRDefault="00897CE8" w:rsidP="00897CE8">
      <w:pPr>
        <w:pStyle w:val="PargrafodaLista"/>
        <w:autoSpaceDE w:val="0"/>
        <w:autoSpaceDN w:val="0"/>
        <w:adjustRightInd w:val="0"/>
        <w:ind w:left="0"/>
        <w:rPr>
          <w:rFonts w:cstheme="minorHAnsi"/>
          <w:b/>
          <w:bCs/>
          <w:lang w:val="en-US"/>
        </w:rPr>
      </w:pPr>
    </w:p>
    <w:p w14:paraId="3B82E2E1" w14:textId="2D798F44" w:rsidR="00453406" w:rsidRPr="00453406" w:rsidRDefault="00453406" w:rsidP="00897CE8">
      <w:pPr>
        <w:pStyle w:val="PargrafodaLista"/>
        <w:autoSpaceDE w:val="0"/>
        <w:autoSpaceDN w:val="0"/>
        <w:adjustRightInd w:val="0"/>
        <w:ind w:left="0"/>
        <w:rPr>
          <w:rFonts w:cstheme="minorHAnsi"/>
          <w:b/>
          <w:lang w:val="en-US"/>
        </w:rPr>
      </w:pPr>
      <w:r w:rsidRPr="00453406">
        <w:rPr>
          <w:rFonts w:cstheme="minorHAnsi"/>
          <w:b/>
          <w:bCs/>
          <w:lang w:val="en-US"/>
        </w:rPr>
        <w:t>Other matters</w:t>
      </w:r>
    </w:p>
    <w:p w14:paraId="2746B8B1" w14:textId="77777777" w:rsidR="00453406" w:rsidRPr="00897CE8" w:rsidRDefault="00453406" w:rsidP="00453406">
      <w:pPr>
        <w:spacing w:line="240" w:lineRule="auto"/>
        <w:rPr>
          <w:rFonts w:asciiTheme="minorHAnsi" w:hAnsiTheme="minorHAnsi" w:cstheme="minorHAnsi"/>
          <w:i/>
          <w:iCs/>
          <w:sz w:val="22"/>
          <w:szCs w:val="28"/>
          <w:lang w:val="en-US" w:eastAsia="pt-BR"/>
        </w:rPr>
      </w:pPr>
      <w:r w:rsidRPr="00897CE8">
        <w:rPr>
          <w:rFonts w:asciiTheme="minorHAnsi" w:hAnsiTheme="minorHAnsi" w:cstheme="minorHAnsi"/>
          <w:i/>
          <w:iCs/>
          <w:color w:val="000000"/>
          <w:sz w:val="22"/>
          <w:szCs w:val="28"/>
          <w:lang w:val="en-US" w:eastAsia="pt-BR"/>
        </w:rPr>
        <w:t>Statements of value added</w:t>
      </w:r>
    </w:p>
    <w:p w14:paraId="5F2827CE" w14:textId="77777777" w:rsidR="00453406" w:rsidRPr="00897CE8" w:rsidRDefault="00453406" w:rsidP="00453406">
      <w:pPr>
        <w:spacing w:line="240" w:lineRule="auto"/>
        <w:rPr>
          <w:rFonts w:asciiTheme="minorHAnsi" w:hAnsiTheme="minorHAnsi" w:cstheme="minorHAnsi"/>
          <w:sz w:val="22"/>
          <w:szCs w:val="28"/>
          <w:lang w:val="en-US" w:eastAsia="pt-BR"/>
        </w:rPr>
      </w:pPr>
      <w:r w:rsidRPr="00897CE8">
        <w:rPr>
          <w:rFonts w:asciiTheme="minorHAnsi" w:hAnsiTheme="minorHAnsi" w:cstheme="minorHAnsi"/>
          <w:color w:val="000000"/>
          <w:sz w:val="22"/>
          <w:szCs w:val="28"/>
          <w:lang w:val="en-US" w:eastAsia="pt-BR"/>
        </w:rPr>
        <w:t>The individual and consolidated statements of value added (“DVA”) for the year ended December 31, 2022, prepared under the responsibility of the Company’s Management and disclosed as supplemental information for IFRS purposes, were subject to audit procedures performed together with the audit of the Company’s financial statements.</w:t>
      </w:r>
      <w:r w:rsidRPr="00897CE8">
        <w:rPr>
          <w:rFonts w:asciiTheme="minorHAnsi" w:hAnsiTheme="minorHAnsi" w:cstheme="minorHAnsi"/>
          <w:sz w:val="22"/>
          <w:szCs w:val="28"/>
          <w:lang w:val="en-US"/>
        </w:rPr>
        <w:t xml:space="preserve"> </w:t>
      </w:r>
      <w:r w:rsidRPr="00897CE8">
        <w:rPr>
          <w:rFonts w:asciiTheme="minorHAnsi" w:hAnsiTheme="minorHAnsi" w:cstheme="minorHAnsi"/>
          <w:color w:val="000000"/>
          <w:sz w:val="22"/>
          <w:szCs w:val="28"/>
          <w:lang w:val="en-US" w:eastAsia="pt-BR"/>
        </w:rPr>
        <w:t>In forming our opinion, we evaluated whether these individual and consolidated statements of value added are reconciled with the financial statements and accounting records, as applicable, and whether their form and content are in accordance with the criteria set out in technical pronouncement CPC 09 - Statement of Value Added.</w:t>
      </w:r>
      <w:r w:rsidRPr="00897CE8">
        <w:rPr>
          <w:rFonts w:asciiTheme="minorHAnsi" w:hAnsiTheme="minorHAnsi" w:cstheme="minorHAnsi"/>
          <w:sz w:val="22"/>
          <w:szCs w:val="28"/>
          <w:lang w:val="en-US"/>
        </w:rPr>
        <w:t xml:space="preserve"> </w:t>
      </w:r>
      <w:r w:rsidRPr="00897CE8">
        <w:rPr>
          <w:rFonts w:asciiTheme="minorHAnsi" w:hAnsiTheme="minorHAnsi" w:cstheme="minorHAnsi"/>
          <w:color w:val="000000"/>
          <w:sz w:val="22"/>
          <w:szCs w:val="28"/>
          <w:lang w:val="en-US" w:eastAsia="pt-BR"/>
        </w:rPr>
        <w:t>In our opinion, these statements of value added were appropriately prepared, in all material respects, in accordance with the criteria set out in such technical pronouncement and are consistent in relation to the individual and consolidated financial statements taken as a whole.</w:t>
      </w:r>
    </w:p>
    <w:p w14:paraId="228BEAF2" w14:textId="77777777" w:rsidR="00453406" w:rsidRPr="00453406" w:rsidRDefault="00453406" w:rsidP="00453406">
      <w:pPr>
        <w:spacing w:after="0" w:line="240" w:lineRule="auto"/>
        <w:rPr>
          <w:rFonts w:asciiTheme="minorHAnsi" w:hAnsiTheme="minorHAnsi" w:cstheme="minorHAnsi"/>
          <w:b/>
          <w:bCs/>
          <w:lang w:val="en-US"/>
        </w:rPr>
      </w:pPr>
      <w:r w:rsidRPr="00453406">
        <w:rPr>
          <w:rFonts w:asciiTheme="minorHAnsi" w:hAnsiTheme="minorHAnsi" w:cstheme="minorHAnsi"/>
          <w:b/>
          <w:bCs/>
          <w:lang w:val="en-US"/>
        </w:rPr>
        <w:br w:type="page"/>
      </w:r>
    </w:p>
    <w:p w14:paraId="6CC108F9" w14:textId="77777777" w:rsidR="00453406" w:rsidRPr="00897CE8" w:rsidRDefault="00453406" w:rsidP="00453406">
      <w:pPr>
        <w:spacing w:line="240" w:lineRule="auto"/>
        <w:rPr>
          <w:rFonts w:asciiTheme="minorHAnsi" w:hAnsiTheme="minorHAnsi" w:cstheme="minorHAnsi"/>
          <w:b/>
          <w:bCs/>
          <w:sz w:val="22"/>
          <w:lang w:val="en-US"/>
        </w:rPr>
      </w:pPr>
      <w:r w:rsidRPr="00897CE8">
        <w:rPr>
          <w:rFonts w:asciiTheme="minorHAnsi" w:hAnsiTheme="minorHAnsi" w:cstheme="minorHAnsi"/>
          <w:b/>
          <w:bCs/>
          <w:sz w:val="22"/>
          <w:lang w:val="en-US"/>
        </w:rPr>
        <w:lastRenderedPageBreak/>
        <w:t>Other information accompanying the individual and consolidated</w:t>
      </w:r>
      <w:r w:rsidRPr="00897CE8">
        <w:rPr>
          <w:rFonts w:asciiTheme="minorHAnsi" w:hAnsiTheme="minorHAnsi" w:cstheme="minorHAnsi"/>
          <w:b/>
          <w:bCs/>
          <w:sz w:val="22"/>
          <w:lang w:val="en-US"/>
        </w:rPr>
        <w:br/>
        <w:t>financial statements and the independent auditor’s report</w:t>
      </w:r>
    </w:p>
    <w:p w14:paraId="4482281A" w14:textId="77777777" w:rsidR="00453406" w:rsidRPr="00897CE8" w:rsidRDefault="00453406" w:rsidP="00453406">
      <w:pPr>
        <w:spacing w:line="240" w:lineRule="auto"/>
        <w:rPr>
          <w:rFonts w:asciiTheme="minorHAnsi" w:eastAsia="Arial" w:hAnsiTheme="minorHAnsi" w:cstheme="minorHAnsi"/>
          <w:sz w:val="22"/>
          <w:lang w:val="en-US"/>
        </w:rPr>
      </w:pPr>
      <w:r w:rsidRPr="00897CE8">
        <w:rPr>
          <w:rFonts w:asciiTheme="minorHAnsi" w:eastAsia="Arial" w:hAnsiTheme="minorHAnsi" w:cstheme="minorHAnsi"/>
          <w:sz w:val="22"/>
          <w:lang w:val="en-US"/>
        </w:rPr>
        <w:t>The Board of Directors is responsible for the other information. Such other information comprises the Management Report.</w:t>
      </w:r>
    </w:p>
    <w:p w14:paraId="504939CC" w14:textId="77777777" w:rsidR="00453406" w:rsidRPr="00897CE8" w:rsidRDefault="00453406" w:rsidP="00453406">
      <w:pPr>
        <w:spacing w:line="240" w:lineRule="auto"/>
        <w:rPr>
          <w:rFonts w:asciiTheme="minorHAnsi" w:eastAsia="Arial" w:hAnsiTheme="minorHAnsi" w:cstheme="minorHAnsi"/>
          <w:sz w:val="22"/>
          <w:lang w:val="en-US"/>
        </w:rPr>
      </w:pPr>
      <w:r w:rsidRPr="00897CE8">
        <w:rPr>
          <w:rFonts w:asciiTheme="minorHAnsi" w:eastAsia="Arial" w:hAnsiTheme="minorHAnsi" w:cstheme="minorHAnsi"/>
          <w:sz w:val="22"/>
          <w:lang w:val="en-US"/>
        </w:rPr>
        <w:t>Our opinion on the individual and consolidated financial statements does not cover the Management Report, and we do not express any form of audit conclusion thereon.</w:t>
      </w:r>
    </w:p>
    <w:p w14:paraId="243B2479" w14:textId="77777777" w:rsidR="00453406" w:rsidRPr="00897CE8" w:rsidRDefault="00453406" w:rsidP="00453406">
      <w:pPr>
        <w:spacing w:line="240" w:lineRule="auto"/>
        <w:rPr>
          <w:rFonts w:asciiTheme="minorHAnsi" w:eastAsia="Arial" w:hAnsiTheme="minorHAnsi" w:cstheme="minorHAnsi"/>
          <w:sz w:val="22"/>
          <w:lang w:val="en-US"/>
        </w:rPr>
      </w:pPr>
      <w:r w:rsidRPr="00897CE8">
        <w:rPr>
          <w:rFonts w:asciiTheme="minorHAnsi" w:eastAsia="Arial" w:hAnsiTheme="minorHAnsi" w:cstheme="minorHAnsi"/>
          <w:sz w:val="22"/>
          <w:lang w:val="en-US"/>
        </w:rPr>
        <w:t>In connection with our audit of the individual and consolidated financial statements, our responsibility is to read the Management Report and, in doing so, consider whether this report is materially inconsistent with the financial statements or our knowledge obtained in the audit or otherwise appears to be materially misstated.</w:t>
      </w:r>
      <w:r w:rsidRPr="00897CE8">
        <w:rPr>
          <w:rFonts w:asciiTheme="minorHAnsi" w:hAnsiTheme="minorHAnsi" w:cstheme="minorHAnsi"/>
          <w:sz w:val="22"/>
          <w:lang w:val="en-US"/>
        </w:rPr>
        <w:t xml:space="preserve"> </w:t>
      </w:r>
      <w:r w:rsidRPr="00897CE8">
        <w:rPr>
          <w:rFonts w:asciiTheme="minorHAnsi" w:eastAsia="Arial" w:hAnsiTheme="minorHAnsi" w:cstheme="minorHAnsi"/>
          <w:sz w:val="22"/>
          <w:lang w:val="en-US"/>
        </w:rPr>
        <w:t>If, based on the work we have performed, we conclude that there is a material misstatement in the Management Report, we are required to report that fact.</w:t>
      </w:r>
      <w:r w:rsidRPr="00897CE8">
        <w:rPr>
          <w:rFonts w:asciiTheme="minorHAnsi" w:hAnsiTheme="minorHAnsi" w:cstheme="minorHAnsi"/>
          <w:sz w:val="22"/>
          <w:lang w:val="en-US"/>
        </w:rPr>
        <w:t xml:space="preserve"> </w:t>
      </w:r>
      <w:r w:rsidRPr="00897CE8">
        <w:rPr>
          <w:rFonts w:asciiTheme="minorHAnsi" w:eastAsia="Arial" w:hAnsiTheme="minorHAnsi" w:cstheme="minorHAnsi"/>
          <w:sz w:val="22"/>
          <w:lang w:val="en-US"/>
        </w:rPr>
        <w:t>We have nothing to report in this regard.</w:t>
      </w:r>
    </w:p>
    <w:p w14:paraId="0BF2F5E0" w14:textId="77777777" w:rsidR="00453406" w:rsidRPr="00897CE8" w:rsidRDefault="00453406" w:rsidP="00453406">
      <w:pPr>
        <w:spacing w:line="240" w:lineRule="auto"/>
        <w:rPr>
          <w:rFonts w:asciiTheme="minorHAnsi" w:hAnsiTheme="minorHAnsi" w:cstheme="minorHAnsi"/>
          <w:b/>
          <w:sz w:val="22"/>
          <w:lang w:val="en-US"/>
        </w:rPr>
      </w:pPr>
      <w:r w:rsidRPr="00897CE8">
        <w:rPr>
          <w:rFonts w:asciiTheme="minorHAnsi" w:hAnsiTheme="minorHAnsi" w:cstheme="minorHAnsi"/>
          <w:b/>
          <w:bCs/>
          <w:sz w:val="22"/>
          <w:lang w:val="en-US"/>
        </w:rPr>
        <w:t>Responsibilities of the Board of Directors and those charged with governance for</w:t>
      </w:r>
      <w:r w:rsidRPr="00897CE8">
        <w:rPr>
          <w:rFonts w:asciiTheme="minorHAnsi" w:hAnsiTheme="minorHAnsi" w:cstheme="minorHAnsi"/>
          <w:b/>
          <w:bCs/>
          <w:sz w:val="22"/>
          <w:lang w:val="en-US"/>
        </w:rPr>
        <w:br/>
        <w:t>the individual and consolidated financial statements</w:t>
      </w:r>
    </w:p>
    <w:p w14:paraId="02CF4388" w14:textId="77777777" w:rsidR="00453406" w:rsidRPr="00897CE8" w:rsidRDefault="00453406" w:rsidP="00453406">
      <w:pPr>
        <w:spacing w:line="240" w:lineRule="auto"/>
        <w:rPr>
          <w:rFonts w:asciiTheme="minorHAnsi" w:hAnsiTheme="minorHAnsi" w:cstheme="minorHAnsi"/>
          <w:sz w:val="22"/>
          <w:lang w:val="en-US"/>
        </w:rPr>
      </w:pPr>
      <w:r w:rsidRPr="00897CE8">
        <w:rPr>
          <w:rFonts w:asciiTheme="minorHAnsi" w:hAnsiTheme="minorHAnsi" w:cstheme="minorHAnsi"/>
          <w:sz w:val="22"/>
          <w:lang w:val="en-US"/>
        </w:rPr>
        <w:t>The Board of Directors is responsible for the preparation and fair presentation of the individual and consolidated financial statements in accordance with accounting practices adopted in Brazil and IFRS, as issued by IASB, and for such internal control as the Board of Directors determines is necessary to enable the preparation of financial statements that are free from material misstatement, whether due to fraud or error.</w:t>
      </w:r>
    </w:p>
    <w:p w14:paraId="645E71E0" w14:textId="77777777" w:rsidR="00453406" w:rsidRPr="00897CE8" w:rsidRDefault="00453406" w:rsidP="00453406">
      <w:pPr>
        <w:spacing w:line="240" w:lineRule="auto"/>
        <w:rPr>
          <w:rFonts w:asciiTheme="minorHAnsi" w:hAnsiTheme="minorHAnsi" w:cstheme="minorHAnsi"/>
          <w:sz w:val="22"/>
          <w:lang w:val="en-US"/>
        </w:rPr>
      </w:pPr>
      <w:r w:rsidRPr="00897CE8">
        <w:rPr>
          <w:rFonts w:asciiTheme="minorHAnsi" w:hAnsiTheme="minorHAnsi" w:cstheme="minorHAnsi"/>
          <w:sz w:val="22"/>
          <w:lang w:val="en-US"/>
        </w:rPr>
        <w:t>In preparing the individual and consolidated financial statements, the Board of Directors is responsible for assessing the Company’s ability to continue as a going concern, disclosing, as applicable, matters related to going concern and using the going concern basis of accounting unless the Board of Directors either intends to liquidate the Company and its subsidiaries or to cease operations, or has no realistic alternative but to do so.</w:t>
      </w:r>
    </w:p>
    <w:p w14:paraId="1643846F" w14:textId="77777777" w:rsidR="00453406" w:rsidRPr="00897CE8" w:rsidRDefault="00453406" w:rsidP="00453406">
      <w:pPr>
        <w:spacing w:line="240" w:lineRule="auto"/>
        <w:rPr>
          <w:rFonts w:asciiTheme="minorHAnsi" w:hAnsiTheme="minorHAnsi" w:cstheme="minorHAnsi"/>
          <w:sz w:val="22"/>
          <w:lang w:val="en-US"/>
        </w:rPr>
      </w:pPr>
      <w:r w:rsidRPr="00897CE8">
        <w:rPr>
          <w:rFonts w:asciiTheme="minorHAnsi" w:hAnsiTheme="minorHAnsi" w:cstheme="minorHAnsi"/>
          <w:sz w:val="22"/>
          <w:lang w:val="en-US"/>
        </w:rPr>
        <w:t>Those charged with governance are responsible for overseeing the Company’s and its subsidiaries’ financial reporting process.</w:t>
      </w:r>
    </w:p>
    <w:p w14:paraId="373C4993" w14:textId="77777777" w:rsidR="00453406" w:rsidRPr="00897CE8" w:rsidRDefault="00453406" w:rsidP="00453406">
      <w:pPr>
        <w:spacing w:line="240" w:lineRule="auto"/>
        <w:rPr>
          <w:rFonts w:asciiTheme="minorHAnsi" w:eastAsia="Arial" w:hAnsiTheme="minorHAnsi" w:cstheme="minorHAnsi"/>
          <w:b/>
          <w:bCs/>
          <w:sz w:val="22"/>
          <w:lang w:val="en-US"/>
        </w:rPr>
      </w:pPr>
      <w:r w:rsidRPr="00897CE8">
        <w:rPr>
          <w:rFonts w:asciiTheme="minorHAnsi" w:eastAsia="Arial" w:hAnsiTheme="minorHAnsi" w:cstheme="minorHAnsi"/>
          <w:b/>
          <w:bCs/>
          <w:sz w:val="22"/>
          <w:lang w:val="en-US"/>
        </w:rPr>
        <w:t>Auditor’s responsibilities for the audit of the individual and consolidated</w:t>
      </w:r>
      <w:r w:rsidRPr="00897CE8">
        <w:rPr>
          <w:rFonts w:asciiTheme="minorHAnsi" w:eastAsia="Arial" w:hAnsiTheme="minorHAnsi" w:cstheme="minorHAnsi"/>
          <w:b/>
          <w:bCs/>
          <w:sz w:val="22"/>
          <w:lang w:val="en-US"/>
        </w:rPr>
        <w:br/>
        <w:t>financial statements</w:t>
      </w:r>
    </w:p>
    <w:p w14:paraId="1EDF6F89" w14:textId="77777777" w:rsidR="00453406" w:rsidRPr="00897CE8" w:rsidRDefault="00453406" w:rsidP="00453406">
      <w:pPr>
        <w:spacing w:line="240" w:lineRule="auto"/>
        <w:rPr>
          <w:rFonts w:asciiTheme="minorHAnsi" w:eastAsia="Arial" w:hAnsiTheme="minorHAnsi" w:cstheme="minorHAnsi"/>
          <w:bCs/>
          <w:sz w:val="22"/>
          <w:lang w:val="en-US"/>
        </w:rPr>
      </w:pPr>
      <w:r w:rsidRPr="00897CE8">
        <w:rPr>
          <w:rFonts w:asciiTheme="minorHAnsi" w:eastAsia="Arial" w:hAnsiTheme="minorHAnsi" w:cstheme="minorHAnsi"/>
          <w:bCs/>
          <w:sz w:val="22"/>
          <w:lang w:val="en-US"/>
        </w:rPr>
        <w:t>Our objectives are to obtain reasonable assurance about whether the individual and consolidated financial statements as a whole are free from material misstatement, whether due to fraud or error, and to issue an auditor’s report that includes our opinion.</w:t>
      </w:r>
      <w:r w:rsidRPr="00897CE8">
        <w:rPr>
          <w:rFonts w:asciiTheme="minorHAnsi" w:hAnsiTheme="minorHAnsi" w:cstheme="minorHAnsi"/>
          <w:sz w:val="22"/>
          <w:lang w:val="en-GB"/>
        </w:rPr>
        <w:t xml:space="preserve"> </w:t>
      </w:r>
      <w:r w:rsidRPr="00897CE8">
        <w:rPr>
          <w:rFonts w:asciiTheme="minorHAnsi" w:eastAsia="Arial" w:hAnsiTheme="minorHAnsi" w:cstheme="minorHAnsi"/>
          <w:bCs/>
          <w:sz w:val="22"/>
          <w:lang w:val="en-US"/>
        </w:rPr>
        <w:t>Reasonable assurance is a high level of assurance, but is not a guarantee that an audit conducted in accordance with Brazilian and International Standards on Auditing will always detect a material misstatement when it exists.</w:t>
      </w:r>
      <w:r w:rsidRPr="00897CE8">
        <w:rPr>
          <w:rFonts w:asciiTheme="minorHAnsi" w:hAnsiTheme="minorHAnsi" w:cstheme="minorHAnsi"/>
          <w:sz w:val="22"/>
          <w:lang w:val="en-GB"/>
        </w:rPr>
        <w:t xml:space="preserve"> </w:t>
      </w:r>
      <w:r w:rsidRPr="00897CE8">
        <w:rPr>
          <w:rFonts w:asciiTheme="minorHAnsi" w:eastAsia="Arial" w:hAnsiTheme="minorHAnsi" w:cstheme="minorHAnsi"/>
          <w:bCs/>
          <w:sz w:val="22"/>
          <w:lang w:val="en-US"/>
        </w:rPr>
        <w:t>Misstatements can arise from fraud or error and are considered material if, individually or in the aggregate, they could reasonably be expected to influence the economic decisions of users taken on the basis of these financial statements.</w:t>
      </w:r>
    </w:p>
    <w:p w14:paraId="7CC69A28" w14:textId="77777777" w:rsidR="00453406" w:rsidRPr="00897CE8" w:rsidRDefault="00453406" w:rsidP="00453406">
      <w:pPr>
        <w:spacing w:line="240" w:lineRule="auto"/>
        <w:rPr>
          <w:rFonts w:asciiTheme="minorHAnsi" w:hAnsiTheme="minorHAnsi" w:cstheme="minorHAnsi"/>
          <w:sz w:val="22"/>
        </w:rPr>
      </w:pPr>
      <w:r w:rsidRPr="00897CE8">
        <w:rPr>
          <w:rFonts w:asciiTheme="minorHAnsi" w:eastAsia="Arial" w:hAnsiTheme="minorHAnsi" w:cstheme="minorHAnsi"/>
          <w:bCs/>
          <w:iCs/>
          <w:sz w:val="22"/>
          <w:lang w:val="en-US"/>
        </w:rPr>
        <w:t>As part of an audit in accordance with Brazilian and International Standards on Auditing, we exercise professional judgment and maintain professional skepticism throughout the audit.</w:t>
      </w:r>
      <w:r w:rsidRPr="00897CE8">
        <w:rPr>
          <w:rFonts w:asciiTheme="minorHAnsi" w:hAnsiTheme="minorHAnsi" w:cstheme="minorHAnsi"/>
          <w:sz w:val="22"/>
          <w:lang w:val="en-US"/>
        </w:rPr>
        <w:t xml:space="preserve"> </w:t>
      </w:r>
      <w:r w:rsidRPr="00897CE8">
        <w:rPr>
          <w:rFonts w:asciiTheme="minorHAnsi" w:eastAsia="Arial" w:hAnsiTheme="minorHAnsi" w:cstheme="minorHAnsi"/>
          <w:bCs/>
          <w:iCs/>
          <w:sz w:val="22"/>
        </w:rPr>
        <w:t>We also:</w:t>
      </w:r>
    </w:p>
    <w:p w14:paraId="6A14E3FE" w14:textId="77777777" w:rsidR="00453406" w:rsidRPr="00897CE8" w:rsidRDefault="00453406" w:rsidP="00FC4475">
      <w:pPr>
        <w:pStyle w:val="PargrafodaLista"/>
        <w:widowControl w:val="0"/>
        <w:numPr>
          <w:ilvl w:val="0"/>
          <w:numId w:val="51"/>
        </w:numPr>
        <w:spacing w:line="240" w:lineRule="auto"/>
        <w:ind w:left="284" w:hanging="284"/>
        <w:contextualSpacing w:val="0"/>
        <w:rPr>
          <w:rFonts w:cstheme="minorHAnsi"/>
          <w:lang w:val="en-US"/>
        </w:rPr>
      </w:pPr>
      <w:r w:rsidRPr="00897CE8">
        <w:rPr>
          <w:rFonts w:cstheme="minorHAnsi"/>
          <w:iCs/>
          <w:lang w:val="en-US"/>
        </w:rPr>
        <w:t>Identify and assess the risks of material misstatement of the individual and consolidated financial statements, whether due to fraud or error, design and perform audit procedures responsive to those risks, and obtain audit evidence that is sufficient and appropriate to provide a basis for our opinion.</w:t>
      </w:r>
      <w:r w:rsidRPr="00897CE8">
        <w:rPr>
          <w:rFonts w:cstheme="minorHAnsi"/>
          <w:lang w:val="en-US"/>
        </w:rPr>
        <w:t xml:space="preserve"> The risk of not detecting a material misstatement resulting from fraud is higher than for one resulting from error, as fraud may involve collusion, forgery, intentional omissions, misrepresentations, or the override of internal control.</w:t>
      </w:r>
    </w:p>
    <w:p w14:paraId="3E7B8408" w14:textId="77777777" w:rsidR="00453406" w:rsidRPr="00453406" w:rsidRDefault="00453406" w:rsidP="00453406">
      <w:pPr>
        <w:spacing w:after="0" w:line="240" w:lineRule="auto"/>
        <w:rPr>
          <w:rFonts w:asciiTheme="minorHAnsi" w:hAnsiTheme="minorHAnsi" w:cstheme="minorHAnsi"/>
          <w:lang w:val="en-US"/>
        </w:rPr>
      </w:pPr>
      <w:r w:rsidRPr="00453406">
        <w:rPr>
          <w:rFonts w:asciiTheme="minorHAnsi" w:hAnsiTheme="minorHAnsi" w:cstheme="minorHAnsi"/>
          <w:lang w:val="en-US"/>
        </w:rPr>
        <w:br w:type="page"/>
      </w:r>
    </w:p>
    <w:p w14:paraId="2384EAF1" w14:textId="77777777" w:rsidR="00453406" w:rsidRPr="00897CE8" w:rsidRDefault="00453406" w:rsidP="00FC4475">
      <w:pPr>
        <w:pStyle w:val="PargrafodaLista"/>
        <w:widowControl w:val="0"/>
        <w:numPr>
          <w:ilvl w:val="0"/>
          <w:numId w:val="51"/>
        </w:numPr>
        <w:spacing w:line="240" w:lineRule="auto"/>
        <w:ind w:left="284" w:hanging="284"/>
        <w:contextualSpacing w:val="0"/>
        <w:rPr>
          <w:rFonts w:cstheme="minorHAnsi"/>
          <w:lang w:val="en-US"/>
        </w:rPr>
      </w:pPr>
      <w:r w:rsidRPr="00897CE8">
        <w:rPr>
          <w:rFonts w:cstheme="minorHAnsi"/>
          <w:lang w:val="en-US"/>
        </w:rPr>
        <w:lastRenderedPageBreak/>
        <w:t>Obtain an understanding of internal control relevant to the audit in order to design audit procedures that are appropriate in the circumstances, but not for the purpose of expressing an opinion on the effectiveness of the internal control of the Company and its subsidiaries.</w:t>
      </w:r>
    </w:p>
    <w:p w14:paraId="3D35F6B1" w14:textId="77777777" w:rsidR="00453406" w:rsidRPr="00897CE8" w:rsidRDefault="00453406" w:rsidP="00FC4475">
      <w:pPr>
        <w:pStyle w:val="PargrafodaLista"/>
        <w:widowControl w:val="0"/>
        <w:numPr>
          <w:ilvl w:val="0"/>
          <w:numId w:val="51"/>
        </w:numPr>
        <w:spacing w:line="240" w:lineRule="auto"/>
        <w:ind w:left="284" w:hanging="284"/>
        <w:contextualSpacing w:val="0"/>
        <w:rPr>
          <w:rFonts w:cstheme="minorHAnsi"/>
          <w:lang w:val="en-US"/>
        </w:rPr>
      </w:pPr>
      <w:r w:rsidRPr="00897CE8">
        <w:rPr>
          <w:rFonts w:cstheme="minorHAnsi"/>
          <w:lang w:val="en-US"/>
        </w:rPr>
        <w:t>Evaluate the appropriateness of accounting policies used and the reasonableness of accounting estimates and related disclosures made by the Board of Directors.</w:t>
      </w:r>
    </w:p>
    <w:p w14:paraId="5A45C7A8" w14:textId="77777777" w:rsidR="00453406" w:rsidRPr="00897CE8" w:rsidRDefault="00453406" w:rsidP="00FC4475">
      <w:pPr>
        <w:pStyle w:val="PargrafodaLista"/>
        <w:widowControl w:val="0"/>
        <w:numPr>
          <w:ilvl w:val="0"/>
          <w:numId w:val="51"/>
        </w:numPr>
        <w:spacing w:line="240" w:lineRule="auto"/>
        <w:ind w:left="284" w:hanging="284"/>
        <w:contextualSpacing w:val="0"/>
        <w:rPr>
          <w:rFonts w:cstheme="minorHAnsi"/>
          <w:kern w:val="8"/>
          <w:lang w:val="en-US"/>
        </w:rPr>
      </w:pPr>
      <w:r w:rsidRPr="00897CE8">
        <w:rPr>
          <w:rFonts w:cstheme="minorHAnsi"/>
          <w:iCs/>
          <w:lang w:val="en-US"/>
        </w:rPr>
        <w:t xml:space="preserve">Conclude on the appropriateness of the </w:t>
      </w:r>
      <w:r w:rsidRPr="00897CE8">
        <w:rPr>
          <w:rFonts w:cstheme="minorHAnsi"/>
          <w:lang w:val="en-US"/>
        </w:rPr>
        <w:t xml:space="preserve">Board’s </w:t>
      </w:r>
      <w:r w:rsidRPr="00897CE8">
        <w:rPr>
          <w:rFonts w:cstheme="minorHAnsi"/>
          <w:iCs/>
          <w:lang w:val="en-US"/>
        </w:rPr>
        <w:t>use of the going concern basis of accounting and, based on the audit evidence obtained, whether a material uncertainty exists related to events or conditions that may cast significant doubt on the ability of the Company and its subsidiaries to continue as a going concern.</w:t>
      </w:r>
      <w:r w:rsidRPr="00897CE8">
        <w:rPr>
          <w:rFonts w:cstheme="minorHAnsi"/>
          <w:lang w:val="en-US"/>
        </w:rPr>
        <w:t xml:space="preserve"> If we conclude that a material uncertainty exists, we are required to draw attention in our auditor’s report to the related disclosures in the individual and consolidated financial statements or, if such disclosures are inadequate, to modify our opinion. </w:t>
      </w:r>
      <w:r w:rsidRPr="00897CE8">
        <w:rPr>
          <w:rFonts w:cstheme="minorHAnsi"/>
          <w:kern w:val="8"/>
          <w:lang w:val="en-US"/>
        </w:rPr>
        <w:t>Our conclusions are based on the audit evidence obtained up to the date of our auditor’s report.</w:t>
      </w:r>
      <w:r w:rsidRPr="00897CE8">
        <w:rPr>
          <w:rFonts w:cstheme="minorHAnsi"/>
          <w:lang w:val="en-US"/>
        </w:rPr>
        <w:t xml:space="preserve"> </w:t>
      </w:r>
      <w:r w:rsidRPr="00897CE8">
        <w:rPr>
          <w:rFonts w:cstheme="minorHAnsi"/>
          <w:iCs/>
          <w:lang w:val="en-US"/>
        </w:rPr>
        <w:t>However, future events or conditions may cause the Company and its subsidiaries to cease to continue as a going concern.</w:t>
      </w:r>
    </w:p>
    <w:p w14:paraId="42094C53" w14:textId="77777777" w:rsidR="00453406" w:rsidRPr="00897CE8" w:rsidRDefault="00453406" w:rsidP="00FC4475">
      <w:pPr>
        <w:pStyle w:val="PargrafodaLista"/>
        <w:widowControl w:val="0"/>
        <w:numPr>
          <w:ilvl w:val="0"/>
          <w:numId w:val="51"/>
        </w:numPr>
        <w:spacing w:line="240" w:lineRule="auto"/>
        <w:ind w:left="284" w:hanging="284"/>
        <w:contextualSpacing w:val="0"/>
        <w:rPr>
          <w:rFonts w:cstheme="minorHAnsi"/>
          <w:lang w:val="en-US"/>
        </w:rPr>
      </w:pPr>
      <w:r w:rsidRPr="00897CE8">
        <w:rPr>
          <w:rFonts w:cstheme="minorHAnsi"/>
          <w:lang w:val="en-US"/>
        </w:rPr>
        <w:t>Evaluate the overall presentation, structure and content of the financial statements, including the disclosures, and whether the individual and consolidated financial statements represent the underlying transactions and events in a manner that achieves fair presentation.</w:t>
      </w:r>
    </w:p>
    <w:p w14:paraId="79C1F340" w14:textId="77777777" w:rsidR="00453406" w:rsidRPr="00897CE8" w:rsidRDefault="00453406" w:rsidP="00FC4475">
      <w:pPr>
        <w:pStyle w:val="PargrafodaLista"/>
        <w:widowControl w:val="0"/>
        <w:numPr>
          <w:ilvl w:val="0"/>
          <w:numId w:val="51"/>
        </w:numPr>
        <w:spacing w:line="240" w:lineRule="auto"/>
        <w:ind w:left="284" w:hanging="284"/>
        <w:contextualSpacing w:val="0"/>
        <w:rPr>
          <w:rFonts w:cstheme="minorHAnsi"/>
          <w:lang w:val="en-GB"/>
        </w:rPr>
      </w:pPr>
      <w:r w:rsidRPr="00897CE8">
        <w:rPr>
          <w:rFonts w:cstheme="minorHAnsi"/>
          <w:lang w:val="en-US"/>
        </w:rPr>
        <w:t xml:space="preserve">Obtain sufficient appropriate audit evidence regarding the financial information of the entities or business activities within the Group to express an opinion on the consolidated financial statements. We are responsible for the direction, supervision and performance of the Group audit. </w:t>
      </w:r>
      <w:r w:rsidRPr="00897CE8">
        <w:rPr>
          <w:rFonts w:cstheme="minorHAnsi"/>
        </w:rPr>
        <w:t>We remain solely responsible for our audit opinion.</w:t>
      </w:r>
    </w:p>
    <w:p w14:paraId="209DDC0F" w14:textId="77777777" w:rsidR="00453406" w:rsidRPr="00897CE8" w:rsidRDefault="00453406" w:rsidP="00453406">
      <w:pPr>
        <w:spacing w:line="240" w:lineRule="auto"/>
        <w:rPr>
          <w:rFonts w:asciiTheme="minorHAnsi" w:hAnsiTheme="minorHAnsi" w:cstheme="minorHAnsi"/>
          <w:sz w:val="22"/>
          <w:lang w:val="en-US"/>
        </w:rPr>
      </w:pPr>
      <w:r w:rsidRPr="00897CE8">
        <w:rPr>
          <w:rFonts w:asciiTheme="minorHAnsi" w:hAnsiTheme="minorHAnsi" w:cstheme="minorHAnsi"/>
          <w:sz w:val="22"/>
          <w:lang w:val="en-US"/>
        </w:rPr>
        <w:t>We communicate with those charged with governance regarding, among other matters, the planned scope and timing of the audit and significant audit findings, including any significant deficiencies in internal control that we identify during our audit.</w:t>
      </w:r>
    </w:p>
    <w:p w14:paraId="630FDE06" w14:textId="77777777" w:rsidR="00453406" w:rsidRPr="00897CE8" w:rsidRDefault="00453406" w:rsidP="00453406">
      <w:pPr>
        <w:spacing w:line="240" w:lineRule="auto"/>
        <w:rPr>
          <w:rFonts w:asciiTheme="minorHAnsi" w:hAnsiTheme="minorHAnsi" w:cstheme="minorHAnsi"/>
          <w:spacing w:val="-4"/>
          <w:kern w:val="8"/>
          <w:sz w:val="22"/>
          <w:lang w:val="en-US"/>
        </w:rPr>
      </w:pPr>
      <w:r w:rsidRPr="00897CE8">
        <w:rPr>
          <w:rFonts w:asciiTheme="minorHAnsi" w:hAnsiTheme="minorHAnsi" w:cstheme="minorHAnsi"/>
          <w:sz w:val="22"/>
          <w:lang w:val="en-US"/>
        </w:rPr>
        <w:t>We also provide those charged with governance with a statement that we have complied with relevant ethical requirements regarding independence and communicate with them all relationships and other matters that may reasonably be thought to bear on our independence, and, when applicable, related safeguards.</w:t>
      </w:r>
    </w:p>
    <w:p w14:paraId="72C57D52" w14:textId="77777777" w:rsidR="00453406" w:rsidRPr="00897CE8" w:rsidRDefault="00453406" w:rsidP="00453406">
      <w:pPr>
        <w:spacing w:line="240" w:lineRule="auto"/>
        <w:rPr>
          <w:rFonts w:asciiTheme="minorHAnsi" w:hAnsiTheme="minorHAnsi" w:cstheme="minorHAnsi"/>
          <w:sz w:val="22"/>
          <w:lang w:val="en-US"/>
        </w:rPr>
      </w:pPr>
      <w:r w:rsidRPr="00897CE8">
        <w:rPr>
          <w:rFonts w:asciiTheme="minorHAnsi" w:hAnsiTheme="minorHAnsi" w:cstheme="minorHAnsi"/>
          <w:sz w:val="22"/>
          <w:lang w:val="en-US"/>
        </w:rPr>
        <w:t>From the matters communicated with those charged with governance, we determine those matters that were of most significance in the audit of the financial statements of the current year and are therefore the key audit matters.</w:t>
      </w:r>
      <w:r w:rsidRPr="00897CE8">
        <w:rPr>
          <w:rFonts w:asciiTheme="minorHAnsi" w:hAnsiTheme="minorHAnsi" w:cstheme="minorHAnsi"/>
          <w:sz w:val="22"/>
          <w:lang w:val="en-GB"/>
        </w:rPr>
        <w:t xml:space="preserve"> </w:t>
      </w:r>
      <w:r w:rsidRPr="00897CE8">
        <w:rPr>
          <w:rFonts w:asciiTheme="minorHAnsi" w:hAnsiTheme="minorHAnsi" w:cstheme="minorHAnsi"/>
          <w:sz w:val="22"/>
          <w:lang w:val="en-US"/>
        </w:rPr>
        <w:t>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p>
    <w:p w14:paraId="1D659745" w14:textId="77777777" w:rsidR="00453406" w:rsidRPr="00897CE8" w:rsidRDefault="00453406" w:rsidP="00453406">
      <w:pPr>
        <w:spacing w:line="240" w:lineRule="auto"/>
        <w:rPr>
          <w:rFonts w:asciiTheme="minorHAnsi" w:hAnsiTheme="minorHAnsi" w:cstheme="minorHAnsi"/>
          <w:sz w:val="22"/>
          <w:lang w:val="en-US"/>
        </w:rPr>
      </w:pPr>
      <w:r w:rsidRPr="00897CE8">
        <w:rPr>
          <w:rFonts w:asciiTheme="minorHAnsi" w:hAnsiTheme="minorHAnsi" w:cstheme="minorHAnsi"/>
          <w:sz w:val="22"/>
          <w:lang w:val="en-US"/>
        </w:rPr>
        <w:t>The accompanying individual and consolidated financial statements have been translated into English for the convenience of readers outside Brazil.</w:t>
      </w:r>
    </w:p>
    <w:p w14:paraId="5D68FBDF" w14:textId="77777777" w:rsidR="00453406" w:rsidRPr="00897CE8" w:rsidRDefault="00453406" w:rsidP="00453406">
      <w:pPr>
        <w:spacing w:after="600" w:line="240" w:lineRule="auto"/>
        <w:rPr>
          <w:rFonts w:asciiTheme="minorHAnsi" w:hAnsiTheme="minorHAnsi" w:cstheme="minorHAnsi"/>
          <w:sz w:val="22"/>
        </w:rPr>
      </w:pPr>
      <w:r w:rsidRPr="00897CE8">
        <w:rPr>
          <w:rFonts w:asciiTheme="minorHAnsi" w:hAnsiTheme="minorHAnsi" w:cstheme="minorHAnsi"/>
          <w:sz w:val="22"/>
        </w:rPr>
        <w:t>Brasília, February 8, 2023</w:t>
      </w:r>
    </w:p>
    <w:tbl>
      <w:tblPr>
        <w:tblW w:w="9752" w:type="dxa"/>
        <w:tblInd w:w="-113" w:type="dxa"/>
        <w:tblLayout w:type="fixed"/>
        <w:tblCellMar>
          <w:left w:w="113" w:type="dxa"/>
          <w:right w:w="113" w:type="dxa"/>
        </w:tblCellMar>
        <w:tblLook w:val="04A0" w:firstRow="1" w:lastRow="0" w:firstColumn="1" w:lastColumn="0" w:noHBand="0" w:noVBand="1"/>
      </w:tblPr>
      <w:tblGrid>
        <w:gridCol w:w="6350"/>
        <w:gridCol w:w="3402"/>
      </w:tblGrid>
      <w:tr w:rsidR="00453406" w:rsidRPr="007B0E9C" w14:paraId="28F4ABBE" w14:textId="77777777" w:rsidTr="00C2519A">
        <w:tc>
          <w:tcPr>
            <w:tcW w:w="6350" w:type="dxa"/>
            <w:shd w:val="clear" w:color="auto" w:fill="FFFFFF" w:themeFill="background1"/>
          </w:tcPr>
          <w:p w14:paraId="1F9370A2" w14:textId="77777777" w:rsidR="00453406" w:rsidRPr="007B0E9C" w:rsidRDefault="00453406" w:rsidP="00C2519A">
            <w:pPr>
              <w:spacing w:after="0" w:line="240" w:lineRule="auto"/>
              <w:rPr>
                <w:rFonts w:asciiTheme="minorHAnsi" w:hAnsiTheme="minorHAnsi" w:cstheme="minorHAnsi"/>
              </w:rPr>
            </w:pPr>
            <w:r w:rsidRPr="007B0E9C">
              <w:rPr>
                <w:rFonts w:asciiTheme="minorHAnsi" w:hAnsiTheme="minorHAnsi" w:cstheme="minorHAnsi"/>
              </w:rPr>
              <w:t>DELOITTE TOUCHE TOHMATSU</w:t>
            </w:r>
          </w:p>
        </w:tc>
        <w:tc>
          <w:tcPr>
            <w:tcW w:w="3402" w:type="dxa"/>
            <w:shd w:val="clear" w:color="auto" w:fill="FFFFFF" w:themeFill="background1"/>
          </w:tcPr>
          <w:p w14:paraId="7654A96D" w14:textId="77777777" w:rsidR="00453406" w:rsidRPr="007B0E9C" w:rsidRDefault="00453406" w:rsidP="00C2519A">
            <w:pPr>
              <w:spacing w:after="0" w:line="240" w:lineRule="auto"/>
              <w:rPr>
                <w:rFonts w:asciiTheme="minorHAnsi" w:hAnsiTheme="minorHAnsi" w:cstheme="minorHAnsi"/>
              </w:rPr>
            </w:pPr>
            <w:r w:rsidRPr="007B0E9C">
              <w:rPr>
                <w:rFonts w:asciiTheme="minorHAnsi" w:hAnsiTheme="minorHAnsi" w:cstheme="minorHAnsi"/>
                <w:color w:val="000000"/>
              </w:rPr>
              <w:t>Roberto Paulo Kenedi</w:t>
            </w:r>
          </w:p>
        </w:tc>
      </w:tr>
      <w:tr w:rsidR="00453406" w:rsidRPr="007B0E9C" w14:paraId="2D7DE4A1" w14:textId="77777777" w:rsidTr="00C2519A">
        <w:tc>
          <w:tcPr>
            <w:tcW w:w="6350" w:type="dxa"/>
            <w:shd w:val="clear" w:color="auto" w:fill="FFFFFF" w:themeFill="background1"/>
          </w:tcPr>
          <w:p w14:paraId="4D6D564A" w14:textId="77777777" w:rsidR="00453406" w:rsidRPr="007B0E9C" w:rsidRDefault="00453406" w:rsidP="00C2519A">
            <w:pPr>
              <w:spacing w:after="0" w:line="240" w:lineRule="auto"/>
              <w:rPr>
                <w:rFonts w:asciiTheme="minorHAnsi" w:hAnsiTheme="minorHAnsi" w:cstheme="minorHAnsi"/>
              </w:rPr>
            </w:pPr>
            <w:r w:rsidRPr="007B0E9C">
              <w:rPr>
                <w:rFonts w:asciiTheme="minorHAnsi" w:hAnsiTheme="minorHAnsi" w:cstheme="minorHAnsi"/>
              </w:rPr>
              <w:t>Auditores Independentes</w:t>
            </w:r>
            <w:r>
              <w:rPr>
                <w:rFonts w:asciiTheme="minorHAnsi" w:hAnsiTheme="minorHAnsi" w:cstheme="minorHAnsi"/>
              </w:rPr>
              <w:t xml:space="preserve"> Ltda.</w:t>
            </w:r>
          </w:p>
        </w:tc>
        <w:tc>
          <w:tcPr>
            <w:tcW w:w="3402" w:type="dxa"/>
            <w:shd w:val="clear" w:color="auto" w:fill="FFFFFF" w:themeFill="background1"/>
          </w:tcPr>
          <w:p w14:paraId="76942C8C" w14:textId="77777777" w:rsidR="00453406" w:rsidRPr="007B0E9C" w:rsidRDefault="00453406" w:rsidP="00C2519A">
            <w:pPr>
              <w:spacing w:after="0" w:line="240" w:lineRule="auto"/>
              <w:rPr>
                <w:rFonts w:asciiTheme="minorHAnsi" w:hAnsiTheme="minorHAnsi" w:cstheme="minorHAnsi"/>
              </w:rPr>
            </w:pPr>
            <w:r w:rsidRPr="007B0E9C">
              <w:rPr>
                <w:rFonts w:asciiTheme="minorHAnsi" w:hAnsiTheme="minorHAnsi" w:cstheme="minorHAnsi"/>
              </w:rPr>
              <w:t>Engagement Partner</w:t>
            </w:r>
          </w:p>
        </w:tc>
      </w:tr>
    </w:tbl>
    <w:p w14:paraId="51B8D25F" w14:textId="77777777" w:rsidR="00453406" w:rsidRPr="007B0E9C" w:rsidRDefault="00453406" w:rsidP="00453406">
      <w:pPr>
        <w:spacing w:after="0" w:line="240" w:lineRule="auto"/>
        <w:rPr>
          <w:rFonts w:asciiTheme="minorHAnsi" w:hAnsiTheme="minorHAnsi" w:cstheme="minorHAnsi"/>
        </w:rPr>
      </w:pPr>
    </w:p>
    <w:p w14:paraId="3A6B7734" w14:textId="77777777" w:rsidR="00453406" w:rsidRPr="007B0E9C" w:rsidRDefault="00453406" w:rsidP="00453406">
      <w:pPr>
        <w:tabs>
          <w:tab w:val="left" w:pos="5330"/>
        </w:tabs>
        <w:spacing w:after="0"/>
        <w:rPr>
          <w:rFonts w:asciiTheme="minorHAnsi" w:hAnsiTheme="minorHAnsi" w:cstheme="minorHAnsi"/>
        </w:rPr>
      </w:pPr>
      <w:r>
        <w:rPr>
          <w:rFonts w:asciiTheme="minorHAnsi" w:hAnsiTheme="minorHAnsi" w:cstheme="minorHAnsi"/>
        </w:rPr>
        <w:tab/>
      </w:r>
    </w:p>
    <w:p w14:paraId="47C8E6EC" w14:textId="77777777" w:rsidR="00453406" w:rsidRPr="007B0E9C" w:rsidRDefault="00453406" w:rsidP="00453406">
      <w:pPr>
        <w:spacing w:after="0" w:line="240" w:lineRule="auto"/>
        <w:rPr>
          <w:rFonts w:asciiTheme="minorHAnsi" w:hAnsiTheme="minorHAnsi" w:cstheme="minorHAnsi"/>
        </w:rPr>
      </w:pPr>
    </w:p>
    <w:p w14:paraId="215607C0" w14:textId="77777777" w:rsidR="00453406" w:rsidRDefault="00453406" w:rsidP="00FC4475">
      <w:pPr>
        <w:pStyle w:val="Ttulo1"/>
        <w:rPr>
          <w:rFonts w:eastAsiaTheme="minorHAnsi"/>
        </w:rPr>
        <w:sectPr w:rsidR="00453406" w:rsidSect="00A4469D">
          <w:headerReference w:type="default" r:id="rId43"/>
          <w:footerReference w:type="default" r:id="rId44"/>
          <w:pgSz w:w="11906" w:h="16838" w:code="9"/>
          <w:pgMar w:top="1134" w:right="1134" w:bottom="851" w:left="1134" w:header="851" w:footer="284" w:gutter="0"/>
          <w:cols w:space="708"/>
          <w:docGrid w:linePitch="360"/>
        </w:sectPr>
      </w:pPr>
    </w:p>
    <w:p w14:paraId="19F08BDF" w14:textId="50EAF383" w:rsidR="00FC159F" w:rsidRPr="00A1055F" w:rsidRDefault="00FC159F" w:rsidP="00FC4475">
      <w:pPr>
        <w:pStyle w:val="Ttulo1"/>
      </w:pPr>
      <w:bookmarkStart w:id="70" w:name="_Toc126781119"/>
      <w:bookmarkStart w:id="71" w:name="_Toc126780800"/>
      <w:bookmarkStart w:id="72" w:name="_Toc126779224"/>
      <w:bookmarkStart w:id="73" w:name="_Toc126778510"/>
      <w:bookmarkStart w:id="74" w:name="_Toc126778870"/>
      <w:r w:rsidRPr="00A1055F">
        <w:lastRenderedPageBreak/>
        <w:t>AUDIT COMMITTEE REPORT SUMMARY - FISCAL YEAR 2022</w:t>
      </w:r>
      <w:bookmarkEnd w:id="70"/>
      <w:bookmarkEnd w:id="71"/>
      <w:bookmarkEnd w:id="72"/>
      <w:bookmarkEnd w:id="73"/>
      <w:bookmarkEnd w:id="74"/>
    </w:p>
    <w:p w14:paraId="3C3298EB" w14:textId="77777777" w:rsidR="00FC159F" w:rsidRPr="00A1055F" w:rsidRDefault="00FC159F" w:rsidP="005C2DF1">
      <w:pPr>
        <w:spacing w:before="240" w:after="240" w:line="276" w:lineRule="auto"/>
        <w:jc w:val="both"/>
        <w:rPr>
          <w:rFonts w:cs="Arial"/>
          <w:b/>
          <w:bCs/>
          <w:color w:val="1F4E79" w:themeColor="accent1" w:themeShade="80"/>
          <w:szCs w:val="20"/>
          <w:lang w:val="en-US"/>
        </w:rPr>
      </w:pPr>
      <w:r w:rsidRPr="00A1055F">
        <w:rPr>
          <w:rFonts w:cs="Arial"/>
          <w:b/>
          <w:bCs/>
          <w:color w:val="1F4E79" w:themeColor="accent1" w:themeShade="80"/>
          <w:szCs w:val="20"/>
          <w:lang w:val="en-US"/>
        </w:rPr>
        <w:t xml:space="preserve">Introduction </w:t>
      </w:r>
    </w:p>
    <w:p w14:paraId="7C213DF8" w14:textId="6AA5EDDA" w:rsidR="00FC159F" w:rsidRPr="00A1055F" w:rsidRDefault="00FC159F" w:rsidP="005C2DF1">
      <w:pPr>
        <w:spacing w:before="80" w:after="80" w:line="276" w:lineRule="auto"/>
        <w:ind w:firstLine="851"/>
        <w:jc w:val="both"/>
        <w:rPr>
          <w:rFonts w:cs="Arial"/>
          <w:bCs/>
          <w:color w:val="000000" w:themeColor="text1"/>
          <w:szCs w:val="20"/>
          <w:lang w:val="en-US"/>
        </w:rPr>
      </w:pPr>
      <w:r w:rsidRPr="00A1055F">
        <w:rPr>
          <w:rFonts w:cs="Arial"/>
          <w:bCs/>
          <w:color w:val="000000" w:themeColor="text1"/>
          <w:szCs w:val="20"/>
          <w:lang w:val="en-US"/>
        </w:rPr>
        <w:t xml:space="preserve">The Audit Committee was installed at BB Seguridade Participações S. A. in 2015. It is a statutory body to advise the Board of Directors, acting permanently and independently and with the objective function to evaluate and advise on the quality and integrity of the financial statements of the Company and the effectiveness of the system of internal control and Internal Auditing; the role of the External Auditor; and the risk exposures of the Company and the adequacy of related party transactions. The By-laws of the Committee, approved by the Board of directors, are available at the website </w:t>
      </w:r>
      <w:r w:rsidRPr="00C74FB3">
        <w:rPr>
          <w:rFonts w:cs="Arial"/>
          <w:bCs/>
          <w:szCs w:val="20"/>
          <w:lang w:val="en-US"/>
        </w:rPr>
        <w:t>https://www.bbseguridaderi.com.br/en/sustainability-and-governance/management-and-committees/</w:t>
      </w:r>
      <w:r w:rsidRPr="00A1055F">
        <w:rPr>
          <w:rFonts w:cs="Arial"/>
          <w:bCs/>
          <w:color w:val="000000" w:themeColor="text1"/>
          <w:szCs w:val="20"/>
          <w:lang w:val="en-US"/>
        </w:rPr>
        <w:t>.</w:t>
      </w:r>
    </w:p>
    <w:p w14:paraId="225341B1" w14:textId="77777777" w:rsidR="00FC159F" w:rsidRPr="00A1055F" w:rsidRDefault="00FC159F" w:rsidP="005C2DF1">
      <w:pPr>
        <w:spacing w:before="80" w:after="80" w:line="276" w:lineRule="auto"/>
        <w:ind w:firstLine="851"/>
        <w:jc w:val="both"/>
        <w:rPr>
          <w:rFonts w:cs="Arial"/>
          <w:bCs/>
          <w:color w:val="000000" w:themeColor="text1"/>
          <w:szCs w:val="20"/>
          <w:lang w:val="en-US"/>
        </w:rPr>
      </w:pPr>
      <w:r w:rsidRPr="00A1055F">
        <w:rPr>
          <w:rFonts w:cs="Arial"/>
          <w:bCs/>
          <w:color w:val="000000" w:themeColor="text1"/>
          <w:szCs w:val="20"/>
          <w:lang w:val="en-US"/>
        </w:rPr>
        <w:t>As provided in the By-laws, from the adoption of the affiliated companies to the sole Audit Committee, the composition became up to five (05) members, being one (01) appointed by the representatives of the minorities, one (01) independent member of the Board of Directors and the other holders, three (03), appointed by the other members of the Board of Directors.</w:t>
      </w:r>
    </w:p>
    <w:p w14:paraId="6F0BDAAC" w14:textId="77777777" w:rsidR="00FC159F" w:rsidRPr="00A1055F" w:rsidRDefault="00FC159F" w:rsidP="005C2DF1">
      <w:pPr>
        <w:spacing w:before="80" w:after="80" w:line="276" w:lineRule="auto"/>
        <w:ind w:firstLine="851"/>
        <w:jc w:val="both"/>
        <w:rPr>
          <w:rFonts w:cs="Arial"/>
          <w:bCs/>
          <w:color w:val="000000" w:themeColor="text1"/>
          <w:szCs w:val="20"/>
          <w:lang w:val="en-US"/>
        </w:rPr>
      </w:pPr>
      <w:r w:rsidRPr="00A1055F">
        <w:rPr>
          <w:rFonts w:cs="Arial"/>
          <w:bCs/>
          <w:color w:val="000000" w:themeColor="text1"/>
          <w:szCs w:val="20"/>
          <w:lang w:val="en-US"/>
        </w:rPr>
        <w:t xml:space="preserve">The Administration is responsible for preparing and ensuring the integrity of the financial statements, managing risks, defining, testing and maintaining an effective internal control system and ensuring compliance with legal and regulatory standards. </w:t>
      </w:r>
    </w:p>
    <w:p w14:paraId="34D0DB3E" w14:textId="77777777" w:rsidR="00FC159F" w:rsidRPr="00A1055F" w:rsidRDefault="00FC159F" w:rsidP="005C2DF1">
      <w:pPr>
        <w:spacing w:before="80" w:after="80" w:line="276" w:lineRule="auto"/>
        <w:ind w:firstLine="851"/>
        <w:jc w:val="both"/>
        <w:rPr>
          <w:rFonts w:cs="Arial"/>
          <w:bCs/>
          <w:color w:val="000000" w:themeColor="text1"/>
          <w:szCs w:val="20"/>
          <w:lang w:val="en-US"/>
        </w:rPr>
      </w:pPr>
      <w:r w:rsidRPr="00A1055F">
        <w:rPr>
          <w:rFonts w:cs="Arial"/>
          <w:bCs/>
          <w:color w:val="000000" w:themeColor="text1"/>
          <w:szCs w:val="20"/>
          <w:lang w:val="en-US"/>
        </w:rPr>
        <w:t>The Internal Audit is responsible for carrying out periodic work, focusing on the main risks, independently evaluating the actions of managing these risks and the adequacy of governance and internal controls.</w:t>
      </w:r>
    </w:p>
    <w:p w14:paraId="4B779C95" w14:textId="77777777" w:rsidR="00FC159F" w:rsidRPr="00A1055F" w:rsidRDefault="00FC159F" w:rsidP="005C2DF1">
      <w:pPr>
        <w:spacing w:before="80" w:after="80" w:line="276" w:lineRule="auto"/>
        <w:ind w:firstLine="851"/>
        <w:jc w:val="both"/>
        <w:rPr>
          <w:rFonts w:cs="Arial"/>
          <w:bCs/>
          <w:color w:val="000000" w:themeColor="text1"/>
          <w:szCs w:val="20"/>
          <w:lang w:val="en-US"/>
        </w:rPr>
      </w:pPr>
      <w:r w:rsidRPr="00A1055F">
        <w:rPr>
          <w:rFonts w:cs="Arial"/>
          <w:bCs/>
          <w:color w:val="000000" w:themeColor="text1"/>
          <w:szCs w:val="20"/>
          <w:lang w:val="en-US"/>
        </w:rPr>
        <w:t>The External Audit conducts an independent audit of the financial statements. The External. It also assesses, in the context of the external auditor's work, the quality and adequacy of the internal control system for the purposes of the financial statements and compliance with legal and regulatory provisions.</w:t>
      </w:r>
    </w:p>
    <w:p w14:paraId="46BEEFC6" w14:textId="77777777" w:rsidR="00FC159F" w:rsidRPr="00A1055F" w:rsidRDefault="00FC159F" w:rsidP="005C2DF1">
      <w:pPr>
        <w:spacing w:before="240" w:after="240" w:line="276" w:lineRule="auto"/>
        <w:jc w:val="both"/>
        <w:rPr>
          <w:rFonts w:cs="Arial"/>
          <w:b/>
          <w:bCs/>
          <w:color w:val="1F4E79" w:themeColor="accent1" w:themeShade="80"/>
          <w:szCs w:val="20"/>
          <w:lang w:val="en-US"/>
        </w:rPr>
      </w:pPr>
      <w:r w:rsidRPr="00A1055F">
        <w:rPr>
          <w:rFonts w:cs="Arial"/>
          <w:b/>
          <w:bCs/>
          <w:color w:val="1F4E79" w:themeColor="accent1" w:themeShade="80"/>
          <w:szCs w:val="20"/>
          <w:lang w:val="en-US"/>
        </w:rPr>
        <w:t xml:space="preserve">Main Activities </w:t>
      </w:r>
    </w:p>
    <w:p w14:paraId="26014B22" w14:textId="77777777" w:rsidR="00FC159F" w:rsidRPr="00A1055F" w:rsidRDefault="00FC159F" w:rsidP="005C2DF1">
      <w:pPr>
        <w:spacing w:before="80" w:after="80" w:line="276" w:lineRule="auto"/>
        <w:ind w:firstLine="851"/>
        <w:jc w:val="both"/>
        <w:rPr>
          <w:rFonts w:cs="Arial"/>
          <w:bCs/>
          <w:color w:val="000000" w:themeColor="text1"/>
          <w:szCs w:val="20"/>
          <w:lang w:val="en-US"/>
        </w:rPr>
      </w:pPr>
      <w:r w:rsidRPr="00A1055F">
        <w:rPr>
          <w:rFonts w:cs="Arial"/>
          <w:bCs/>
          <w:color w:val="000000" w:themeColor="text1"/>
          <w:szCs w:val="20"/>
          <w:lang w:val="en-US"/>
        </w:rPr>
        <w:t>In the period from January 1 to December 31, 2022, the Committee made due diligence and requests for documents and information with the Administration of BB Seguridade, BB Corretora and BB Seguros, risk and control manager, and internal and external auditors. The activities developed in 2022, recorded in minutes, covered the set of responsibilities assigned to the body and are summarized below.</w:t>
      </w:r>
    </w:p>
    <w:p w14:paraId="1AAC26C7" w14:textId="77777777" w:rsidR="00FC159F" w:rsidRPr="00A1055F" w:rsidRDefault="00FC159F" w:rsidP="005C2DF1">
      <w:pPr>
        <w:spacing w:before="80" w:after="80" w:line="276" w:lineRule="auto"/>
        <w:ind w:firstLine="851"/>
        <w:jc w:val="both"/>
        <w:rPr>
          <w:rFonts w:cs="Arial"/>
          <w:bCs/>
          <w:color w:val="000000" w:themeColor="text1"/>
          <w:szCs w:val="20"/>
          <w:lang w:val="en-US"/>
        </w:rPr>
      </w:pPr>
      <w:r w:rsidRPr="00A1055F">
        <w:rPr>
          <w:rFonts w:cs="Arial"/>
          <w:bCs/>
          <w:color w:val="000000" w:themeColor="text1"/>
          <w:szCs w:val="20"/>
          <w:lang w:val="en-US"/>
        </w:rPr>
        <w:t>The Audit Committee, in particular, issues were addressed related to financial statements, internal control systems, accounting, tax and risk management processes and related to transactions with related parties. In situations where a need for improvement was identified, improvements were recommended.</w:t>
      </w:r>
    </w:p>
    <w:p w14:paraId="59586873" w14:textId="77777777" w:rsidR="00FC159F" w:rsidRPr="00A1055F" w:rsidRDefault="00FC159F" w:rsidP="005C2DF1">
      <w:pPr>
        <w:spacing w:before="80" w:after="80" w:line="276" w:lineRule="auto"/>
        <w:ind w:firstLine="851"/>
        <w:jc w:val="both"/>
        <w:rPr>
          <w:rFonts w:cs="Arial"/>
          <w:bCs/>
          <w:color w:val="000000" w:themeColor="text1"/>
          <w:szCs w:val="20"/>
          <w:lang w:val="en-US"/>
        </w:rPr>
      </w:pPr>
      <w:r w:rsidRPr="00A1055F">
        <w:rPr>
          <w:rFonts w:cs="Arial"/>
          <w:bCs/>
          <w:color w:val="000000" w:themeColor="text1"/>
          <w:szCs w:val="20"/>
          <w:lang w:val="en-US"/>
        </w:rPr>
        <w:t>Special attention was also given to the monitoring and follow-up of the measures adopted by the Company to adapt to the requirements of the General Data Protection Law (LGPD).</w:t>
      </w:r>
    </w:p>
    <w:p w14:paraId="2FABDA8C" w14:textId="77777777" w:rsidR="00FC159F" w:rsidRPr="00A1055F" w:rsidRDefault="00FC159F" w:rsidP="005C2DF1">
      <w:pPr>
        <w:spacing w:before="80" w:after="80" w:line="276" w:lineRule="auto"/>
        <w:ind w:firstLine="851"/>
        <w:jc w:val="both"/>
        <w:rPr>
          <w:rFonts w:cs="Arial"/>
          <w:bCs/>
          <w:color w:val="000000" w:themeColor="text1"/>
          <w:szCs w:val="20"/>
          <w:lang w:val="en-US"/>
        </w:rPr>
      </w:pPr>
      <w:r w:rsidRPr="00A1055F">
        <w:rPr>
          <w:rFonts w:cs="Arial"/>
          <w:bCs/>
          <w:color w:val="000000" w:themeColor="text1"/>
          <w:szCs w:val="20"/>
          <w:lang w:val="en-US"/>
        </w:rPr>
        <w:t>A discussion was opened with the internal and external audits, opportunities in which plans were appraised and the results of the main works, their conclusions and recommendations were learned.</w:t>
      </w:r>
    </w:p>
    <w:p w14:paraId="6EEBED5F" w14:textId="77777777" w:rsidR="00FC159F" w:rsidRPr="00A1055F" w:rsidRDefault="00FC159F" w:rsidP="005C2DF1">
      <w:pPr>
        <w:spacing w:before="80" w:after="80" w:line="276" w:lineRule="auto"/>
        <w:ind w:firstLine="851"/>
        <w:jc w:val="both"/>
        <w:rPr>
          <w:rFonts w:cs="Arial"/>
          <w:bCs/>
          <w:color w:val="000000" w:themeColor="text1"/>
          <w:szCs w:val="20"/>
          <w:lang w:val="en-US"/>
        </w:rPr>
      </w:pPr>
      <w:r w:rsidRPr="00A1055F">
        <w:rPr>
          <w:rFonts w:cs="Arial"/>
          <w:bCs/>
          <w:color w:val="000000" w:themeColor="text1"/>
          <w:szCs w:val="20"/>
          <w:lang w:val="en-US"/>
        </w:rPr>
        <w:t>BB Seguridade, BB Corretora and BB Seguros' accounting statements were reviewed, prior to disclosure, as well as the explanatory notes and the Administration report, and reports and notes were also discussed with the external auditor.</w:t>
      </w:r>
    </w:p>
    <w:p w14:paraId="6BFE3E69" w14:textId="77777777" w:rsidR="00FC159F" w:rsidRPr="00A1055F" w:rsidRDefault="00FC159F" w:rsidP="005C2DF1">
      <w:pPr>
        <w:spacing w:before="240" w:after="240" w:line="276" w:lineRule="auto"/>
        <w:jc w:val="both"/>
        <w:rPr>
          <w:rFonts w:cs="Arial"/>
          <w:b/>
          <w:bCs/>
          <w:color w:val="1F4E79" w:themeColor="accent1" w:themeShade="80"/>
          <w:szCs w:val="20"/>
          <w:lang w:val="en-US"/>
        </w:rPr>
      </w:pPr>
      <w:r w:rsidRPr="00A1055F">
        <w:rPr>
          <w:rFonts w:cs="Arial"/>
          <w:b/>
          <w:bCs/>
          <w:color w:val="1F4E79" w:themeColor="accent1" w:themeShade="80"/>
          <w:szCs w:val="20"/>
          <w:lang w:val="en-US"/>
        </w:rPr>
        <w:t>Conclusions</w:t>
      </w:r>
    </w:p>
    <w:p w14:paraId="13AD2760" w14:textId="77777777" w:rsidR="00FC159F" w:rsidRPr="00A1055F" w:rsidRDefault="00FC159F" w:rsidP="005C2DF1">
      <w:pPr>
        <w:spacing w:before="80" w:after="80" w:line="276" w:lineRule="auto"/>
        <w:ind w:firstLine="851"/>
        <w:jc w:val="both"/>
        <w:rPr>
          <w:rFonts w:cs="Arial"/>
          <w:bCs/>
          <w:color w:val="000000" w:themeColor="text1"/>
          <w:szCs w:val="20"/>
          <w:lang w:val="en-US"/>
        </w:rPr>
      </w:pPr>
      <w:r w:rsidRPr="00A1055F">
        <w:rPr>
          <w:rFonts w:cs="Arial"/>
          <w:bCs/>
          <w:color w:val="000000" w:themeColor="text1"/>
          <w:szCs w:val="20"/>
          <w:lang w:val="en-US"/>
        </w:rPr>
        <w:t xml:space="preserve">Based on the activities developed and bearing in mind the tasks and limitations inherent to the scope of its activity, the Audit Committee considers that: </w:t>
      </w:r>
    </w:p>
    <w:p w14:paraId="74CC50A2" w14:textId="77777777" w:rsidR="00FC159F" w:rsidRPr="00A1055F" w:rsidRDefault="00FC159F" w:rsidP="00FC4475">
      <w:pPr>
        <w:pStyle w:val="PargrafodaLista"/>
        <w:numPr>
          <w:ilvl w:val="0"/>
          <w:numId w:val="50"/>
        </w:numPr>
        <w:spacing w:before="80" w:after="80"/>
        <w:ind w:left="1135" w:hanging="284"/>
        <w:jc w:val="both"/>
        <w:rPr>
          <w:rFonts w:ascii="Arial" w:hAnsi="Arial" w:cs="Arial"/>
          <w:bCs/>
          <w:color w:val="000000" w:themeColor="text1"/>
          <w:sz w:val="18"/>
          <w:szCs w:val="20"/>
          <w:lang w:val="en-US"/>
        </w:rPr>
      </w:pPr>
      <w:r w:rsidRPr="00A1055F">
        <w:rPr>
          <w:rFonts w:ascii="Arial" w:hAnsi="Arial" w:cs="Arial"/>
          <w:bCs/>
          <w:color w:val="000000" w:themeColor="text1"/>
          <w:sz w:val="18"/>
          <w:szCs w:val="20"/>
          <w:lang w:val="en-US"/>
        </w:rPr>
        <w:t>The internal controls of the Companies evolved in 2022 and proved to be adequate to the size and complexity of the business and object of permanent attention on the part of the Administration;</w:t>
      </w:r>
    </w:p>
    <w:p w14:paraId="5D3E50FC" w14:textId="77777777" w:rsidR="00FC159F" w:rsidRPr="00A1055F" w:rsidRDefault="00FC159F" w:rsidP="00FC4475">
      <w:pPr>
        <w:pStyle w:val="PargrafodaLista"/>
        <w:numPr>
          <w:ilvl w:val="0"/>
          <w:numId w:val="50"/>
        </w:numPr>
        <w:spacing w:before="80" w:after="80"/>
        <w:ind w:left="1134" w:hanging="283"/>
        <w:jc w:val="both"/>
        <w:rPr>
          <w:rFonts w:ascii="Arial" w:hAnsi="Arial" w:cs="Arial"/>
          <w:bCs/>
          <w:color w:val="000000" w:themeColor="text1"/>
          <w:sz w:val="18"/>
          <w:szCs w:val="20"/>
          <w:lang w:val="en-US"/>
        </w:rPr>
      </w:pPr>
      <w:r w:rsidRPr="00A1055F">
        <w:rPr>
          <w:rFonts w:ascii="Arial" w:hAnsi="Arial" w:cs="Arial"/>
          <w:bCs/>
          <w:color w:val="000000" w:themeColor="text1"/>
          <w:sz w:val="18"/>
          <w:szCs w:val="20"/>
          <w:lang w:val="en-US"/>
        </w:rPr>
        <w:t>The Internal Audit, with its own budget and structure, performed its functions with independence, objectivity and quality;</w:t>
      </w:r>
    </w:p>
    <w:p w14:paraId="3AB5B062" w14:textId="77777777" w:rsidR="00FC159F" w:rsidRPr="00A1055F" w:rsidRDefault="00FC159F" w:rsidP="00FC4475">
      <w:pPr>
        <w:pStyle w:val="PargrafodaLista"/>
        <w:numPr>
          <w:ilvl w:val="0"/>
          <w:numId w:val="50"/>
        </w:numPr>
        <w:spacing w:before="80" w:after="80"/>
        <w:ind w:left="1134" w:hanging="283"/>
        <w:jc w:val="both"/>
        <w:rPr>
          <w:rFonts w:ascii="Arial" w:hAnsi="Arial" w:cs="Arial"/>
          <w:bCs/>
          <w:color w:val="000000" w:themeColor="text1"/>
          <w:sz w:val="18"/>
          <w:szCs w:val="20"/>
          <w:lang w:val="en-US"/>
        </w:rPr>
      </w:pPr>
      <w:r w:rsidRPr="00A1055F">
        <w:rPr>
          <w:rFonts w:ascii="Arial" w:hAnsi="Arial" w:cs="Arial"/>
          <w:bCs/>
          <w:color w:val="000000" w:themeColor="text1"/>
          <w:sz w:val="18"/>
          <w:szCs w:val="20"/>
          <w:lang w:val="en-US"/>
        </w:rPr>
        <w:t xml:space="preserve">The work and information provided by the External Auditor was adequate and supported the Committee's view on the integrity of the financial statements. No events were identified that could compromise its independence; </w:t>
      </w:r>
    </w:p>
    <w:p w14:paraId="673C7B76" w14:textId="77777777" w:rsidR="00FC159F" w:rsidRPr="00A1055F" w:rsidRDefault="00FC159F" w:rsidP="00FC4475">
      <w:pPr>
        <w:pStyle w:val="PargrafodaLista"/>
        <w:numPr>
          <w:ilvl w:val="0"/>
          <w:numId w:val="50"/>
        </w:numPr>
        <w:spacing w:before="80" w:after="80"/>
        <w:ind w:left="1134" w:hanging="283"/>
        <w:jc w:val="both"/>
        <w:rPr>
          <w:rFonts w:ascii="Arial" w:hAnsi="Arial" w:cs="Arial"/>
          <w:bCs/>
          <w:color w:val="000000" w:themeColor="text1"/>
          <w:sz w:val="18"/>
          <w:szCs w:val="20"/>
          <w:lang w:val="en-US"/>
        </w:rPr>
      </w:pPr>
      <w:r w:rsidRPr="00A1055F">
        <w:rPr>
          <w:rFonts w:ascii="Arial" w:hAnsi="Arial" w:cs="Arial"/>
          <w:bCs/>
          <w:color w:val="000000" w:themeColor="text1"/>
          <w:sz w:val="18"/>
          <w:szCs w:val="20"/>
          <w:lang w:val="en-US"/>
        </w:rPr>
        <w:t>Internal risk management processes have evolved compared to the previous period, as well as the implementation of the Risk and Capital Committee linked to the Board of Directors, although they still lack improvements, such as tools and information that allow the Company to expand its vision and capacity to act on risk and capital management processes, including in the scope of controlled companies;</w:t>
      </w:r>
    </w:p>
    <w:p w14:paraId="1659523C" w14:textId="77777777" w:rsidR="00FC159F" w:rsidRPr="00A1055F" w:rsidRDefault="00FC159F" w:rsidP="00FC4475">
      <w:pPr>
        <w:pStyle w:val="PargrafodaLista"/>
        <w:numPr>
          <w:ilvl w:val="0"/>
          <w:numId w:val="50"/>
        </w:numPr>
        <w:spacing w:before="80" w:after="80"/>
        <w:ind w:left="1134" w:hanging="283"/>
        <w:jc w:val="both"/>
        <w:rPr>
          <w:rFonts w:ascii="Arial" w:hAnsi="Arial" w:cs="Arial"/>
          <w:bCs/>
          <w:color w:val="000000" w:themeColor="text1"/>
          <w:sz w:val="18"/>
          <w:szCs w:val="20"/>
          <w:lang w:val="en-US"/>
        </w:rPr>
      </w:pPr>
      <w:r w:rsidRPr="00A1055F">
        <w:rPr>
          <w:rFonts w:ascii="Arial" w:hAnsi="Arial" w:cs="Arial"/>
          <w:bCs/>
          <w:color w:val="000000" w:themeColor="text1"/>
          <w:sz w:val="18"/>
          <w:szCs w:val="20"/>
          <w:lang w:val="en-US"/>
        </w:rPr>
        <w:t>Transactions with related parties of the Company were evaluated and monitored by the Administration and by its own statutory committee, and no significant distortions were reported. Given the volume of transactions, continuous monitoring is maintained in order to provide greater transparency to processes;</w:t>
      </w:r>
    </w:p>
    <w:p w14:paraId="7BB47EA4" w14:textId="77777777" w:rsidR="00FC159F" w:rsidRPr="00A1055F" w:rsidRDefault="00FC159F" w:rsidP="0039509D">
      <w:pPr>
        <w:spacing w:before="120" w:after="120" w:line="276" w:lineRule="auto"/>
        <w:ind w:firstLine="851"/>
        <w:jc w:val="both"/>
        <w:rPr>
          <w:rFonts w:cs="Arial"/>
          <w:bCs/>
          <w:color w:val="000000" w:themeColor="text1"/>
          <w:szCs w:val="20"/>
          <w:lang w:val="en-US"/>
        </w:rPr>
      </w:pPr>
      <w:r w:rsidRPr="00A1055F">
        <w:rPr>
          <w:rFonts w:cs="Arial"/>
          <w:bCs/>
          <w:color w:val="000000" w:themeColor="text1"/>
          <w:szCs w:val="20"/>
          <w:lang w:val="en-US"/>
        </w:rPr>
        <w:lastRenderedPageBreak/>
        <w:t>Opinion: based on the work and interviews conducted in the course of the fiscal year, and bearing in mind the attributions and limitations inherent to the scope of its activity, and considering the internal control systems, the follow-up of the work carried out by internal auditors and external auditors and their report issued without reservations on February 8, 2023, the Audit Committee has found no indication or evidence that the individual and consolidated financial statements do not adequately represent, in all material respects, the financial and equity position of BB Seguridade Participações S. A. and its Affiliated Companies on December 31, 2022. In this sense, the Committee believes that they are in position to be appreciated by the Board of Directors.</w:t>
      </w:r>
    </w:p>
    <w:p w14:paraId="566B5848" w14:textId="77777777" w:rsidR="00FC159F" w:rsidRPr="00A1055F" w:rsidRDefault="00FC159F" w:rsidP="004863E2">
      <w:pPr>
        <w:spacing w:before="120" w:after="120" w:line="276" w:lineRule="auto"/>
        <w:ind w:firstLine="851"/>
        <w:jc w:val="both"/>
        <w:rPr>
          <w:rFonts w:cs="Arial"/>
          <w:bCs/>
          <w:color w:val="000000" w:themeColor="text1"/>
          <w:szCs w:val="20"/>
          <w:lang w:val="en-US"/>
        </w:rPr>
      </w:pPr>
    </w:p>
    <w:p w14:paraId="6F26A1FD" w14:textId="77777777" w:rsidR="00FC159F" w:rsidRPr="00A1055F" w:rsidRDefault="00FC159F" w:rsidP="005C2DF1">
      <w:pPr>
        <w:spacing w:before="120" w:after="120" w:line="276" w:lineRule="auto"/>
        <w:ind w:firstLine="851"/>
        <w:jc w:val="center"/>
        <w:rPr>
          <w:rFonts w:cs="Arial"/>
          <w:bCs/>
          <w:color w:val="000000" w:themeColor="text1"/>
          <w:szCs w:val="20"/>
        </w:rPr>
      </w:pPr>
      <w:r w:rsidRPr="00A1055F">
        <w:rPr>
          <w:rFonts w:cs="Arial"/>
          <w:bCs/>
          <w:color w:val="000000" w:themeColor="text1"/>
          <w:szCs w:val="20"/>
        </w:rPr>
        <w:t>Brasília (DF), February 08, 2023.</w:t>
      </w:r>
    </w:p>
    <w:p w14:paraId="38214CF7" w14:textId="77777777" w:rsidR="00FC159F" w:rsidRPr="00A1055F" w:rsidRDefault="00FC159F" w:rsidP="0022309D">
      <w:pPr>
        <w:spacing w:before="120" w:after="120" w:line="276" w:lineRule="auto"/>
        <w:ind w:firstLine="851"/>
        <w:jc w:val="center"/>
        <w:rPr>
          <w:rFonts w:cs="Arial"/>
          <w:bCs/>
          <w:color w:val="000000" w:themeColor="text1"/>
          <w:szCs w:val="20"/>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416"/>
        <w:gridCol w:w="1416"/>
        <w:gridCol w:w="2832"/>
      </w:tblGrid>
      <w:tr w:rsidR="00FC159F" w14:paraId="3DCD6455" w14:textId="77777777" w:rsidTr="00FC159F">
        <w:trPr>
          <w:jc w:val="center"/>
        </w:trPr>
        <w:tc>
          <w:tcPr>
            <w:tcW w:w="4246" w:type="dxa"/>
            <w:gridSpan w:val="2"/>
          </w:tcPr>
          <w:p w14:paraId="7092627D" w14:textId="77777777" w:rsidR="00FC159F" w:rsidRDefault="00FC159F" w:rsidP="00A1055F">
            <w:pPr>
              <w:spacing w:before="120" w:after="120" w:line="276" w:lineRule="auto"/>
              <w:jc w:val="center"/>
              <w:rPr>
                <w:rFonts w:cs="Arial"/>
                <w:bCs/>
                <w:color w:val="000000" w:themeColor="text1"/>
                <w:szCs w:val="20"/>
              </w:rPr>
            </w:pPr>
            <w:r w:rsidRPr="00A1055F">
              <w:rPr>
                <w:rFonts w:cs="Arial"/>
                <w:bCs/>
                <w:color w:val="000000" w:themeColor="text1"/>
                <w:szCs w:val="20"/>
              </w:rPr>
              <w:t>Luiz Claudio Moraes</w:t>
            </w:r>
          </w:p>
        </w:tc>
        <w:tc>
          <w:tcPr>
            <w:tcW w:w="4248" w:type="dxa"/>
            <w:gridSpan w:val="2"/>
          </w:tcPr>
          <w:p w14:paraId="3AD94F8B" w14:textId="77777777" w:rsidR="00FC159F" w:rsidRDefault="00FC159F" w:rsidP="00A1055F">
            <w:pPr>
              <w:spacing w:before="120" w:after="120" w:line="276" w:lineRule="auto"/>
              <w:jc w:val="center"/>
              <w:rPr>
                <w:rFonts w:cs="Arial"/>
                <w:bCs/>
                <w:color w:val="000000" w:themeColor="text1"/>
                <w:szCs w:val="20"/>
              </w:rPr>
            </w:pPr>
            <w:r w:rsidRPr="00A1055F">
              <w:rPr>
                <w:rFonts w:cs="Arial"/>
                <w:bCs/>
                <w:color w:val="000000" w:themeColor="text1"/>
                <w:szCs w:val="20"/>
              </w:rPr>
              <w:t>Artemio Bertholini</w:t>
            </w:r>
          </w:p>
        </w:tc>
      </w:tr>
      <w:tr w:rsidR="00FC159F" w14:paraId="4509DA64" w14:textId="77777777" w:rsidTr="00FC159F">
        <w:trPr>
          <w:jc w:val="center"/>
        </w:trPr>
        <w:tc>
          <w:tcPr>
            <w:tcW w:w="4246" w:type="dxa"/>
            <w:gridSpan w:val="2"/>
          </w:tcPr>
          <w:p w14:paraId="0B8EECBF" w14:textId="77777777" w:rsidR="00FC159F" w:rsidRPr="00A1055F" w:rsidRDefault="00FC159F" w:rsidP="00A1055F">
            <w:pPr>
              <w:spacing w:before="120" w:after="120" w:line="276" w:lineRule="auto"/>
              <w:jc w:val="center"/>
              <w:rPr>
                <w:rFonts w:cs="Arial"/>
                <w:bCs/>
                <w:color w:val="000000" w:themeColor="text1"/>
                <w:szCs w:val="20"/>
              </w:rPr>
            </w:pPr>
          </w:p>
        </w:tc>
        <w:tc>
          <w:tcPr>
            <w:tcW w:w="4248" w:type="dxa"/>
            <w:gridSpan w:val="2"/>
          </w:tcPr>
          <w:p w14:paraId="051D0307" w14:textId="77777777" w:rsidR="00FC159F" w:rsidRPr="00A1055F" w:rsidRDefault="00FC159F" w:rsidP="00A1055F">
            <w:pPr>
              <w:spacing w:before="120" w:after="120" w:line="276" w:lineRule="auto"/>
              <w:jc w:val="center"/>
              <w:rPr>
                <w:rFonts w:cs="Arial"/>
                <w:bCs/>
                <w:color w:val="000000" w:themeColor="text1"/>
                <w:szCs w:val="20"/>
              </w:rPr>
            </w:pPr>
          </w:p>
        </w:tc>
      </w:tr>
      <w:tr w:rsidR="00FC159F" w14:paraId="7845B862" w14:textId="77777777" w:rsidTr="00FC159F">
        <w:trPr>
          <w:jc w:val="center"/>
        </w:trPr>
        <w:tc>
          <w:tcPr>
            <w:tcW w:w="2830" w:type="dxa"/>
          </w:tcPr>
          <w:p w14:paraId="260C06AC" w14:textId="77777777" w:rsidR="00FC159F" w:rsidRDefault="00FC159F" w:rsidP="00A1055F">
            <w:pPr>
              <w:spacing w:before="120" w:after="120" w:line="276" w:lineRule="auto"/>
              <w:jc w:val="center"/>
              <w:rPr>
                <w:rFonts w:cs="Arial"/>
                <w:bCs/>
                <w:color w:val="000000" w:themeColor="text1"/>
                <w:szCs w:val="20"/>
              </w:rPr>
            </w:pPr>
            <w:r w:rsidRPr="00A1055F">
              <w:rPr>
                <w:rFonts w:cs="Arial"/>
                <w:bCs/>
                <w:color w:val="000000" w:themeColor="text1"/>
                <w:szCs w:val="20"/>
              </w:rPr>
              <w:t>Gilberto Lourenço da Aparecida</w:t>
            </w:r>
          </w:p>
        </w:tc>
        <w:tc>
          <w:tcPr>
            <w:tcW w:w="2832" w:type="dxa"/>
            <w:gridSpan w:val="2"/>
          </w:tcPr>
          <w:p w14:paraId="3668ADE1" w14:textId="77777777" w:rsidR="00FC159F" w:rsidRDefault="00FC159F" w:rsidP="00A1055F">
            <w:pPr>
              <w:spacing w:before="120" w:after="120" w:line="276" w:lineRule="auto"/>
              <w:jc w:val="center"/>
              <w:rPr>
                <w:rFonts w:cs="Arial"/>
                <w:bCs/>
                <w:color w:val="000000" w:themeColor="text1"/>
                <w:szCs w:val="20"/>
              </w:rPr>
            </w:pPr>
            <w:r w:rsidRPr="00A1055F">
              <w:rPr>
                <w:rFonts w:cs="Arial"/>
                <w:bCs/>
                <w:color w:val="000000" w:themeColor="text1"/>
                <w:szCs w:val="20"/>
              </w:rPr>
              <w:t>Manoel Gimenes Ruy</w:t>
            </w:r>
          </w:p>
        </w:tc>
        <w:tc>
          <w:tcPr>
            <w:tcW w:w="2832" w:type="dxa"/>
          </w:tcPr>
          <w:p w14:paraId="68E36FD2" w14:textId="77777777" w:rsidR="00FC159F" w:rsidRDefault="00FC159F" w:rsidP="00A1055F">
            <w:pPr>
              <w:spacing w:before="120" w:after="120" w:line="276" w:lineRule="auto"/>
              <w:jc w:val="center"/>
              <w:rPr>
                <w:rFonts w:cs="Arial"/>
                <w:bCs/>
                <w:color w:val="000000" w:themeColor="text1"/>
                <w:szCs w:val="20"/>
              </w:rPr>
            </w:pPr>
            <w:r w:rsidRPr="00A1055F">
              <w:rPr>
                <w:rFonts w:cs="Arial"/>
                <w:bCs/>
                <w:color w:val="000000" w:themeColor="text1"/>
                <w:szCs w:val="20"/>
              </w:rPr>
              <w:t>Roberto Lamb</w:t>
            </w:r>
          </w:p>
        </w:tc>
      </w:tr>
    </w:tbl>
    <w:p w14:paraId="25BF736D" w14:textId="77777777" w:rsidR="00FC159F" w:rsidRDefault="00FC159F" w:rsidP="00A1055F">
      <w:pPr>
        <w:spacing w:before="120" w:after="120" w:line="276" w:lineRule="auto"/>
        <w:ind w:firstLine="851"/>
        <w:jc w:val="center"/>
        <w:rPr>
          <w:rFonts w:cs="Arial"/>
          <w:bCs/>
          <w:color w:val="000000" w:themeColor="text1"/>
          <w:szCs w:val="20"/>
        </w:rPr>
      </w:pPr>
    </w:p>
    <w:p w14:paraId="3CBBDEC3" w14:textId="77777777" w:rsidR="00FC159F" w:rsidRPr="00A1055F" w:rsidRDefault="00FC159F" w:rsidP="00A1055F">
      <w:pPr>
        <w:spacing w:before="120" w:after="120" w:line="276" w:lineRule="auto"/>
        <w:rPr>
          <w:color w:val="000000" w:themeColor="text1"/>
          <w:szCs w:val="18"/>
        </w:rPr>
      </w:pPr>
    </w:p>
    <w:p w14:paraId="40CEAEAF" w14:textId="7AA2C19F" w:rsidR="00FC159F" w:rsidRDefault="00FC159F" w:rsidP="00FC4475">
      <w:pPr>
        <w:pStyle w:val="Ttulo1"/>
        <w:rPr>
          <w:rFonts w:eastAsiaTheme="minorHAnsi"/>
        </w:rPr>
        <w:sectPr w:rsidR="00FC159F" w:rsidSect="00A4469D">
          <w:headerReference w:type="default" r:id="rId45"/>
          <w:footerReference w:type="default" r:id="rId46"/>
          <w:pgSz w:w="11906" w:h="16838" w:code="9"/>
          <w:pgMar w:top="1134" w:right="1134" w:bottom="851" w:left="1134" w:header="851" w:footer="284" w:gutter="0"/>
          <w:cols w:space="708"/>
          <w:docGrid w:linePitch="360"/>
        </w:sectPr>
      </w:pPr>
    </w:p>
    <w:p w14:paraId="0942B19F" w14:textId="6D957E33" w:rsidR="00FC159F" w:rsidRPr="00366F4D" w:rsidRDefault="00FC159F" w:rsidP="00FC4475">
      <w:pPr>
        <w:pStyle w:val="Ttulo1"/>
      </w:pPr>
      <w:bookmarkStart w:id="75" w:name="_Toc126781120"/>
      <w:bookmarkStart w:id="76" w:name="_Toc126780801"/>
      <w:bookmarkStart w:id="77" w:name="_Toc126779225"/>
      <w:bookmarkStart w:id="78" w:name="_Toc126778511"/>
      <w:bookmarkStart w:id="79" w:name="_Toc126778871"/>
      <w:r w:rsidRPr="00366F4D">
        <w:lastRenderedPageBreak/>
        <w:t>FISCAL COUNCIL REPORT</w:t>
      </w:r>
      <w:bookmarkEnd w:id="75"/>
      <w:bookmarkEnd w:id="76"/>
      <w:bookmarkEnd w:id="77"/>
      <w:bookmarkEnd w:id="78"/>
      <w:bookmarkEnd w:id="79"/>
    </w:p>
    <w:p w14:paraId="5EA4E266" w14:textId="77777777" w:rsidR="00FC159F" w:rsidRDefault="00FC159F" w:rsidP="00DF3239">
      <w:pPr>
        <w:spacing w:after="0" w:line="240" w:lineRule="auto"/>
        <w:jc w:val="both"/>
        <w:rPr>
          <w:rFonts w:cs="Arial"/>
          <w:sz w:val="26"/>
          <w:szCs w:val="26"/>
          <w:lang w:val="en-US"/>
        </w:rPr>
      </w:pPr>
    </w:p>
    <w:p w14:paraId="768E4163" w14:textId="77777777" w:rsidR="00FC159F" w:rsidRPr="00366F4D" w:rsidRDefault="00FC159F" w:rsidP="00DF3239">
      <w:pPr>
        <w:spacing w:after="0" w:line="240" w:lineRule="auto"/>
        <w:jc w:val="both"/>
        <w:rPr>
          <w:rFonts w:cs="Arial"/>
          <w:szCs w:val="18"/>
          <w:lang w:val="en-US"/>
        </w:rPr>
      </w:pPr>
      <w:r w:rsidRPr="00366F4D">
        <w:rPr>
          <w:rFonts w:cs="Arial"/>
          <w:szCs w:val="18"/>
          <w:lang w:val="en-US"/>
        </w:rPr>
        <w:t xml:space="preserve">BB SEGURIDADE PARTICIPAÇÕES S.A.'S FISCAL COUNCIL, due to its legal and statutory duties, examined today the Company's management report ("Relatório Anual da Administração"), the individual and consolidated Financial Statements, including the Balance Sheet, the Income Statement, Statement of Comprehensive Income, Statement of Changes on Net Equity, Cash Flow Statement and Added Value Statement, as well as the related Explanatory Notes, the report of the external auditors and a proposal of allocation results, all related to the fiscal year ended December 31st, 2022. </w:t>
      </w:r>
    </w:p>
    <w:p w14:paraId="4A6F671A" w14:textId="77777777" w:rsidR="00FC159F" w:rsidRPr="00366F4D" w:rsidRDefault="00FC159F" w:rsidP="00DF3239">
      <w:pPr>
        <w:spacing w:after="0" w:line="240" w:lineRule="auto"/>
        <w:jc w:val="both"/>
        <w:rPr>
          <w:rFonts w:cs="Arial"/>
          <w:szCs w:val="18"/>
          <w:lang w:val="en-US"/>
        </w:rPr>
      </w:pPr>
    </w:p>
    <w:p w14:paraId="2ED33F44" w14:textId="77777777" w:rsidR="00FC159F" w:rsidRPr="00366F4D" w:rsidRDefault="00FC159F" w:rsidP="00DF3239">
      <w:pPr>
        <w:spacing w:after="0" w:line="240" w:lineRule="auto"/>
        <w:jc w:val="both"/>
        <w:rPr>
          <w:rFonts w:cs="Arial"/>
          <w:szCs w:val="18"/>
          <w:lang w:val="en-US"/>
        </w:rPr>
      </w:pPr>
      <w:r w:rsidRPr="00366F4D">
        <w:rPr>
          <w:rFonts w:cs="Arial"/>
          <w:szCs w:val="18"/>
          <w:lang w:val="en-US"/>
        </w:rPr>
        <w:t xml:space="preserve">Our analysis of the statements above mentioned were further complemented by additional reports and documents and, mainly, by information and explanations provided to the Fiscal Council by the external auditors and the Company's Management. </w:t>
      </w:r>
    </w:p>
    <w:p w14:paraId="792EDFFA" w14:textId="77777777" w:rsidR="00FC159F" w:rsidRPr="00366F4D" w:rsidRDefault="00FC159F" w:rsidP="00DF3239">
      <w:pPr>
        <w:spacing w:after="0" w:line="240" w:lineRule="auto"/>
        <w:jc w:val="both"/>
        <w:rPr>
          <w:rFonts w:cs="Arial"/>
          <w:szCs w:val="18"/>
          <w:lang w:val="en-US"/>
        </w:rPr>
      </w:pPr>
    </w:p>
    <w:p w14:paraId="16537694" w14:textId="77777777" w:rsidR="00FC159F" w:rsidRDefault="00FC159F" w:rsidP="00DF3239">
      <w:pPr>
        <w:spacing w:after="0" w:line="240" w:lineRule="auto"/>
        <w:jc w:val="both"/>
        <w:rPr>
          <w:rFonts w:cs="Arial"/>
          <w:szCs w:val="18"/>
          <w:lang w:val="en-US"/>
        </w:rPr>
      </w:pPr>
      <w:r w:rsidRPr="00366F4D">
        <w:rPr>
          <w:rFonts w:cs="Arial"/>
          <w:szCs w:val="18"/>
          <w:lang w:val="en-US"/>
        </w:rPr>
        <w:t xml:space="preserve">Therefore, based on the work and clarifications provided by Deloitte Touche Tohmatsu Consultores and in the unqualified opinion included in the report issued by Deloitte on February 8th, 2023, and in the additional clarifications provided by the Management, this Fiscal Council unanimously states that the Financial Statements above mentioned, including the Management Report ("Relatório Anual da Administração"), and the proposal of allocation results are properly presented and concludes in favor to its submission to the Shareholders General Meeting deliberation. </w:t>
      </w:r>
    </w:p>
    <w:p w14:paraId="1AF8CFE1" w14:textId="77777777" w:rsidR="00FC159F" w:rsidRPr="00366F4D" w:rsidRDefault="00FC159F" w:rsidP="00DF3239">
      <w:pPr>
        <w:spacing w:after="0" w:line="240" w:lineRule="auto"/>
        <w:jc w:val="both"/>
        <w:rPr>
          <w:rFonts w:cs="Arial"/>
          <w:szCs w:val="18"/>
          <w:lang w:val="en-US"/>
        </w:rPr>
      </w:pPr>
    </w:p>
    <w:p w14:paraId="564BA27C" w14:textId="77777777" w:rsidR="00FC159F" w:rsidRPr="00366F4D" w:rsidRDefault="00FC159F" w:rsidP="00DF3239">
      <w:pPr>
        <w:spacing w:after="0" w:line="240" w:lineRule="auto"/>
        <w:jc w:val="both"/>
        <w:rPr>
          <w:rFonts w:cs="Arial"/>
          <w:szCs w:val="18"/>
          <w:lang w:val="en-US"/>
        </w:rPr>
      </w:pPr>
    </w:p>
    <w:p w14:paraId="2EA54E48" w14:textId="77777777" w:rsidR="00FC159F" w:rsidRPr="00366F4D" w:rsidRDefault="00FC159F" w:rsidP="00366F4D">
      <w:pPr>
        <w:spacing w:after="0" w:line="240" w:lineRule="auto"/>
        <w:jc w:val="center"/>
        <w:rPr>
          <w:rFonts w:cs="Arial"/>
          <w:szCs w:val="18"/>
        </w:rPr>
      </w:pPr>
      <w:r w:rsidRPr="00366F4D">
        <w:rPr>
          <w:rFonts w:cs="Arial"/>
          <w:szCs w:val="18"/>
        </w:rPr>
        <w:t>Brasília (DF), February 8th, 2023.</w:t>
      </w:r>
    </w:p>
    <w:p w14:paraId="16B8F4D4" w14:textId="77777777" w:rsidR="00FC159F" w:rsidRPr="00366F4D" w:rsidRDefault="00FC159F" w:rsidP="00DF3239">
      <w:pPr>
        <w:spacing w:after="0" w:line="240" w:lineRule="auto"/>
        <w:jc w:val="both"/>
        <w:rPr>
          <w:rFonts w:cs="Arial"/>
          <w:szCs w:val="18"/>
        </w:rPr>
      </w:pPr>
    </w:p>
    <w:p w14:paraId="5095263B" w14:textId="77777777" w:rsidR="00FC159F" w:rsidRPr="00366F4D" w:rsidRDefault="00FC159F" w:rsidP="00DF3239">
      <w:pPr>
        <w:spacing w:after="0" w:line="240" w:lineRule="auto"/>
        <w:jc w:val="both"/>
        <w:rPr>
          <w:rFonts w:cs="Arial"/>
          <w:szCs w:val="18"/>
        </w:rPr>
      </w:pPr>
    </w:p>
    <w:p w14:paraId="04E88EA3" w14:textId="77777777" w:rsidR="00FC159F" w:rsidRPr="00366F4D" w:rsidRDefault="00FC159F" w:rsidP="00DF3239">
      <w:pPr>
        <w:spacing w:after="0" w:line="240" w:lineRule="auto"/>
        <w:jc w:val="both"/>
        <w:rPr>
          <w:rFonts w:cs="Arial"/>
          <w:szCs w:val="18"/>
        </w:rPr>
      </w:pPr>
    </w:p>
    <w:tbl>
      <w:tblPr>
        <w:tblW w:w="0" w:type="auto"/>
        <w:tblLayout w:type="fixed"/>
        <w:tblCellMar>
          <w:left w:w="113" w:type="dxa"/>
          <w:right w:w="113" w:type="dxa"/>
        </w:tblCellMar>
        <w:tblLook w:val="0000" w:firstRow="0" w:lastRow="0" w:firstColumn="0" w:lastColumn="0" w:noHBand="0" w:noVBand="0"/>
      </w:tblPr>
      <w:tblGrid>
        <w:gridCol w:w="4822"/>
        <w:gridCol w:w="4822"/>
      </w:tblGrid>
      <w:tr w:rsidR="00FC159F" w:rsidRPr="00366F4D" w14:paraId="678BA480" w14:textId="77777777" w:rsidTr="008704F1">
        <w:trPr>
          <w:cantSplit/>
          <w:trHeight w:val="188"/>
        </w:trPr>
        <w:tc>
          <w:tcPr>
            <w:tcW w:w="4822" w:type="dxa"/>
          </w:tcPr>
          <w:p w14:paraId="68B4B796" w14:textId="77777777" w:rsidR="00FC159F" w:rsidRPr="00366F4D" w:rsidRDefault="00FC159F" w:rsidP="00DF3239">
            <w:pPr>
              <w:spacing w:after="120" w:line="240" w:lineRule="auto"/>
              <w:jc w:val="center"/>
              <w:rPr>
                <w:color w:val="000000"/>
                <w:szCs w:val="14"/>
                <w:lang w:val="en-US"/>
              </w:rPr>
            </w:pPr>
            <w:r w:rsidRPr="00366F4D">
              <w:rPr>
                <w:color w:val="000000"/>
                <w:szCs w:val="14"/>
                <w:lang w:val="en-US"/>
              </w:rPr>
              <w:t>Francisco Olinto Velo Schmitt</w:t>
            </w:r>
          </w:p>
          <w:p w14:paraId="77F3F46B" w14:textId="77777777" w:rsidR="00FC159F" w:rsidRPr="00366F4D" w:rsidRDefault="00FC159F" w:rsidP="00DF3239">
            <w:pPr>
              <w:spacing w:after="120" w:line="240" w:lineRule="auto"/>
              <w:jc w:val="center"/>
              <w:rPr>
                <w:color w:val="000000"/>
                <w:szCs w:val="14"/>
                <w:lang w:val="en-US"/>
              </w:rPr>
            </w:pPr>
            <w:r w:rsidRPr="00366F4D">
              <w:rPr>
                <w:rFonts w:cs="Arial"/>
                <w:szCs w:val="18"/>
                <w:lang w:val="en-US"/>
              </w:rPr>
              <w:t>Member of the Fiscal Council</w:t>
            </w:r>
          </w:p>
        </w:tc>
        <w:tc>
          <w:tcPr>
            <w:tcW w:w="4822" w:type="dxa"/>
          </w:tcPr>
          <w:p w14:paraId="64F4A188" w14:textId="77777777" w:rsidR="00FC159F" w:rsidRPr="00366F4D" w:rsidRDefault="00FC159F" w:rsidP="00DF3239">
            <w:pPr>
              <w:spacing w:after="120" w:line="240" w:lineRule="auto"/>
              <w:jc w:val="center"/>
              <w:rPr>
                <w:color w:val="000000"/>
                <w:szCs w:val="14"/>
                <w:lang w:val="en-US"/>
              </w:rPr>
            </w:pPr>
            <w:r w:rsidRPr="00366F4D">
              <w:rPr>
                <w:color w:val="000000"/>
                <w:szCs w:val="14"/>
                <w:lang w:val="en-US"/>
              </w:rPr>
              <w:t>Adriano Pereira de Paula</w:t>
            </w:r>
          </w:p>
          <w:p w14:paraId="17E5D791" w14:textId="77777777" w:rsidR="00FC159F" w:rsidRPr="00366F4D" w:rsidRDefault="00FC159F" w:rsidP="00DF3239">
            <w:pPr>
              <w:spacing w:after="120" w:line="240" w:lineRule="auto"/>
              <w:jc w:val="center"/>
              <w:rPr>
                <w:color w:val="000000"/>
                <w:szCs w:val="14"/>
                <w:lang w:val="en-US"/>
              </w:rPr>
            </w:pPr>
            <w:r w:rsidRPr="00366F4D">
              <w:rPr>
                <w:rFonts w:cs="Arial"/>
                <w:szCs w:val="18"/>
                <w:lang w:val="en-US"/>
              </w:rPr>
              <w:t>Member of the Fiscal Council</w:t>
            </w:r>
          </w:p>
        </w:tc>
      </w:tr>
    </w:tbl>
    <w:p w14:paraId="73329FA2" w14:textId="77777777" w:rsidR="00FC159F" w:rsidRPr="00366F4D" w:rsidRDefault="00FC159F" w:rsidP="00DF3239">
      <w:pPr>
        <w:spacing w:after="0" w:line="240" w:lineRule="auto"/>
        <w:jc w:val="both"/>
        <w:rPr>
          <w:rFonts w:cs="Arial"/>
          <w:szCs w:val="18"/>
          <w:lang w:val="en-US"/>
        </w:rPr>
      </w:pPr>
    </w:p>
    <w:p w14:paraId="78230195" w14:textId="77777777" w:rsidR="00FC159F" w:rsidRPr="00366F4D" w:rsidRDefault="00FC159F" w:rsidP="00DF3239">
      <w:pPr>
        <w:spacing w:after="0" w:line="240" w:lineRule="auto"/>
        <w:jc w:val="both"/>
        <w:rPr>
          <w:rFonts w:cs="Arial"/>
          <w:szCs w:val="18"/>
          <w:lang w:val="en-US"/>
        </w:rPr>
      </w:pPr>
    </w:p>
    <w:p w14:paraId="7200BB85" w14:textId="77777777" w:rsidR="00FC159F" w:rsidRPr="00366F4D" w:rsidRDefault="00FC159F" w:rsidP="00DF3239">
      <w:pPr>
        <w:spacing w:after="0" w:line="240" w:lineRule="auto"/>
        <w:jc w:val="both"/>
        <w:rPr>
          <w:rFonts w:cs="Arial"/>
          <w:szCs w:val="18"/>
          <w:lang w:val="en-US"/>
        </w:rPr>
      </w:pPr>
    </w:p>
    <w:p w14:paraId="2126CA0A" w14:textId="77777777" w:rsidR="00FC159F" w:rsidRPr="00366F4D" w:rsidRDefault="00FC159F" w:rsidP="00DF3239">
      <w:pPr>
        <w:spacing w:after="120" w:line="240" w:lineRule="auto"/>
        <w:jc w:val="center"/>
        <w:rPr>
          <w:rFonts w:cs="Arial"/>
          <w:szCs w:val="18"/>
          <w:lang w:val="en-US"/>
        </w:rPr>
      </w:pPr>
      <w:r w:rsidRPr="00366F4D">
        <w:rPr>
          <w:rFonts w:cs="Arial"/>
          <w:szCs w:val="18"/>
          <w:lang w:val="en-US"/>
        </w:rPr>
        <w:t xml:space="preserve">Lucinéia Possar </w:t>
      </w:r>
    </w:p>
    <w:p w14:paraId="6821AAB0" w14:textId="77777777" w:rsidR="00FC159F" w:rsidRPr="00366F4D" w:rsidRDefault="00FC159F" w:rsidP="004D7B1B">
      <w:pPr>
        <w:spacing w:after="120" w:line="240" w:lineRule="auto"/>
        <w:jc w:val="center"/>
        <w:rPr>
          <w:rFonts w:cs="Arial"/>
          <w:szCs w:val="18"/>
          <w:lang w:val="en-US"/>
        </w:rPr>
      </w:pPr>
      <w:r w:rsidRPr="00366F4D">
        <w:rPr>
          <w:rFonts w:cs="Arial"/>
          <w:szCs w:val="18"/>
          <w:lang w:val="en-US"/>
        </w:rPr>
        <w:t>President of the Fiscal Council</w:t>
      </w:r>
    </w:p>
    <w:p w14:paraId="7D39D89F" w14:textId="77896931" w:rsidR="00C0644E" w:rsidRDefault="00C0644E" w:rsidP="00FC4475">
      <w:pPr>
        <w:pStyle w:val="Ttulo1"/>
        <w:sectPr w:rsidR="00C0644E" w:rsidSect="00A4469D">
          <w:pgSz w:w="11906" w:h="16838" w:code="9"/>
          <w:pgMar w:top="1134" w:right="1134" w:bottom="851" w:left="1134" w:header="851" w:footer="284" w:gutter="0"/>
          <w:cols w:space="708"/>
          <w:docGrid w:linePitch="360"/>
        </w:sectPr>
      </w:pPr>
    </w:p>
    <w:p w14:paraId="6A4567F3" w14:textId="701883E9" w:rsidR="00C0644E" w:rsidRDefault="00C0644E" w:rsidP="00D20E66">
      <w:pPr>
        <w:pStyle w:val="Ttulo2"/>
        <w:jc w:val="both"/>
        <w:rPr>
          <w:rFonts w:ascii="Arial" w:hAnsi="Arial" w:cs="Arial"/>
          <w:b/>
          <w:bCs/>
          <w:color w:val="1F4E79" w:themeColor="accent1" w:themeShade="80"/>
          <w:sz w:val="20"/>
          <w:szCs w:val="20"/>
        </w:rPr>
      </w:pPr>
    </w:p>
    <w:p w14:paraId="03B1C573" w14:textId="77777777" w:rsidR="00C0644E" w:rsidRPr="00794410" w:rsidRDefault="00C0644E" w:rsidP="00D20E66">
      <w:pPr>
        <w:pStyle w:val="Ttulo2"/>
        <w:jc w:val="both"/>
        <w:rPr>
          <w:rFonts w:ascii="Arial" w:hAnsi="Arial" w:cs="Arial"/>
          <w:b/>
          <w:bCs/>
          <w:color w:val="1F4E79" w:themeColor="accent1" w:themeShade="80"/>
          <w:sz w:val="20"/>
          <w:szCs w:val="20"/>
          <w:lang w:val="en-US"/>
        </w:rPr>
      </w:pPr>
      <w:r w:rsidRPr="00794410">
        <w:rPr>
          <w:rFonts w:ascii="Arial" w:hAnsi="Arial" w:cs="Arial"/>
          <w:b/>
          <w:bCs/>
          <w:color w:val="1F4E79" w:themeColor="accent1" w:themeShade="80"/>
          <w:sz w:val="20"/>
          <w:szCs w:val="20"/>
          <w:lang w:val="en-US"/>
        </w:rPr>
        <w:t>DECLARATION OF THE MEMBERS OF THE EXECUTIVE BOARD ABOUT THE FINANCIAL STATEMENTS</w:t>
      </w:r>
    </w:p>
    <w:p w14:paraId="55F07D08" w14:textId="77777777" w:rsidR="00C0644E" w:rsidRPr="00B15CC5" w:rsidRDefault="00C0644E" w:rsidP="00451954">
      <w:pPr>
        <w:spacing w:after="0" w:line="240" w:lineRule="auto"/>
        <w:jc w:val="both"/>
        <w:rPr>
          <w:rFonts w:eastAsia="Times New Roman" w:cs="Times New Roman"/>
          <w:kern w:val="20"/>
          <w:sz w:val="20"/>
          <w:szCs w:val="20"/>
          <w:lang w:val="en-US" w:eastAsia="en-GB"/>
        </w:rPr>
      </w:pPr>
    </w:p>
    <w:p w14:paraId="05F974DA" w14:textId="77777777" w:rsidR="00C0644E" w:rsidRPr="0021556C" w:rsidRDefault="00C0644E" w:rsidP="00451954">
      <w:pPr>
        <w:pStyle w:val="Body"/>
        <w:spacing w:after="0" w:line="240" w:lineRule="auto"/>
        <w:rPr>
          <w:sz w:val="18"/>
          <w:szCs w:val="18"/>
          <w:lang w:val="en-US"/>
        </w:rPr>
      </w:pPr>
      <w:r w:rsidRPr="0021556C">
        <w:rPr>
          <w:sz w:val="18"/>
          <w:szCs w:val="18"/>
          <w:lang w:val="en-US"/>
        </w:rPr>
        <w:t xml:space="preserve">In accordance with </w:t>
      </w:r>
      <w:r>
        <w:rPr>
          <w:sz w:val="18"/>
          <w:szCs w:val="18"/>
          <w:lang w:val="en-US"/>
        </w:rPr>
        <w:t>A</w:t>
      </w:r>
      <w:r w:rsidRPr="0021556C">
        <w:rPr>
          <w:sz w:val="18"/>
          <w:szCs w:val="18"/>
          <w:lang w:val="en-US"/>
        </w:rPr>
        <w:t xml:space="preserve">rticle </w:t>
      </w:r>
      <w:r>
        <w:rPr>
          <w:sz w:val="18"/>
          <w:szCs w:val="18"/>
          <w:lang w:val="en-US"/>
        </w:rPr>
        <w:t>27</w:t>
      </w:r>
      <w:r w:rsidRPr="0021556C">
        <w:rPr>
          <w:sz w:val="18"/>
          <w:szCs w:val="18"/>
          <w:lang w:val="en-US"/>
        </w:rPr>
        <w:t xml:space="preserve"> of CVM Rule 80, dated </w:t>
      </w:r>
      <w:r>
        <w:rPr>
          <w:sz w:val="18"/>
          <w:szCs w:val="18"/>
          <w:lang w:val="en-US"/>
        </w:rPr>
        <w:t>March</w:t>
      </w:r>
      <w:r w:rsidRPr="0021556C">
        <w:rPr>
          <w:sz w:val="18"/>
          <w:szCs w:val="18"/>
          <w:lang w:val="en-US"/>
        </w:rPr>
        <w:t xml:space="preserve"> </w:t>
      </w:r>
      <w:r>
        <w:rPr>
          <w:sz w:val="18"/>
          <w:szCs w:val="18"/>
          <w:lang w:val="en-US"/>
        </w:rPr>
        <w:t>29</w:t>
      </w:r>
      <w:r w:rsidRPr="0021556C">
        <w:rPr>
          <w:sz w:val="18"/>
          <w:szCs w:val="18"/>
          <w:lang w:val="en-US"/>
        </w:rPr>
        <w:t>, 20</w:t>
      </w:r>
      <w:r>
        <w:rPr>
          <w:sz w:val="18"/>
          <w:szCs w:val="18"/>
          <w:lang w:val="en-US"/>
        </w:rPr>
        <w:t>22</w:t>
      </w:r>
      <w:r w:rsidRPr="0021556C">
        <w:rPr>
          <w:sz w:val="18"/>
          <w:szCs w:val="18"/>
          <w:lang w:val="en-US"/>
        </w:rPr>
        <w:t xml:space="preserve">, I declare that I have reviewed the Financial Statements for the </w:t>
      </w:r>
      <w:r>
        <w:rPr>
          <w:sz w:val="18"/>
          <w:szCs w:val="18"/>
          <w:lang w:val="en-US"/>
        </w:rPr>
        <w:t>fiscal year</w:t>
      </w:r>
      <w:r w:rsidRPr="0021556C">
        <w:rPr>
          <w:sz w:val="18"/>
          <w:szCs w:val="18"/>
          <w:lang w:val="en-US"/>
        </w:rPr>
        <w:t xml:space="preserve"> ended on </w:t>
      </w:r>
      <w:r>
        <w:rPr>
          <w:sz w:val="18"/>
          <w:szCs w:val="18"/>
          <w:lang w:val="en-US"/>
        </w:rPr>
        <w:t>December 31</w:t>
      </w:r>
      <w:r w:rsidRPr="0021556C">
        <w:rPr>
          <w:sz w:val="18"/>
          <w:szCs w:val="18"/>
          <w:lang w:val="en-US"/>
        </w:rPr>
        <w:t>, 202</w:t>
      </w:r>
      <w:r>
        <w:rPr>
          <w:sz w:val="18"/>
          <w:szCs w:val="18"/>
          <w:lang w:val="en-US"/>
        </w:rPr>
        <w:t>2,</w:t>
      </w:r>
      <w:r w:rsidRPr="0021556C">
        <w:rPr>
          <w:sz w:val="18"/>
          <w:szCs w:val="18"/>
          <w:lang w:val="en-US"/>
        </w:rPr>
        <w:t xml:space="preserve"> of the BB Seguridade Participações S.A. and, based on subsequent discussions, I agree that such statements reflect fairly, in all material respects, the financial position for the period presented.</w:t>
      </w:r>
    </w:p>
    <w:p w14:paraId="4E04739C" w14:textId="77777777" w:rsidR="00C0644E" w:rsidRDefault="00C0644E" w:rsidP="00451954">
      <w:pPr>
        <w:pStyle w:val="Body"/>
        <w:tabs>
          <w:tab w:val="left" w:pos="2393"/>
        </w:tabs>
        <w:spacing w:after="0" w:line="240" w:lineRule="auto"/>
        <w:rPr>
          <w:sz w:val="18"/>
          <w:szCs w:val="18"/>
          <w:lang w:val="en-US"/>
        </w:rPr>
      </w:pPr>
    </w:p>
    <w:p w14:paraId="1BD40C27" w14:textId="77777777" w:rsidR="00C0644E" w:rsidRPr="0021556C" w:rsidRDefault="00C0644E" w:rsidP="00451954">
      <w:pPr>
        <w:pStyle w:val="Body"/>
        <w:spacing w:after="0" w:line="240" w:lineRule="auto"/>
        <w:rPr>
          <w:sz w:val="18"/>
          <w:szCs w:val="18"/>
          <w:lang w:val="en-US"/>
        </w:rPr>
      </w:pPr>
    </w:p>
    <w:p w14:paraId="30E2FDE6" w14:textId="77777777" w:rsidR="00C0644E" w:rsidRPr="00794410" w:rsidRDefault="00C0644E" w:rsidP="00451954">
      <w:pPr>
        <w:pStyle w:val="Body"/>
        <w:spacing w:after="0" w:line="240" w:lineRule="auto"/>
        <w:rPr>
          <w:sz w:val="18"/>
          <w:szCs w:val="18"/>
          <w:lang w:val="en-US"/>
        </w:rPr>
      </w:pPr>
      <w:r w:rsidRPr="00794410">
        <w:rPr>
          <w:sz w:val="18"/>
          <w:szCs w:val="18"/>
          <w:lang w:val="en-US"/>
        </w:rPr>
        <w:t xml:space="preserve">Brasília, </w:t>
      </w:r>
      <w:bookmarkStart w:id="80" w:name="_Hlk78441283"/>
      <w:r>
        <w:rPr>
          <w:sz w:val="18"/>
          <w:szCs w:val="18"/>
          <w:lang w:val="en-US"/>
        </w:rPr>
        <w:t>February 8, 2023</w:t>
      </w:r>
      <w:bookmarkEnd w:id="80"/>
      <w:r w:rsidRPr="00794410">
        <w:rPr>
          <w:sz w:val="18"/>
          <w:szCs w:val="18"/>
          <w:lang w:val="en-US"/>
        </w:rPr>
        <w:t>.</w:t>
      </w:r>
    </w:p>
    <w:p w14:paraId="0F333035" w14:textId="77777777" w:rsidR="00C0644E" w:rsidRPr="00794410" w:rsidRDefault="00C0644E" w:rsidP="00451954">
      <w:pPr>
        <w:pStyle w:val="Body"/>
        <w:tabs>
          <w:tab w:val="left" w:pos="3083"/>
        </w:tabs>
        <w:spacing w:after="0" w:line="240" w:lineRule="auto"/>
        <w:rPr>
          <w:sz w:val="18"/>
          <w:szCs w:val="18"/>
          <w:lang w:val="en-US"/>
        </w:rPr>
      </w:pPr>
    </w:p>
    <w:p w14:paraId="39CD17F4" w14:textId="77777777" w:rsidR="00C0644E" w:rsidRPr="00794410" w:rsidRDefault="00C0644E" w:rsidP="00451954">
      <w:pPr>
        <w:pStyle w:val="Body"/>
        <w:tabs>
          <w:tab w:val="left" w:pos="3083"/>
        </w:tabs>
        <w:spacing w:after="0" w:line="240" w:lineRule="auto"/>
        <w:rPr>
          <w:sz w:val="18"/>
          <w:szCs w:val="18"/>
          <w:lang w:val="en-US"/>
        </w:rPr>
      </w:pPr>
    </w:p>
    <w:p w14:paraId="0C1CB60C" w14:textId="77777777" w:rsidR="00C0644E" w:rsidRPr="00794410" w:rsidRDefault="00C0644E" w:rsidP="00BD1849">
      <w:pPr>
        <w:pStyle w:val="05-Textonormal"/>
        <w:spacing w:before="0" w:after="0" w:line="240" w:lineRule="auto"/>
        <w:rPr>
          <w:snapToGrid w:val="0"/>
          <w:lang w:val="en-US"/>
        </w:rPr>
      </w:pPr>
      <w:bookmarkStart w:id="81" w:name="_Hlk78441167"/>
      <w:r w:rsidRPr="00794410">
        <w:rPr>
          <w:snapToGrid w:val="0"/>
          <w:lang w:val="en-US"/>
        </w:rPr>
        <w:t>Ullisses Christian Silva Assis</w:t>
      </w:r>
    </w:p>
    <w:p w14:paraId="4480ABFF" w14:textId="77777777" w:rsidR="00C0644E" w:rsidRPr="00794410" w:rsidRDefault="00C0644E" w:rsidP="00451954">
      <w:pPr>
        <w:pStyle w:val="Body"/>
        <w:spacing w:after="0" w:line="240" w:lineRule="auto"/>
        <w:rPr>
          <w:sz w:val="18"/>
          <w:szCs w:val="18"/>
          <w:lang w:val="en-US"/>
        </w:rPr>
      </w:pPr>
      <w:r w:rsidRPr="00794410">
        <w:rPr>
          <w:sz w:val="18"/>
          <w:szCs w:val="18"/>
          <w:lang w:val="en-US"/>
        </w:rPr>
        <w:t>Chief Executive Officer</w:t>
      </w:r>
    </w:p>
    <w:p w14:paraId="175333F9" w14:textId="77777777" w:rsidR="00C0644E" w:rsidRPr="00C0644E" w:rsidRDefault="00C0644E" w:rsidP="00451954">
      <w:pPr>
        <w:pStyle w:val="Body"/>
        <w:spacing w:after="0" w:line="240" w:lineRule="auto"/>
        <w:rPr>
          <w:sz w:val="18"/>
          <w:szCs w:val="18"/>
          <w:lang w:val="en-US"/>
        </w:rPr>
      </w:pPr>
    </w:p>
    <w:p w14:paraId="6DFDA53B" w14:textId="77777777" w:rsidR="00C0644E" w:rsidRPr="00794410" w:rsidRDefault="00C0644E" w:rsidP="00451954">
      <w:pPr>
        <w:pStyle w:val="Body"/>
        <w:spacing w:after="0" w:line="240" w:lineRule="auto"/>
        <w:rPr>
          <w:sz w:val="18"/>
          <w:szCs w:val="18"/>
          <w:lang w:val="en-US"/>
        </w:rPr>
      </w:pPr>
    </w:p>
    <w:p w14:paraId="36B8B71B" w14:textId="77777777" w:rsidR="00C0644E" w:rsidRPr="00794410" w:rsidRDefault="00C0644E" w:rsidP="00451954">
      <w:pPr>
        <w:pStyle w:val="Body"/>
        <w:spacing w:after="0" w:line="240" w:lineRule="auto"/>
        <w:rPr>
          <w:sz w:val="18"/>
          <w:szCs w:val="18"/>
          <w:lang w:val="en-US"/>
        </w:rPr>
      </w:pPr>
    </w:p>
    <w:p w14:paraId="67554539" w14:textId="77777777" w:rsidR="00C0644E" w:rsidRPr="00794410" w:rsidRDefault="00C0644E" w:rsidP="00B14E27">
      <w:pPr>
        <w:pStyle w:val="05-Textonormal"/>
        <w:spacing w:before="0" w:after="0" w:line="240" w:lineRule="auto"/>
        <w:rPr>
          <w:lang w:val="en-US"/>
        </w:rPr>
      </w:pPr>
    </w:p>
    <w:p w14:paraId="4D4D814F" w14:textId="77777777" w:rsidR="00C0644E" w:rsidRDefault="00C0644E" w:rsidP="00B14E27">
      <w:pPr>
        <w:pStyle w:val="05-Textonormal"/>
        <w:spacing w:before="0" w:after="0" w:line="240" w:lineRule="auto"/>
      </w:pPr>
      <w:r>
        <w:t>Bruno Alves do Nascimento</w:t>
      </w:r>
    </w:p>
    <w:p w14:paraId="3166993A" w14:textId="77777777" w:rsidR="00C0644E" w:rsidRPr="00794410" w:rsidRDefault="00C0644E" w:rsidP="00B14E27">
      <w:pPr>
        <w:spacing w:after="0" w:line="240" w:lineRule="auto"/>
        <w:jc w:val="both"/>
        <w:rPr>
          <w:rFonts w:eastAsia="Times New Roman" w:cs="Arial"/>
          <w:kern w:val="20"/>
          <w:szCs w:val="18"/>
          <w:lang w:eastAsia="en-GB"/>
        </w:rPr>
      </w:pPr>
      <w:r w:rsidRPr="00794410">
        <w:rPr>
          <w:rFonts w:eastAsia="Times New Roman" w:cs="Arial"/>
          <w:kern w:val="20"/>
          <w:szCs w:val="18"/>
          <w:lang w:eastAsia="en-GB"/>
        </w:rPr>
        <w:t>Chief Strategy Officer</w:t>
      </w:r>
    </w:p>
    <w:p w14:paraId="481124A1" w14:textId="77777777" w:rsidR="00C0644E" w:rsidRDefault="00C0644E" w:rsidP="00451954">
      <w:pPr>
        <w:pStyle w:val="Body"/>
        <w:spacing w:after="0" w:line="240" w:lineRule="auto"/>
        <w:rPr>
          <w:sz w:val="18"/>
          <w:szCs w:val="18"/>
        </w:rPr>
      </w:pPr>
    </w:p>
    <w:p w14:paraId="54B7172B" w14:textId="77777777" w:rsidR="00C0644E" w:rsidRDefault="00C0644E" w:rsidP="00451954">
      <w:pPr>
        <w:pStyle w:val="Body"/>
        <w:spacing w:after="0" w:line="240" w:lineRule="auto"/>
        <w:rPr>
          <w:sz w:val="18"/>
          <w:szCs w:val="18"/>
        </w:rPr>
      </w:pPr>
    </w:p>
    <w:p w14:paraId="0F00AEEE" w14:textId="77777777" w:rsidR="00C0644E" w:rsidRDefault="00C0644E" w:rsidP="00451954">
      <w:pPr>
        <w:pStyle w:val="Body"/>
        <w:spacing w:after="0" w:line="240" w:lineRule="auto"/>
        <w:rPr>
          <w:sz w:val="18"/>
          <w:szCs w:val="18"/>
        </w:rPr>
      </w:pPr>
    </w:p>
    <w:p w14:paraId="28439FED" w14:textId="77777777" w:rsidR="00C0644E" w:rsidRPr="00B45054" w:rsidRDefault="00C0644E" w:rsidP="00451954">
      <w:pPr>
        <w:pStyle w:val="Body"/>
        <w:spacing w:after="0" w:line="240" w:lineRule="auto"/>
        <w:rPr>
          <w:sz w:val="18"/>
          <w:szCs w:val="18"/>
        </w:rPr>
      </w:pPr>
    </w:p>
    <w:p w14:paraId="455B1B2B" w14:textId="77777777" w:rsidR="00C0644E" w:rsidRPr="00794410" w:rsidRDefault="00C0644E" w:rsidP="00BD1849">
      <w:pPr>
        <w:pStyle w:val="05-Textonormal"/>
        <w:spacing w:before="0" w:after="0" w:line="240" w:lineRule="auto"/>
        <w:rPr>
          <w:snapToGrid w:val="0"/>
          <w:lang w:val="en-US"/>
        </w:rPr>
      </w:pPr>
      <w:r w:rsidRPr="00794410">
        <w:rPr>
          <w:snapToGrid w:val="0"/>
          <w:lang w:val="en-US"/>
        </w:rPr>
        <w:t>Marcelo Lopes Lourenço</w:t>
      </w:r>
    </w:p>
    <w:p w14:paraId="532E12D1" w14:textId="77777777" w:rsidR="00C0644E" w:rsidRPr="00B15CC5" w:rsidRDefault="00C0644E" w:rsidP="00451954">
      <w:pPr>
        <w:spacing w:after="0" w:line="240" w:lineRule="auto"/>
        <w:jc w:val="both"/>
        <w:rPr>
          <w:rFonts w:eastAsia="Times New Roman" w:cs="Arial"/>
          <w:sz w:val="20"/>
          <w:szCs w:val="20"/>
          <w:lang w:val="en-US" w:eastAsia="pt-BR"/>
        </w:rPr>
      </w:pPr>
      <w:r w:rsidRPr="0021556C">
        <w:rPr>
          <w:rFonts w:eastAsia="Times New Roman" w:cs="Arial"/>
          <w:kern w:val="20"/>
          <w:szCs w:val="18"/>
          <w:lang w:val="en-US" w:eastAsia="en-GB"/>
        </w:rPr>
        <w:t>Chief Commercial Officer</w:t>
      </w:r>
    </w:p>
    <w:p w14:paraId="2994BFBB" w14:textId="77777777" w:rsidR="00C0644E" w:rsidRPr="00794410" w:rsidRDefault="00C0644E" w:rsidP="00451954">
      <w:pPr>
        <w:pStyle w:val="Body"/>
        <w:spacing w:after="0" w:line="240" w:lineRule="auto"/>
        <w:rPr>
          <w:sz w:val="18"/>
          <w:szCs w:val="18"/>
          <w:lang w:val="en-US"/>
        </w:rPr>
      </w:pPr>
    </w:p>
    <w:p w14:paraId="4A8C40AD" w14:textId="77777777" w:rsidR="00C0644E" w:rsidRPr="00794410" w:rsidRDefault="00C0644E" w:rsidP="00451954">
      <w:pPr>
        <w:pStyle w:val="Body"/>
        <w:spacing w:after="0" w:line="240" w:lineRule="auto"/>
        <w:rPr>
          <w:sz w:val="18"/>
          <w:szCs w:val="18"/>
          <w:lang w:val="en-US"/>
        </w:rPr>
      </w:pPr>
    </w:p>
    <w:p w14:paraId="0199FB3A" w14:textId="77777777" w:rsidR="00C0644E" w:rsidRPr="00794410" w:rsidRDefault="00C0644E" w:rsidP="00451954">
      <w:pPr>
        <w:pStyle w:val="Body"/>
        <w:spacing w:after="0" w:line="240" w:lineRule="auto"/>
        <w:rPr>
          <w:sz w:val="18"/>
          <w:szCs w:val="18"/>
          <w:lang w:val="en-US"/>
        </w:rPr>
      </w:pPr>
    </w:p>
    <w:p w14:paraId="0B479366" w14:textId="77777777" w:rsidR="00C0644E" w:rsidRPr="00794410" w:rsidRDefault="00C0644E" w:rsidP="00451954">
      <w:pPr>
        <w:pStyle w:val="Body"/>
        <w:spacing w:after="0" w:line="240" w:lineRule="auto"/>
        <w:rPr>
          <w:sz w:val="18"/>
          <w:szCs w:val="18"/>
          <w:lang w:val="en-US"/>
        </w:rPr>
      </w:pPr>
    </w:p>
    <w:p w14:paraId="53EE73CA" w14:textId="77777777" w:rsidR="00C0644E" w:rsidRPr="00794410" w:rsidRDefault="00C0644E" w:rsidP="00BD1849">
      <w:pPr>
        <w:pStyle w:val="05-Textonormal"/>
        <w:spacing w:before="0" w:after="0" w:line="240" w:lineRule="auto"/>
        <w:rPr>
          <w:rFonts w:cs="Arial"/>
          <w:snapToGrid w:val="0"/>
          <w:lang w:val="en-US"/>
        </w:rPr>
      </w:pPr>
      <w:r w:rsidRPr="00794410">
        <w:rPr>
          <w:rFonts w:cs="Arial"/>
          <w:snapToGrid w:val="0"/>
          <w:lang w:val="en-US"/>
        </w:rPr>
        <w:t>Rafael Augusto Sperendio</w:t>
      </w:r>
    </w:p>
    <w:p w14:paraId="7DDCF983" w14:textId="77777777" w:rsidR="00C0644E" w:rsidRDefault="00C0644E" w:rsidP="00BD1849">
      <w:pPr>
        <w:pStyle w:val="Body"/>
        <w:spacing w:after="0" w:line="240" w:lineRule="auto"/>
        <w:rPr>
          <w:sz w:val="18"/>
          <w:szCs w:val="18"/>
          <w:lang w:val="en-US"/>
        </w:rPr>
      </w:pPr>
      <w:r w:rsidRPr="0021556C">
        <w:rPr>
          <w:sz w:val="18"/>
          <w:szCs w:val="18"/>
          <w:lang w:val="en-US"/>
        </w:rPr>
        <w:t>Chief Financial Officer</w:t>
      </w:r>
    </w:p>
    <w:bookmarkEnd w:id="81"/>
    <w:p w14:paraId="215D191E" w14:textId="77777777" w:rsidR="00C0644E" w:rsidRPr="00B15CC5" w:rsidRDefault="00C0644E" w:rsidP="00451954">
      <w:pPr>
        <w:spacing w:after="0" w:line="240" w:lineRule="auto"/>
        <w:rPr>
          <w:rFonts w:eastAsia="Times New Roman" w:cs="Arial"/>
          <w:sz w:val="20"/>
          <w:szCs w:val="20"/>
          <w:lang w:val="en-US" w:eastAsia="pt-BR"/>
        </w:rPr>
      </w:pPr>
      <w:r w:rsidRPr="00B15CC5">
        <w:rPr>
          <w:rFonts w:eastAsia="Times New Roman" w:cs="Arial"/>
          <w:sz w:val="20"/>
          <w:szCs w:val="20"/>
          <w:lang w:val="en-US" w:eastAsia="pt-BR"/>
        </w:rPr>
        <w:br w:type="page"/>
      </w:r>
    </w:p>
    <w:p w14:paraId="0B995790" w14:textId="77777777" w:rsidR="00C0644E" w:rsidRPr="00794410" w:rsidRDefault="00C0644E" w:rsidP="00B14E27">
      <w:pPr>
        <w:pStyle w:val="Ttulo2"/>
        <w:jc w:val="both"/>
        <w:rPr>
          <w:rFonts w:ascii="Arial" w:hAnsi="Arial" w:cs="Arial"/>
          <w:b/>
          <w:bCs/>
          <w:color w:val="1F4E79" w:themeColor="accent1" w:themeShade="80"/>
          <w:sz w:val="20"/>
          <w:szCs w:val="20"/>
          <w:lang w:val="en-US"/>
        </w:rPr>
      </w:pPr>
    </w:p>
    <w:p w14:paraId="14C0E39E" w14:textId="77777777" w:rsidR="00C0644E" w:rsidRPr="00794410" w:rsidRDefault="00C0644E" w:rsidP="00B14E27">
      <w:pPr>
        <w:pStyle w:val="Ttulo2"/>
        <w:jc w:val="both"/>
        <w:rPr>
          <w:rFonts w:ascii="Arial" w:hAnsi="Arial" w:cs="Arial"/>
          <w:b/>
          <w:bCs/>
          <w:color w:val="1F4E79" w:themeColor="accent1" w:themeShade="80"/>
          <w:sz w:val="20"/>
          <w:szCs w:val="20"/>
          <w:lang w:val="en-US"/>
        </w:rPr>
      </w:pPr>
      <w:r w:rsidRPr="00794410">
        <w:rPr>
          <w:rFonts w:ascii="Arial" w:hAnsi="Arial" w:cs="Arial"/>
          <w:b/>
          <w:bCs/>
          <w:color w:val="1F4E79" w:themeColor="accent1" w:themeShade="80"/>
          <w:sz w:val="20"/>
          <w:szCs w:val="20"/>
          <w:lang w:val="en-US"/>
        </w:rPr>
        <w:t>DECLARATION OF THE MEMBERS OF THE EXECUTIVE BOARD ON THE REPORT OF THE INDEPENDENT AUDITORS</w:t>
      </w:r>
    </w:p>
    <w:p w14:paraId="46E8CFA2" w14:textId="77777777" w:rsidR="00C0644E" w:rsidRPr="00B15CC5" w:rsidRDefault="00C0644E" w:rsidP="00451954">
      <w:pPr>
        <w:spacing w:after="0" w:line="240" w:lineRule="auto"/>
        <w:jc w:val="both"/>
        <w:rPr>
          <w:rFonts w:eastAsia="Times New Roman" w:cs="Times New Roman"/>
          <w:kern w:val="20"/>
          <w:sz w:val="20"/>
          <w:szCs w:val="24"/>
          <w:lang w:val="en" w:eastAsia="en-GB"/>
        </w:rPr>
      </w:pPr>
    </w:p>
    <w:p w14:paraId="6C724C45" w14:textId="77777777" w:rsidR="00C0644E" w:rsidRPr="00A111C3" w:rsidRDefault="00C0644E" w:rsidP="00451954">
      <w:pPr>
        <w:pStyle w:val="05-Textonormal"/>
        <w:spacing w:before="0" w:after="0" w:line="240" w:lineRule="auto"/>
        <w:rPr>
          <w:rStyle w:val="hps"/>
          <w:lang w:val="en"/>
        </w:rPr>
      </w:pPr>
      <w:r w:rsidRPr="00A111C3">
        <w:rPr>
          <w:rStyle w:val="hps"/>
          <w:lang w:val="en"/>
        </w:rPr>
        <w:t>In accordance with</w:t>
      </w:r>
      <w:r w:rsidRPr="00A111C3">
        <w:rPr>
          <w:lang w:val="en"/>
        </w:rPr>
        <w:t xml:space="preserve"> </w:t>
      </w:r>
      <w:r w:rsidRPr="00A111C3">
        <w:rPr>
          <w:rStyle w:val="hps"/>
          <w:lang w:val="en"/>
        </w:rPr>
        <w:t>Article</w:t>
      </w:r>
      <w:r w:rsidRPr="00A111C3">
        <w:rPr>
          <w:lang w:val="en"/>
        </w:rPr>
        <w:t xml:space="preserve"> </w:t>
      </w:r>
      <w:r>
        <w:rPr>
          <w:lang w:val="en"/>
        </w:rPr>
        <w:t>27</w:t>
      </w:r>
      <w:r w:rsidRPr="00A111C3">
        <w:rPr>
          <w:rStyle w:val="hps"/>
          <w:lang w:val="en"/>
        </w:rPr>
        <w:t xml:space="preserve"> of CVM</w:t>
      </w:r>
      <w:r w:rsidRPr="00A111C3">
        <w:rPr>
          <w:lang w:val="en"/>
        </w:rPr>
        <w:t xml:space="preserve"> </w:t>
      </w:r>
      <w:r w:rsidRPr="00A111C3">
        <w:rPr>
          <w:rStyle w:val="hps"/>
          <w:lang w:val="en"/>
        </w:rPr>
        <w:t>Rule N.</w:t>
      </w:r>
      <w:r w:rsidRPr="00A111C3">
        <w:rPr>
          <w:lang w:val="en"/>
        </w:rPr>
        <w:t xml:space="preserve"> </w:t>
      </w:r>
      <w:r w:rsidRPr="00A111C3">
        <w:rPr>
          <w:rStyle w:val="hps"/>
          <w:lang w:val="en"/>
        </w:rPr>
        <w:t>80, dated</w:t>
      </w:r>
      <w:r w:rsidRPr="00A111C3">
        <w:rPr>
          <w:lang w:val="en"/>
        </w:rPr>
        <w:t xml:space="preserve"> </w:t>
      </w:r>
      <w:r>
        <w:rPr>
          <w:lang w:val="en"/>
        </w:rPr>
        <w:t>03</w:t>
      </w:r>
      <w:r w:rsidRPr="00A111C3">
        <w:rPr>
          <w:rStyle w:val="hps"/>
          <w:lang w:val="en"/>
        </w:rPr>
        <w:t>.</w:t>
      </w:r>
      <w:r>
        <w:rPr>
          <w:rStyle w:val="hps"/>
          <w:lang w:val="en"/>
        </w:rPr>
        <w:t>29</w:t>
      </w:r>
      <w:r w:rsidRPr="00A111C3">
        <w:rPr>
          <w:rStyle w:val="hps"/>
          <w:lang w:val="en"/>
        </w:rPr>
        <w:t>.20</w:t>
      </w:r>
      <w:r>
        <w:rPr>
          <w:rStyle w:val="hps"/>
          <w:lang w:val="en"/>
        </w:rPr>
        <w:t>22</w:t>
      </w:r>
      <w:r w:rsidRPr="00A111C3">
        <w:rPr>
          <w:lang w:val="en"/>
        </w:rPr>
        <w:t xml:space="preserve">, I declare that </w:t>
      </w:r>
      <w:r w:rsidRPr="00A111C3">
        <w:rPr>
          <w:rStyle w:val="hps"/>
          <w:lang w:val="en"/>
        </w:rPr>
        <w:t>based on</w:t>
      </w:r>
      <w:r w:rsidRPr="00A111C3">
        <w:rPr>
          <w:lang w:val="en"/>
        </w:rPr>
        <w:t xml:space="preserve"> </w:t>
      </w:r>
      <w:r w:rsidRPr="00A111C3">
        <w:rPr>
          <w:rStyle w:val="hps"/>
          <w:lang w:val="en"/>
        </w:rPr>
        <w:t>my knowledge</w:t>
      </w:r>
      <w:r w:rsidRPr="00A111C3">
        <w:rPr>
          <w:lang w:val="en"/>
        </w:rPr>
        <w:t xml:space="preserve">, </w:t>
      </w:r>
      <w:r w:rsidRPr="00A111C3">
        <w:rPr>
          <w:rStyle w:val="hps"/>
          <w:lang w:val="en"/>
        </w:rPr>
        <w:t>the planning submitted</w:t>
      </w:r>
      <w:r w:rsidRPr="00A111C3">
        <w:rPr>
          <w:lang w:val="en"/>
        </w:rPr>
        <w:t xml:space="preserve"> </w:t>
      </w:r>
      <w:r w:rsidRPr="00A111C3">
        <w:rPr>
          <w:rStyle w:val="hps"/>
          <w:lang w:val="en"/>
        </w:rPr>
        <w:t>by the auditors and</w:t>
      </w:r>
      <w:r w:rsidRPr="00A111C3">
        <w:rPr>
          <w:lang w:val="en"/>
        </w:rPr>
        <w:t xml:space="preserve"> </w:t>
      </w:r>
      <w:r w:rsidRPr="00A111C3">
        <w:rPr>
          <w:rStyle w:val="hps"/>
          <w:lang w:val="en"/>
        </w:rPr>
        <w:t>the subsequent discussions</w:t>
      </w:r>
      <w:r w:rsidRPr="00A111C3">
        <w:rPr>
          <w:lang w:val="en"/>
        </w:rPr>
        <w:t xml:space="preserve"> </w:t>
      </w:r>
      <w:r w:rsidRPr="00A111C3">
        <w:rPr>
          <w:rStyle w:val="hps"/>
          <w:lang w:val="en"/>
        </w:rPr>
        <w:t>on the</w:t>
      </w:r>
      <w:r w:rsidRPr="00A111C3">
        <w:rPr>
          <w:lang w:val="en"/>
        </w:rPr>
        <w:t xml:space="preserve"> </w:t>
      </w:r>
      <w:r w:rsidRPr="00A111C3">
        <w:rPr>
          <w:rStyle w:val="hps"/>
          <w:lang w:val="en"/>
        </w:rPr>
        <w:t>audit results</w:t>
      </w:r>
      <w:r w:rsidRPr="00A111C3">
        <w:rPr>
          <w:lang w:val="en"/>
        </w:rPr>
        <w:t xml:space="preserve">, I agree </w:t>
      </w:r>
      <w:r w:rsidRPr="00A111C3">
        <w:rPr>
          <w:rStyle w:val="hps"/>
          <w:lang w:val="en"/>
        </w:rPr>
        <w:t>with the</w:t>
      </w:r>
      <w:r w:rsidRPr="00A111C3">
        <w:rPr>
          <w:lang w:val="en"/>
        </w:rPr>
        <w:t xml:space="preserve"> </w:t>
      </w:r>
      <w:r w:rsidRPr="00A111C3">
        <w:rPr>
          <w:rStyle w:val="hps"/>
          <w:lang w:val="en"/>
        </w:rPr>
        <w:t>opinions expressed in</w:t>
      </w:r>
      <w:r w:rsidRPr="00A111C3">
        <w:rPr>
          <w:lang w:val="en"/>
        </w:rPr>
        <w:t xml:space="preserve"> </w:t>
      </w:r>
      <w:r w:rsidRPr="00A111C3">
        <w:rPr>
          <w:rStyle w:val="hps"/>
          <w:lang w:val="en"/>
        </w:rPr>
        <w:t xml:space="preserve">the </w:t>
      </w:r>
      <w:r w:rsidRPr="00794410">
        <w:rPr>
          <w:lang w:val="en-US"/>
        </w:rPr>
        <w:t>Deloitte Touche Tohmatsu</w:t>
      </w:r>
      <w:r w:rsidRPr="00A111C3">
        <w:rPr>
          <w:rStyle w:val="hps"/>
          <w:lang w:val="en"/>
        </w:rPr>
        <w:t xml:space="preserve"> Independent Auditors’ report</w:t>
      </w:r>
      <w:r w:rsidRPr="00A111C3">
        <w:rPr>
          <w:lang w:val="en"/>
        </w:rPr>
        <w:t xml:space="preserve">, </w:t>
      </w:r>
      <w:r w:rsidRPr="00A111C3">
        <w:rPr>
          <w:rStyle w:val="hps"/>
          <w:lang w:val="en"/>
        </w:rPr>
        <w:t>dated</w:t>
      </w:r>
      <w:r w:rsidRPr="00A111C3">
        <w:rPr>
          <w:lang w:val="en"/>
        </w:rPr>
        <w:t xml:space="preserve"> </w:t>
      </w:r>
      <w:r>
        <w:rPr>
          <w:lang w:val="en"/>
        </w:rPr>
        <w:t>February</w:t>
      </w:r>
      <w:r w:rsidRPr="00794410">
        <w:rPr>
          <w:lang w:val="en-US"/>
        </w:rPr>
        <w:t xml:space="preserve"> </w:t>
      </w:r>
      <w:r>
        <w:rPr>
          <w:lang w:val="en-US"/>
        </w:rPr>
        <w:t>8</w:t>
      </w:r>
      <w:r w:rsidRPr="00794410">
        <w:rPr>
          <w:lang w:val="en-US"/>
        </w:rPr>
        <w:t>, 202</w:t>
      </w:r>
      <w:r>
        <w:rPr>
          <w:lang w:val="en-US"/>
        </w:rPr>
        <w:t>3</w:t>
      </w:r>
      <w:r w:rsidRPr="00A111C3">
        <w:rPr>
          <w:lang w:val="en"/>
        </w:rPr>
        <w:t xml:space="preserve">, </w:t>
      </w:r>
      <w:r w:rsidRPr="00A111C3">
        <w:rPr>
          <w:rStyle w:val="hps"/>
          <w:lang w:val="en"/>
        </w:rPr>
        <w:t>related</w:t>
      </w:r>
      <w:r w:rsidRPr="00A111C3">
        <w:rPr>
          <w:lang w:val="en"/>
        </w:rPr>
        <w:t xml:space="preserve"> </w:t>
      </w:r>
      <w:r w:rsidRPr="00A111C3">
        <w:rPr>
          <w:rStyle w:val="hps"/>
          <w:lang w:val="en"/>
        </w:rPr>
        <w:t>to the financial statements</w:t>
      </w:r>
      <w:r w:rsidRPr="00A111C3">
        <w:rPr>
          <w:lang w:val="en"/>
        </w:rPr>
        <w:t xml:space="preserve"> </w:t>
      </w:r>
      <w:r w:rsidRPr="00A111C3">
        <w:rPr>
          <w:rStyle w:val="hps"/>
          <w:lang w:val="en"/>
        </w:rPr>
        <w:t>of BB</w:t>
      </w:r>
      <w:r w:rsidRPr="00A111C3">
        <w:rPr>
          <w:lang w:val="en"/>
        </w:rPr>
        <w:t xml:space="preserve"> </w:t>
      </w:r>
      <w:r w:rsidRPr="00A111C3">
        <w:rPr>
          <w:rStyle w:val="hps"/>
          <w:lang w:val="en"/>
        </w:rPr>
        <w:t>Seguridade</w:t>
      </w:r>
      <w:r w:rsidRPr="00A111C3">
        <w:rPr>
          <w:lang w:val="en"/>
        </w:rPr>
        <w:t xml:space="preserve"> </w:t>
      </w:r>
      <w:r w:rsidRPr="00A111C3">
        <w:rPr>
          <w:rStyle w:val="hps"/>
          <w:lang w:val="en"/>
        </w:rPr>
        <w:t>Participações</w:t>
      </w:r>
      <w:r w:rsidRPr="00A111C3">
        <w:rPr>
          <w:lang w:val="en"/>
        </w:rPr>
        <w:t xml:space="preserve"> </w:t>
      </w:r>
      <w:r w:rsidRPr="00A111C3">
        <w:rPr>
          <w:rStyle w:val="hps"/>
          <w:lang w:val="en"/>
        </w:rPr>
        <w:t>S.A.</w:t>
      </w:r>
      <w:r w:rsidRPr="00A111C3">
        <w:rPr>
          <w:lang w:val="en"/>
        </w:rPr>
        <w:t xml:space="preserve"> </w:t>
      </w:r>
      <w:r w:rsidRPr="00A111C3">
        <w:rPr>
          <w:rStyle w:val="hps"/>
          <w:lang w:val="en"/>
        </w:rPr>
        <w:t>for the fiscal year ended</w:t>
      </w:r>
      <w:r w:rsidRPr="00A111C3">
        <w:rPr>
          <w:lang w:val="en"/>
        </w:rPr>
        <w:t xml:space="preserve"> </w:t>
      </w:r>
      <w:r>
        <w:rPr>
          <w:lang w:val="en"/>
        </w:rPr>
        <w:t>December</w:t>
      </w:r>
      <w:r w:rsidRPr="0021556C">
        <w:rPr>
          <w:lang w:val="en-US"/>
        </w:rPr>
        <w:t xml:space="preserve"> </w:t>
      </w:r>
      <w:r>
        <w:rPr>
          <w:lang w:val="en-US"/>
        </w:rPr>
        <w:t>31</w:t>
      </w:r>
      <w:r w:rsidRPr="0021556C">
        <w:rPr>
          <w:lang w:val="en-US"/>
        </w:rPr>
        <w:t>, 202</w:t>
      </w:r>
      <w:r>
        <w:rPr>
          <w:lang w:val="en-US"/>
        </w:rPr>
        <w:t>2,</w:t>
      </w:r>
      <w:r w:rsidRPr="00A111C3">
        <w:rPr>
          <w:lang w:val="en"/>
        </w:rPr>
        <w:t xml:space="preserve"> </w:t>
      </w:r>
      <w:r w:rsidRPr="00A111C3">
        <w:rPr>
          <w:rStyle w:val="hps"/>
          <w:lang w:val="en"/>
        </w:rPr>
        <w:t>there being no disagreement.</w:t>
      </w:r>
    </w:p>
    <w:p w14:paraId="77E4EBC6" w14:textId="77777777" w:rsidR="00C0644E" w:rsidRDefault="00C0644E" w:rsidP="00451954">
      <w:pPr>
        <w:pStyle w:val="05-Textonormal"/>
        <w:spacing w:before="0" w:after="0" w:line="240" w:lineRule="auto"/>
        <w:rPr>
          <w:rStyle w:val="hps"/>
          <w:lang w:val="en"/>
        </w:rPr>
      </w:pPr>
    </w:p>
    <w:p w14:paraId="2435FCBF" w14:textId="77777777" w:rsidR="00C0644E" w:rsidRPr="00A111C3" w:rsidRDefault="00C0644E" w:rsidP="00451954">
      <w:pPr>
        <w:pStyle w:val="05-Textonormal"/>
        <w:spacing w:before="0" w:after="0" w:line="240" w:lineRule="auto"/>
        <w:rPr>
          <w:rStyle w:val="hps"/>
          <w:lang w:val="en"/>
        </w:rPr>
      </w:pPr>
    </w:p>
    <w:p w14:paraId="462E01EE" w14:textId="77777777" w:rsidR="00C0644E" w:rsidRPr="00794410" w:rsidRDefault="00C0644E" w:rsidP="005B01B3">
      <w:pPr>
        <w:pStyle w:val="Body"/>
        <w:spacing w:after="0" w:line="240" w:lineRule="auto"/>
        <w:rPr>
          <w:sz w:val="18"/>
          <w:szCs w:val="18"/>
          <w:lang w:val="en-US"/>
        </w:rPr>
      </w:pPr>
      <w:r w:rsidRPr="00794410">
        <w:rPr>
          <w:sz w:val="18"/>
          <w:szCs w:val="18"/>
          <w:lang w:val="en-US"/>
        </w:rPr>
        <w:t xml:space="preserve">Brasília (DF), </w:t>
      </w:r>
      <w:r>
        <w:rPr>
          <w:sz w:val="18"/>
          <w:szCs w:val="18"/>
          <w:lang w:val="en-US"/>
        </w:rPr>
        <w:t>February 8</w:t>
      </w:r>
      <w:r w:rsidRPr="00794410">
        <w:rPr>
          <w:sz w:val="18"/>
          <w:szCs w:val="18"/>
          <w:lang w:val="en-US"/>
        </w:rPr>
        <w:t>, 202</w:t>
      </w:r>
      <w:r>
        <w:rPr>
          <w:sz w:val="18"/>
          <w:szCs w:val="18"/>
          <w:lang w:val="en-US"/>
        </w:rPr>
        <w:t>3</w:t>
      </w:r>
      <w:r w:rsidRPr="00794410">
        <w:rPr>
          <w:sz w:val="18"/>
          <w:szCs w:val="18"/>
          <w:lang w:val="en-US"/>
        </w:rPr>
        <w:t>.</w:t>
      </w:r>
    </w:p>
    <w:p w14:paraId="6E0CD96E" w14:textId="77777777" w:rsidR="00C0644E" w:rsidRPr="00794410" w:rsidRDefault="00C0644E" w:rsidP="005B01B3">
      <w:pPr>
        <w:pStyle w:val="Body"/>
        <w:tabs>
          <w:tab w:val="left" w:pos="3083"/>
        </w:tabs>
        <w:spacing w:after="0" w:line="240" w:lineRule="auto"/>
        <w:rPr>
          <w:sz w:val="18"/>
          <w:szCs w:val="18"/>
          <w:lang w:val="en-US"/>
        </w:rPr>
      </w:pPr>
    </w:p>
    <w:p w14:paraId="7DFE4638" w14:textId="77777777" w:rsidR="00C0644E" w:rsidRPr="00794410" w:rsidRDefault="00C0644E" w:rsidP="005B01B3">
      <w:pPr>
        <w:pStyle w:val="Body"/>
        <w:tabs>
          <w:tab w:val="left" w:pos="3083"/>
        </w:tabs>
        <w:spacing w:after="0" w:line="240" w:lineRule="auto"/>
        <w:rPr>
          <w:sz w:val="18"/>
          <w:szCs w:val="18"/>
          <w:lang w:val="en-US"/>
        </w:rPr>
      </w:pPr>
    </w:p>
    <w:p w14:paraId="1ED8DCE3" w14:textId="77777777" w:rsidR="00C0644E" w:rsidRPr="00794410" w:rsidRDefault="00C0644E" w:rsidP="005B01B3">
      <w:pPr>
        <w:pStyle w:val="05-Textonormal"/>
        <w:spacing w:before="0" w:after="0" w:line="240" w:lineRule="auto"/>
        <w:rPr>
          <w:snapToGrid w:val="0"/>
          <w:lang w:val="en-US"/>
        </w:rPr>
      </w:pPr>
      <w:r w:rsidRPr="00794410">
        <w:rPr>
          <w:snapToGrid w:val="0"/>
          <w:lang w:val="en-US"/>
        </w:rPr>
        <w:t>Ullisses Christian Silva Assis</w:t>
      </w:r>
    </w:p>
    <w:p w14:paraId="009EC4C3" w14:textId="77777777" w:rsidR="00C0644E" w:rsidRPr="00794410" w:rsidRDefault="00C0644E" w:rsidP="005B01B3">
      <w:pPr>
        <w:pStyle w:val="Body"/>
        <w:spacing w:after="0" w:line="240" w:lineRule="auto"/>
        <w:rPr>
          <w:sz w:val="18"/>
          <w:szCs w:val="18"/>
          <w:lang w:val="en-US"/>
        </w:rPr>
      </w:pPr>
      <w:r w:rsidRPr="00794410">
        <w:rPr>
          <w:sz w:val="18"/>
          <w:szCs w:val="18"/>
          <w:lang w:val="en-US"/>
        </w:rPr>
        <w:t>Chief Executive Officer</w:t>
      </w:r>
    </w:p>
    <w:p w14:paraId="65EF2D93" w14:textId="77777777" w:rsidR="00C0644E" w:rsidRPr="00794410" w:rsidRDefault="00C0644E" w:rsidP="005B01B3">
      <w:pPr>
        <w:pStyle w:val="Body"/>
        <w:spacing w:after="0" w:line="240" w:lineRule="auto"/>
        <w:rPr>
          <w:sz w:val="18"/>
          <w:szCs w:val="18"/>
          <w:lang w:val="en-US"/>
        </w:rPr>
      </w:pPr>
    </w:p>
    <w:p w14:paraId="23B45E36" w14:textId="77777777" w:rsidR="00C0644E" w:rsidRPr="00794410" w:rsidRDefault="00C0644E" w:rsidP="005B01B3">
      <w:pPr>
        <w:pStyle w:val="Body"/>
        <w:spacing w:after="0" w:line="240" w:lineRule="auto"/>
        <w:rPr>
          <w:sz w:val="18"/>
          <w:szCs w:val="18"/>
          <w:lang w:val="en-US"/>
        </w:rPr>
      </w:pPr>
    </w:p>
    <w:p w14:paraId="598EFB95" w14:textId="77777777" w:rsidR="00C0644E" w:rsidRPr="00794410" w:rsidRDefault="00C0644E" w:rsidP="005B01B3">
      <w:pPr>
        <w:pStyle w:val="Body"/>
        <w:spacing w:after="0" w:line="240" w:lineRule="auto"/>
        <w:rPr>
          <w:sz w:val="18"/>
          <w:szCs w:val="18"/>
          <w:lang w:val="en-US"/>
        </w:rPr>
      </w:pPr>
    </w:p>
    <w:p w14:paraId="5D566549" w14:textId="77777777" w:rsidR="00C0644E" w:rsidRPr="00794410" w:rsidRDefault="00C0644E" w:rsidP="005B01B3">
      <w:pPr>
        <w:pStyle w:val="05-Textonormal"/>
        <w:spacing w:before="0" w:after="0" w:line="240" w:lineRule="auto"/>
        <w:rPr>
          <w:lang w:val="en-US"/>
        </w:rPr>
      </w:pPr>
    </w:p>
    <w:p w14:paraId="56787969" w14:textId="77777777" w:rsidR="00C0644E" w:rsidRDefault="00C0644E" w:rsidP="005B01B3">
      <w:pPr>
        <w:pStyle w:val="05-Textonormal"/>
        <w:spacing w:before="0" w:after="0" w:line="240" w:lineRule="auto"/>
      </w:pPr>
      <w:r>
        <w:t>Bruno Alves do Nascimento</w:t>
      </w:r>
    </w:p>
    <w:p w14:paraId="66D68D74" w14:textId="77777777" w:rsidR="00C0644E" w:rsidRPr="00794410" w:rsidRDefault="00C0644E" w:rsidP="005B01B3">
      <w:pPr>
        <w:spacing w:after="0" w:line="240" w:lineRule="auto"/>
        <w:jc w:val="both"/>
        <w:rPr>
          <w:rFonts w:eastAsia="Times New Roman" w:cs="Arial"/>
          <w:kern w:val="20"/>
          <w:szCs w:val="18"/>
          <w:lang w:eastAsia="en-GB"/>
        </w:rPr>
      </w:pPr>
      <w:r w:rsidRPr="00794410">
        <w:rPr>
          <w:rFonts w:eastAsia="Times New Roman" w:cs="Arial"/>
          <w:kern w:val="20"/>
          <w:szCs w:val="18"/>
          <w:lang w:eastAsia="en-GB"/>
        </w:rPr>
        <w:t>Chief Strategy Officer</w:t>
      </w:r>
    </w:p>
    <w:p w14:paraId="4FFD92F3" w14:textId="77777777" w:rsidR="00C0644E" w:rsidRDefault="00C0644E" w:rsidP="005B01B3">
      <w:pPr>
        <w:pStyle w:val="Body"/>
        <w:spacing w:after="0" w:line="240" w:lineRule="auto"/>
        <w:rPr>
          <w:sz w:val="18"/>
          <w:szCs w:val="18"/>
        </w:rPr>
      </w:pPr>
    </w:p>
    <w:p w14:paraId="4DFB5F20" w14:textId="77777777" w:rsidR="00C0644E" w:rsidRDefault="00C0644E" w:rsidP="005B01B3">
      <w:pPr>
        <w:pStyle w:val="Body"/>
        <w:spacing w:after="0" w:line="240" w:lineRule="auto"/>
        <w:rPr>
          <w:sz w:val="18"/>
          <w:szCs w:val="18"/>
        </w:rPr>
      </w:pPr>
    </w:p>
    <w:p w14:paraId="3F7D2937" w14:textId="77777777" w:rsidR="00C0644E" w:rsidRDefault="00C0644E" w:rsidP="005B01B3">
      <w:pPr>
        <w:pStyle w:val="Body"/>
        <w:spacing w:after="0" w:line="240" w:lineRule="auto"/>
        <w:rPr>
          <w:sz w:val="18"/>
          <w:szCs w:val="18"/>
        </w:rPr>
      </w:pPr>
    </w:p>
    <w:p w14:paraId="3FA2ED9C" w14:textId="77777777" w:rsidR="00C0644E" w:rsidRPr="00B45054" w:rsidRDefault="00C0644E" w:rsidP="005B01B3">
      <w:pPr>
        <w:pStyle w:val="Body"/>
        <w:spacing w:after="0" w:line="240" w:lineRule="auto"/>
        <w:rPr>
          <w:sz w:val="18"/>
          <w:szCs w:val="18"/>
        </w:rPr>
      </w:pPr>
    </w:p>
    <w:p w14:paraId="68825036" w14:textId="77777777" w:rsidR="00C0644E" w:rsidRPr="00D3472F" w:rsidRDefault="00C0644E" w:rsidP="005B01B3">
      <w:pPr>
        <w:pStyle w:val="05-Textonormal"/>
        <w:spacing w:before="0" w:after="0" w:line="240" w:lineRule="auto"/>
        <w:rPr>
          <w:snapToGrid w:val="0"/>
          <w:lang w:val="en-US"/>
        </w:rPr>
      </w:pPr>
      <w:r w:rsidRPr="00D3472F">
        <w:rPr>
          <w:snapToGrid w:val="0"/>
          <w:lang w:val="en-US"/>
        </w:rPr>
        <w:t>Marcelo Lopes Lourenço</w:t>
      </w:r>
    </w:p>
    <w:p w14:paraId="6A4C1FF3" w14:textId="77777777" w:rsidR="00C0644E" w:rsidRPr="00B15CC5" w:rsidRDefault="00C0644E" w:rsidP="005B01B3">
      <w:pPr>
        <w:spacing w:after="0" w:line="240" w:lineRule="auto"/>
        <w:jc w:val="both"/>
        <w:rPr>
          <w:rFonts w:eastAsia="Times New Roman" w:cs="Arial"/>
          <w:sz w:val="20"/>
          <w:szCs w:val="20"/>
          <w:lang w:val="en-US" w:eastAsia="pt-BR"/>
        </w:rPr>
      </w:pPr>
      <w:r w:rsidRPr="0021556C">
        <w:rPr>
          <w:rFonts w:eastAsia="Times New Roman" w:cs="Arial"/>
          <w:kern w:val="20"/>
          <w:szCs w:val="18"/>
          <w:lang w:val="en-US" w:eastAsia="en-GB"/>
        </w:rPr>
        <w:t>Chief Commercial Officer</w:t>
      </w:r>
    </w:p>
    <w:p w14:paraId="0572A28B" w14:textId="77777777" w:rsidR="00C0644E" w:rsidRPr="00D3472F" w:rsidRDefault="00C0644E" w:rsidP="005B01B3">
      <w:pPr>
        <w:pStyle w:val="Body"/>
        <w:spacing w:after="0" w:line="240" w:lineRule="auto"/>
        <w:rPr>
          <w:sz w:val="18"/>
          <w:szCs w:val="18"/>
          <w:lang w:val="en-US"/>
        </w:rPr>
      </w:pPr>
    </w:p>
    <w:p w14:paraId="19D26C3D" w14:textId="77777777" w:rsidR="00C0644E" w:rsidRPr="00D3472F" w:rsidRDefault="00C0644E" w:rsidP="005B01B3">
      <w:pPr>
        <w:pStyle w:val="Body"/>
        <w:spacing w:after="0" w:line="240" w:lineRule="auto"/>
        <w:rPr>
          <w:sz w:val="18"/>
          <w:szCs w:val="18"/>
          <w:lang w:val="en-US"/>
        </w:rPr>
      </w:pPr>
    </w:p>
    <w:p w14:paraId="388F2D69" w14:textId="77777777" w:rsidR="00C0644E" w:rsidRPr="00D3472F" w:rsidRDefault="00C0644E" w:rsidP="005B01B3">
      <w:pPr>
        <w:pStyle w:val="Body"/>
        <w:spacing w:after="0" w:line="240" w:lineRule="auto"/>
        <w:rPr>
          <w:sz w:val="18"/>
          <w:szCs w:val="18"/>
          <w:lang w:val="en-US"/>
        </w:rPr>
      </w:pPr>
    </w:p>
    <w:p w14:paraId="67CDF965" w14:textId="77777777" w:rsidR="00C0644E" w:rsidRPr="00D3472F" w:rsidRDefault="00C0644E" w:rsidP="005B01B3">
      <w:pPr>
        <w:pStyle w:val="Body"/>
        <w:spacing w:after="0" w:line="240" w:lineRule="auto"/>
        <w:rPr>
          <w:sz w:val="18"/>
          <w:szCs w:val="18"/>
          <w:lang w:val="en-US"/>
        </w:rPr>
      </w:pPr>
    </w:p>
    <w:p w14:paraId="63E5993E" w14:textId="77777777" w:rsidR="00C0644E" w:rsidRPr="00D3472F" w:rsidRDefault="00C0644E" w:rsidP="005B01B3">
      <w:pPr>
        <w:pStyle w:val="05-Textonormal"/>
        <w:spacing w:before="0" w:after="0" w:line="240" w:lineRule="auto"/>
        <w:rPr>
          <w:rFonts w:cs="Arial"/>
          <w:snapToGrid w:val="0"/>
          <w:lang w:val="en-US"/>
        </w:rPr>
      </w:pPr>
      <w:r w:rsidRPr="00D3472F">
        <w:rPr>
          <w:rFonts w:cs="Arial"/>
          <w:snapToGrid w:val="0"/>
          <w:lang w:val="en-US"/>
        </w:rPr>
        <w:t>Rafael Augusto Sperendio</w:t>
      </w:r>
    </w:p>
    <w:p w14:paraId="7A34BB88" w14:textId="77777777" w:rsidR="00C0644E" w:rsidRDefault="00C0644E" w:rsidP="005B01B3">
      <w:pPr>
        <w:pStyle w:val="Body"/>
        <w:spacing w:after="0" w:line="240" w:lineRule="auto"/>
        <w:rPr>
          <w:sz w:val="18"/>
          <w:szCs w:val="18"/>
          <w:lang w:val="en-US"/>
        </w:rPr>
      </w:pPr>
      <w:r w:rsidRPr="0021556C">
        <w:rPr>
          <w:sz w:val="18"/>
          <w:szCs w:val="18"/>
          <w:lang w:val="en-US"/>
        </w:rPr>
        <w:t>Chief Financial Officer</w:t>
      </w:r>
    </w:p>
    <w:p w14:paraId="540B52B5" w14:textId="77777777" w:rsidR="00C0644E" w:rsidRDefault="00C0644E" w:rsidP="005B01B3">
      <w:pPr>
        <w:pStyle w:val="05-Textonormal"/>
        <w:spacing w:before="0" w:after="0" w:line="240" w:lineRule="auto"/>
        <w:rPr>
          <w:lang w:val="en-US"/>
        </w:rPr>
      </w:pPr>
    </w:p>
    <w:p w14:paraId="315983E3" w14:textId="61A41DCF" w:rsidR="00EB247C" w:rsidRPr="00EB247C" w:rsidRDefault="00EB247C" w:rsidP="00FC4475">
      <w:pPr>
        <w:pStyle w:val="Ttulo1"/>
        <w:sectPr w:rsidR="00EB247C" w:rsidRPr="00EB247C" w:rsidSect="00A4469D">
          <w:pgSz w:w="11906" w:h="16838" w:code="9"/>
          <w:pgMar w:top="1134" w:right="1134" w:bottom="851" w:left="1134" w:header="851" w:footer="284" w:gutter="0"/>
          <w:cols w:space="708"/>
          <w:docGrid w:linePitch="360"/>
        </w:sectPr>
      </w:pPr>
    </w:p>
    <w:p w14:paraId="5112DDE6" w14:textId="5B36D55C" w:rsidR="00613FF1" w:rsidRPr="00A96BA2" w:rsidRDefault="00613FF1" w:rsidP="00FC4475">
      <w:pPr>
        <w:pStyle w:val="Ttulo1"/>
      </w:pPr>
      <w:bookmarkStart w:id="82" w:name="_Toc126781121"/>
      <w:bookmarkStart w:id="83" w:name="_Toc126780802"/>
      <w:bookmarkStart w:id="84" w:name="_Toc126779226"/>
      <w:bookmarkStart w:id="85" w:name="_Toc126778512"/>
      <w:bookmarkStart w:id="86" w:name="_Toc126778872"/>
      <w:r w:rsidRPr="00A96BA2">
        <w:lastRenderedPageBreak/>
        <w:t>MEMBERS OF THE MANAGEMENT BODIES</w:t>
      </w:r>
      <w:bookmarkEnd w:id="82"/>
      <w:bookmarkEnd w:id="83"/>
      <w:bookmarkEnd w:id="84"/>
      <w:bookmarkEnd w:id="85"/>
      <w:bookmarkEnd w:id="86"/>
    </w:p>
    <w:p w14:paraId="5BD7A901" w14:textId="77777777" w:rsidR="00613FF1" w:rsidRPr="00613FF1" w:rsidRDefault="00613FF1" w:rsidP="00A96BA2">
      <w:pPr>
        <w:keepNext/>
        <w:spacing w:line="240" w:lineRule="auto"/>
        <w:rPr>
          <w:rFonts w:eastAsia="Times New Roman" w:cs="Times New Roman"/>
          <w:spacing w:val="-2"/>
          <w:szCs w:val="18"/>
          <w:lang w:val="en-US" w:eastAsia="pt-BR"/>
        </w:rPr>
      </w:pPr>
    </w:p>
    <w:p w14:paraId="7B7B6D24" w14:textId="77777777" w:rsidR="00613FF1" w:rsidRPr="00D3472F" w:rsidRDefault="00613FF1" w:rsidP="00037403">
      <w:pPr>
        <w:spacing w:line="240" w:lineRule="auto"/>
        <w:rPr>
          <w:rFonts w:eastAsia="Times New Roman" w:cs="Times New Roman"/>
          <w:b/>
          <w:color w:val="1F4E79" w:themeColor="accent1" w:themeShade="80"/>
          <w:spacing w:val="-2"/>
          <w:sz w:val="20"/>
          <w:szCs w:val="20"/>
          <w:lang w:eastAsia="pt-BR"/>
        </w:rPr>
      </w:pPr>
      <w:r w:rsidRPr="00D3472F">
        <w:rPr>
          <w:rFonts w:eastAsia="Times New Roman" w:cs="Times New Roman"/>
          <w:b/>
          <w:color w:val="1F4E79" w:themeColor="accent1" w:themeShade="80"/>
          <w:spacing w:val="-2"/>
          <w:sz w:val="20"/>
          <w:szCs w:val="20"/>
          <w:lang w:eastAsia="pt-BR"/>
        </w:rPr>
        <w:t>DIRECTOR-PRESIDENT</w:t>
      </w:r>
    </w:p>
    <w:p w14:paraId="4916FFDB" w14:textId="77777777" w:rsidR="00613FF1" w:rsidRDefault="00613FF1" w:rsidP="00966F31">
      <w:pPr>
        <w:pStyle w:val="05-Textonormal"/>
        <w:keepNext/>
        <w:spacing w:before="0" w:after="200" w:line="240" w:lineRule="auto"/>
        <w:jc w:val="left"/>
        <w:rPr>
          <w:snapToGrid w:val="0"/>
        </w:rPr>
      </w:pPr>
      <w:r w:rsidRPr="00D561DC">
        <w:rPr>
          <w:snapToGrid w:val="0"/>
        </w:rPr>
        <w:t>Ullisses Christian Silva Assis</w:t>
      </w:r>
    </w:p>
    <w:p w14:paraId="12623F1E" w14:textId="77777777" w:rsidR="00613FF1" w:rsidRPr="00A96BA2" w:rsidRDefault="00613FF1" w:rsidP="00A96BA2">
      <w:pPr>
        <w:keepNext/>
        <w:spacing w:line="240" w:lineRule="auto"/>
        <w:rPr>
          <w:rFonts w:eastAsia="Times New Roman" w:cs="Times New Roman"/>
          <w:spacing w:val="-2"/>
          <w:szCs w:val="18"/>
          <w:lang w:eastAsia="pt-BR"/>
        </w:rPr>
      </w:pPr>
    </w:p>
    <w:p w14:paraId="5E1C0B1C" w14:textId="77777777" w:rsidR="00613FF1" w:rsidRPr="00037403" w:rsidRDefault="00613FF1" w:rsidP="00037403">
      <w:pPr>
        <w:spacing w:line="240" w:lineRule="auto"/>
        <w:rPr>
          <w:rFonts w:eastAsia="Times New Roman" w:cs="Times New Roman"/>
          <w:b/>
          <w:color w:val="1F4E79" w:themeColor="accent1" w:themeShade="80"/>
          <w:spacing w:val="-2"/>
          <w:sz w:val="20"/>
          <w:szCs w:val="20"/>
          <w:lang w:eastAsia="pt-BR"/>
        </w:rPr>
      </w:pPr>
      <w:r w:rsidRPr="00037403">
        <w:rPr>
          <w:rFonts w:eastAsia="Times New Roman" w:cs="Times New Roman"/>
          <w:b/>
          <w:color w:val="1F4E79" w:themeColor="accent1" w:themeShade="80"/>
          <w:spacing w:val="-2"/>
          <w:sz w:val="20"/>
          <w:szCs w:val="20"/>
          <w:lang w:eastAsia="pt-BR"/>
        </w:rPr>
        <w:t>DIRECTORS</w:t>
      </w:r>
    </w:p>
    <w:p w14:paraId="74E30743" w14:textId="77777777" w:rsidR="00613FF1" w:rsidRDefault="00613FF1" w:rsidP="00646B62">
      <w:pPr>
        <w:pStyle w:val="05-Textonormal"/>
        <w:keepNext/>
        <w:spacing w:before="0" w:after="200" w:line="240" w:lineRule="auto"/>
        <w:jc w:val="left"/>
        <w:rPr>
          <w:snapToGrid w:val="0"/>
        </w:rPr>
      </w:pPr>
      <w:r>
        <w:rPr>
          <w:snapToGrid w:val="0"/>
        </w:rPr>
        <w:t>Bruno Alves d</w:t>
      </w:r>
      <w:r w:rsidRPr="00DD0E88">
        <w:rPr>
          <w:snapToGrid w:val="0"/>
        </w:rPr>
        <w:t>o Nascimento</w:t>
      </w:r>
    </w:p>
    <w:p w14:paraId="449A8A3A" w14:textId="77777777" w:rsidR="00613FF1" w:rsidRDefault="00613FF1" w:rsidP="00646B62">
      <w:pPr>
        <w:pStyle w:val="05-Textonormal"/>
        <w:keepNext/>
        <w:spacing w:before="0" w:after="200" w:line="240" w:lineRule="auto"/>
        <w:jc w:val="left"/>
        <w:rPr>
          <w:snapToGrid w:val="0"/>
        </w:rPr>
      </w:pPr>
      <w:r w:rsidRPr="00D561DC">
        <w:rPr>
          <w:snapToGrid w:val="0"/>
        </w:rPr>
        <w:t>Marcelo Lopes Lourenço</w:t>
      </w:r>
    </w:p>
    <w:p w14:paraId="77B5BAB1" w14:textId="77777777" w:rsidR="00613FF1" w:rsidRPr="0037081A" w:rsidRDefault="00613FF1" w:rsidP="00646B62">
      <w:pPr>
        <w:pStyle w:val="05-Textonormal"/>
        <w:keepNext/>
        <w:spacing w:before="0" w:after="200" w:line="240" w:lineRule="auto"/>
        <w:jc w:val="left"/>
        <w:rPr>
          <w:snapToGrid w:val="0"/>
        </w:rPr>
      </w:pPr>
      <w:r w:rsidRPr="0037081A">
        <w:rPr>
          <w:snapToGrid w:val="0"/>
        </w:rPr>
        <w:t>Rafael Augusto Sperendio</w:t>
      </w:r>
    </w:p>
    <w:p w14:paraId="11C82086" w14:textId="77777777" w:rsidR="00613FF1" w:rsidRPr="00A96BA2" w:rsidRDefault="00613FF1" w:rsidP="00A96BA2">
      <w:pPr>
        <w:keepNext/>
        <w:spacing w:line="240" w:lineRule="auto"/>
        <w:rPr>
          <w:rFonts w:eastAsia="Times New Roman" w:cs="Times New Roman"/>
          <w:snapToGrid w:val="0"/>
          <w:spacing w:val="-2"/>
          <w:szCs w:val="18"/>
          <w:lang w:eastAsia="pt-BR"/>
        </w:rPr>
      </w:pPr>
    </w:p>
    <w:p w14:paraId="459470D9" w14:textId="77777777" w:rsidR="00613FF1" w:rsidRPr="00037403" w:rsidRDefault="00613FF1" w:rsidP="00037403">
      <w:pPr>
        <w:spacing w:line="240" w:lineRule="auto"/>
        <w:rPr>
          <w:rFonts w:eastAsia="Times New Roman" w:cs="Times New Roman"/>
          <w:b/>
          <w:color w:val="1F4E79" w:themeColor="accent1" w:themeShade="80"/>
          <w:spacing w:val="-2"/>
          <w:sz w:val="20"/>
          <w:szCs w:val="20"/>
          <w:lang w:eastAsia="pt-BR"/>
        </w:rPr>
      </w:pPr>
      <w:r w:rsidRPr="00037403">
        <w:rPr>
          <w:rFonts w:eastAsia="Times New Roman" w:cs="Times New Roman"/>
          <w:b/>
          <w:color w:val="1F4E79" w:themeColor="accent1" w:themeShade="80"/>
          <w:spacing w:val="-2"/>
          <w:sz w:val="20"/>
          <w:szCs w:val="20"/>
          <w:lang w:eastAsia="pt-BR"/>
        </w:rPr>
        <w:t>BOARD OF DIRECTORS</w:t>
      </w:r>
    </w:p>
    <w:p w14:paraId="6ABA0933" w14:textId="77777777" w:rsidR="00613FF1" w:rsidRPr="00A61E45" w:rsidRDefault="00613FF1" w:rsidP="00080F4B">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Marcelo Cavalcante de Oliveira Lima (Presidente)</w:t>
      </w:r>
    </w:p>
    <w:p w14:paraId="7DFFD798" w14:textId="77777777" w:rsidR="00613FF1" w:rsidRDefault="00613FF1" w:rsidP="00080F4B">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Bruno Silva Dalcolmo</w:t>
      </w:r>
    </w:p>
    <w:p w14:paraId="5AFEDBE7" w14:textId="77777777" w:rsidR="00613FF1" w:rsidRPr="00A61E45" w:rsidRDefault="00613FF1" w:rsidP="00080F4B">
      <w:pPr>
        <w:keepNext/>
        <w:spacing w:line="240" w:lineRule="auto"/>
        <w:rPr>
          <w:rFonts w:eastAsia="Times New Roman" w:cs="Times New Roman"/>
          <w:snapToGrid w:val="0"/>
          <w:spacing w:val="-2"/>
          <w:szCs w:val="18"/>
          <w:lang w:eastAsia="pt-BR"/>
        </w:rPr>
      </w:pPr>
      <w:r w:rsidRPr="00126EE0">
        <w:rPr>
          <w:rFonts w:eastAsia="Times New Roman" w:cs="Times New Roman"/>
          <w:snapToGrid w:val="0"/>
          <w:spacing w:val="-2"/>
          <w:szCs w:val="18"/>
          <w:lang w:eastAsia="pt-BR"/>
        </w:rPr>
        <w:t>Daniel Alves Maria</w:t>
      </w:r>
    </w:p>
    <w:p w14:paraId="7E470627" w14:textId="77777777" w:rsidR="00613FF1" w:rsidRPr="00A61E45" w:rsidRDefault="00613FF1" w:rsidP="00080F4B">
      <w:pPr>
        <w:keepNext/>
        <w:spacing w:line="240" w:lineRule="auto"/>
        <w:rPr>
          <w:rFonts w:cs="Arial"/>
          <w:szCs w:val="18"/>
        </w:rPr>
      </w:pPr>
      <w:r w:rsidRPr="00A61E45">
        <w:rPr>
          <w:rFonts w:cs="Arial"/>
          <w:szCs w:val="18"/>
        </w:rPr>
        <w:t>Gilberto Lourenço da Aparecida</w:t>
      </w:r>
    </w:p>
    <w:p w14:paraId="05C41330" w14:textId="77777777" w:rsidR="00613FF1" w:rsidRPr="00A61E45" w:rsidRDefault="00613FF1" w:rsidP="00080F4B">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Isabel da Silva Ramos</w:t>
      </w:r>
    </w:p>
    <w:p w14:paraId="4E20C638" w14:textId="77777777" w:rsidR="00613FF1" w:rsidRPr="00A61E45" w:rsidRDefault="00613FF1" w:rsidP="00080F4B">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Ricardo Moura de Araújo Faria</w:t>
      </w:r>
    </w:p>
    <w:p w14:paraId="5A612B82" w14:textId="77777777" w:rsidR="00613FF1" w:rsidRPr="00A61E45" w:rsidRDefault="00613FF1" w:rsidP="00080F4B">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Ullisses Christian Silva Assis</w:t>
      </w:r>
    </w:p>
    <w:p w14:paraId="5CCEF9E9" w14:textId="77777777" w:rsidR="00613FF1" w:rsidRPr="00A96BA2" w:rsidRDefault="00613FF1" w:rsidP="00A96BA2">
      <w:pPr>
        <w:keepNext/>
        <w:spacing w:line="240" w:lineRule="auto"/>
        <w:rPr>
          <w:rFonts w:eastAsia="Times New Roman" w:cs="Times New Roman"/>
          <w:snapToGrid w:val="0"/>
          <w:spacing w:val="-2"/>
          <w:szCs w:val="24"/>
          <w:lang w:eastAsia="pt-BR"/>
        </w:rPr>
      </w:pPr>
    </w:p>
    <w:p w14:paraId="0B5637C4" w14:textId="77777777" w:rsidR="00613FF1" w:rsidRPr="00037403" w:rsidRDefault="00613FF1" w:rsidP="00037403">
      <w:pPr>
        <w:spacing w:line="240" w:lineRule="auto"/>
        <w:rPr>
          <w:rFonts w:eastAsia="Times New Roman" w:cs="Times New Roman"/>
          <w:b/>
          <w:color w:val="1F4E79" w:themeColor="accent1" w:themeShade="80"/>
          <w:spacing w:val="-2"/>
          <w:sz w:val="20"/>
          <w:szCs w:val="20"/>
          <w:lang w:eastAsia="pt-BR"/>
        </w:rPr>
      </w:pPr>
      <w:r w:rsidRPr="00037403">
        <w:rPr>
          <w:rFonts w:eastAsia="Times New Roman" w:cs="Times New Roman"/>
          <w:b/>
          <w:color w:val="1F4E79" w:themeColor="accent1" w:themeShade="80"/>
          <w:spacing w:val="-2"/>
          <w:sz w:val="20"/>
          <w:szCs w:val="20"/>
          <w:lang w:eastAsia="pt-BR"/>
        </w:rPr>
        <w:t>FISCAL COUNCIL</w:t>
      </w:r>
    </w:p>
    <w:p w14:paraId="05A5FEB2" w14:textId="77777777" w:rsidR="00613FF1" w:rsidRDefault="00613FF1" w:rsidP="000A149A">
      <w:pPr>
        <w:pStyle w:val="05-Textonormal"/>
        <w:keepNext/>
        <w:spacing w:before="0" w:after="200" w:line="240" w:lineRule="auto"/>
        <w:jc w:val="left"/>
        <w:rPr>
          <w:snapToGrid w:val="0"/>
        </w:rPr>
      </w:pPr>
      <w:r w:rsidRPr="00B02ABA">
        <w:rPr>
          <w:snapToGrid w:val="0"/>
        </w:rPr>
        <w:t>Lucin</w:t>
      </w:r>
      <w:r>
        <w:rPr>
          <w:snapToGrid w:val="0"/>
        </w:rPr>
        <w:t>é</w:t>
      </w:r>
      <w:r w:rsidRPr="00B02ABA">
        <w:rPr>
          <w:snapToGrid w:val="0"/>
        </w:rPr>
        <w:t>ia Possar</w:t>
      </w:r>
    </w:p>
    <w:p w14:paraId="4C28B7BF" w14:textId="77777777" w:rsidR="00613FF1" w:rsidRPr="00A61E45" w:rsidRDefault="00613FF1" w:rsidP="00080F4B">
      <w:pPr>
        <w:keepNext/>
        <w:spacing w:line="240" w:lineRule="auto"/>
        <w:rPr>
          <w:rFonts w:eastAsia="Times New Roman" w:cs="Times New Roman"/>
          <w:snapToGrid w:val="0"/>
          <w:spacing w:val="-2"/>
          <w:szCs w:val="24"/>
          <w:lang w:eastAsia="pt-BR"/>
        </w:rPr>
      </w:pPr>
      <w:r w:rsidRPr="00A61E45">
        <w:rPr>
          <w:rFonts w:eastAsia="Times New Roman" w:cs="Times New Roman"/>
          <w:snapToGrid w:val="0"/>
          <w:spacing w:val="-2"/>
          <w:szCs w:val="24"/>
          <w:lang w:eastAsia="pt-BR"/>
        </w:rPr>
        <w:t>Adriano Pereira de Paula</w:t>
      </w:r>
    </w:p>
    <w:p w14:paraId="511E065C" w14:textId="77777777" w:rsidR="00613FF1" w:rsidRPr="00613FF1" w:rsidRDefault="00613FF1" w:rsidP="00966F31">
      <w:pPr>
        <w:pStyle w:val="05-Textonormal"/>
        <w:keepNext/>
        <w:spacing w:before="0" w:after="200" w:line="240" w:lineRule="auto"/>
        <w:jc w:val="left"/>
        <w:rPr>
          <w:snapToGrid w:val="0"/>
          <w:lang w:val="en-US"/>
        </w:rPr>
      </w:pPr>
      <w:r w:rsidRPr="00613FF1">
        <w:rPr>
          <w:snapToGrid w:val="0"/>
          <w:lang w:val="en-US"/>
        </w:rPr>
        <w:t>Francisco Olinto Velo Schmitt</w:t>
      </w:r>
    </w:p>
    <w:p w14:paraId="07E6C773" w14:textId="77777777" w:rsidR="00613FF1" w:rsidRPr="00613FF1" w:rsidRDefault="00613FF1" w:rsidP="00A96BA2">
      <w:pPr>
        <w:keepNext/>
        <w:spacing w:line="240" w:lineRule="auto"/>
        <w:rPr>
          <w:rFonts w:eastAsia="Times New Roman" w:cs="Times New Roman"/>
          <w:snapToGrid w:val="0"/>
          <w:spacing w:val="-2"/>
          <w:szCs w:val="24"/>
          <w:lang w:val="en-US" w:eastAsia="pt-BR"/>
        </w:rPr>
      </w:pPr>
    </w:p>
    <w:p w14:paraId="3B7E39F4" w14:textId="77777777" w:rsidR="00613FF1" w:rsidRPr="00613FF1" w:rsidRDefault="00613FF1" w:rsidP="00037403">
      <w:pPr>
        <w:spacing w:line="240" w:lineRule="auto"/>
        <w:rPr>
          <w:rFonts w:eastAsia="Times New Roman" w:cs="Times New Roman"/>
          <w:b/>
          <w:color w:val="1F4E79" w:themeColor="accent1" w:themeShade="80"/>
          <w:spacing w:val="-2"/>
          <w:sz w:val="20"/>
          <w:szCs w:val="20"/>
          <w:lang w:val="en-US" w:eastAsia="pt-BR"/>
        </w:rPr>
      </w:pPr>
      <w:r w:rsidRPr="00613FF1">
        <w:rPr>
          <w:rFonts w:eastAsia="Times New Roman" w:cs="Times New Roman"/>
          <w:b/>
          <w:color w:val="1F4E79" w:themeColor="accent1" w:themeShade="80"/>
          <w:spacing w:val="-2"/>
          <w:sz w:val="20"/>
          <w:szCs w:val="20"/>
          <w:lang w:val="en-US" w:eastAsia="pt-BR"/>
        </w:rPr>
        <w:t>AUDIT COMMITTEE</w:t>
      </w:r>
    </w:p>
    <w:p w14:paraId="748221CD" w14:textId="77777777" w:rsidR="00613FF1" w:rsidRPr="00037403" w:rsidRDefault="00613FF1" w:rsidP="00037403">
      <w:pPr>
        <w:pStyle w:val="05-Textonormal"/>
        <w:keepNext/>
        <w:spacing w:before="0" w:after="200" w:line="240" w:lineRule="auto"/>
        <w:jc w:val="left"/>
        <w:rPr>
          <w:snapToGrid w:val="0"/>
        </w:rPr>
      </w:pPr>
      <w:r w:rsidRPr="00037403">
        <w:rPr>
          <w:snapToGrid w:val="0"/>
        </w:rPr>
        <w:t>Luiz Claudio Moraes</w:t>
      </w:r>
    </w:p>
    <w:p w14:paraId="3F579F59" w14:textId="77777777" w:rsidR="00613FF1" w:rsidRPr="00037403" w:rsidRDefault="00613FF1" w:rsidP="00037403">
      <w:pPr>
        <w:pStyle w:val="05-Textonormal"/>
        <w:keepNext/>
        <w:spacing w:before="0" w:after="200" w:line="240" w:lineRule="auto"/>
        <w:jc w:val="left"/>
        <w:rPr>
          <w:snapToGrid w:val="0"/>
        </w:rPr>
      </w:pPr>
      <w:r w:rsidRPr="00037403">
        <w:rPr>
          <w:snapToGrid w:val="0"/>
        </w:rPr>
        <w:t>Artemio Bertholini</w:t>
      </w:r>
    </w:p>
    <w:p w14:paraId="1F88E623" w14:textId="77777777" w:rsidR="00613FF1" w:rsidRPr="00037403" w:rsidRDefault="00613FF1" w:rsidP="00037403">
      <w:pPr>
        <w:pStyle w:val="05-Textonormal"/>
        <w:keepNext/>
        <w:spacing w:before="0" w:after="200" w:line="240" w:lineRule="auto"/>
        <w:jc w:val="left"/>
        <w:rPr>
          <w:snapToGrid w:val="0"/>
        </w:rPr>
      </w:pPr>
      <w:r w:rsidRPr="00037403">
        <w:rPr>
          <w:snapToGrid w:val="0"/>
        </w:rPr>
        <w:t>Gilberto Lourenço da Aparecida</w:t>
      </w:r>
    </w:p>
    <w:p w14:paraId="61F18728" w14:textId="77777777" w:rsidR="00613FF1" w:rsidRPr="00037403" w:rsidRDefault="00613FF1" w:rsidP="00037403">
      <w:pPr>
        <w:pStyle w:val="05-Textonormal"/>
        <w:keepNext/>
        <w:spacing w:before="0" w:after="200" w:line="240" w:lineRule="auto"/>
        <w:jc w:val="left"/>
        <w:rPr>
          <w:snapToGrid w:val="0"/>
        </w:rPr>
      </w:pPr>
      <w:r w:rsidRPr="00037403">
        <w:rPr>
          <w:snapToGrid w:val="0"/>
        </w:rPr>
        <w:t>Manoel Gimenes Ruy</w:t>
      </w:r>
    </w:p>
    <w:p w14:paraId="09DAFD73" w14:textId="77777777" w:rsidR="00613FF1" w:rsidRPr="00037403" w:rsidRDefault="00613FF1" w:rsidP="00037403">
      <w:pPr>
        <w:pStyle w:val="05-Textonormal"/>
        <w:keepNext/>
        <w:spacing w:before="0" w:after="200" w:line="240" w:lineRule="auto"/>
        <w:jc w:val="left"/>
        <w:rPr>
          <w:snapToGrid w:val="0"/>
        </w:rPr>
      </w:pPr>
      <w:r w:rsidRPr="00037403">
        <w:rPr>
          <w:snapToGrid w:val="0"/>
        </w:rPr>
        <w:t>Roberto Lamb</w:t>
      </w:r>
    </w:p>
    <w:p w14:paraId="3139D82E" w14:textId="77777777" w:rsidR="00613FF1" w:rsidRPr="00A96BA2" w:rsidRDefault="00613FF1" w:rsidP="00A96BA2">
      <w:pPr>
        <w:keepNext/>
        <w:spacing w:line="240" w:lineRule="auto"/>
        <w:rPr>
          <w:rFonts w:eastAsia="Times New Roman" w:cs="Times New Roman"/>
          <w:snapToGrid w:val="0"/>
          <w:spacing w:val="-2"/>
          <w:szCs w:val="18"/>
          <w:lang w:eastAsia="pt-BR"/>
        </w:rPr>
      </w:pPr>
    </w:p>
    <w:p w14:paraId="1327276B" w14:textId="77777777" w:rsidR="00613FF1" w:rsidRPr="00037403" w:rsidRDefault="00613FF1" w:rsidP="00037403">
      <w:pPr>
        <w:spacing w:line="240" w:lineRule="auto"/>
        <w:rPr>
          <w:rFonts w:eastAsia="Times New Roman" w:cs="Times New Roman"/>
          <w:b/>
          <w:color w:val="1F4E79" w:themeColor="accent1" w:themeShade="80"/>
          <w:spacing w:val="-2"/>
          <w:sz w:val="20"/>
          <w:szCs w:val="20"/>
          <w:lang w:eastAsia="pt-BR"/>
        </w:rPr>
      </w:pPr>
      <w:r w:rsidRPr="00037403">
        <w:rPr>
          <w:rFonts w:eastAsia="Times New Roman" w:cs="Times New Roman"/>
          <w:b/>
          <w:color w:val="1F4E79" w:themeColor="accent1" w:themeShade="80"/>
          <w:spacing w:val="-2"/>
          <w:sz w:val="20"/>
          <w:szCs w:val="20"/>
          <w:lang w:eastAsia="pt-BR"/>
        </w:rPr>
        <w:t>ACCOUNTANT</w:t>
      </w:r>
    </w:p>
    <w:p w14:paraId="601FEB04" w14:textId="77777777" w:rsidR="00613FF1" w:rsidRPr="00056907" w:rsidRDefault="00613FF1" w:rsidP="00966F31">
      <w:pPr>
        <w:pStyle w:val="05-Textonormal"/>
        <w:keepNext/>
        <w:spacing w:before="0" w:after="200" w:line="240" w:lineRule="auto"/>
        <w:jc w:val="left"/>
        <w:rPr>
          <w:snapToGrid w:val="0"/>
        </w:rPr>
      </w:pPr>
      <w:r w:rsidRPr="00056907">
        <w:rPr>
          <w:snapToGrid w:val="0"/>
        </w:rPr>
        <w:t>Pedro Kiefer Braga</w:t>
      </w:r>
    </w:p>
    <w:p w14:paraId="4387ECAB" w14:textId="77777777" w:rsidR="00613FF1" w:rsidRPr="00056907" w:rsidRDefault="00613FF1" w:rsidP="00966F31">
      <w:pPr>
        <w:pStyle w:val="05-Textonormal"/>
        <w:keepNext/>
        <w:spacing w:before="0" w:after="200" w:line="240" w:lineRule="auto"/>
        <w:jc w:val="left"/>
        <w:rPr>
          <w:snapToGrid w:val="0"/>
        </w:rPr>
      </w:pPr>
      <w:r w:rsidRPr="00056907">
        <w:rPr>
          <w:snapToGrid w:val="0"/>
        </w:rPr>
        <w:t>CRC-DF 020.786/O-0</w:t>
      </w:r>
    </w:p>
    <w:p w14:paraId="508F2B65" w14:textId="77777777" w:rsidR="00613FF1" w:rsidRPr="00B47B5C" w:rsidRDefault="00613FF1" w:rsidP="00966F31">
      <w:pPr>
        <w:pStyle w:val="05-Textonormal"/>
        <w:keepNext/>
        <w:spacing w:before="0" w:after="200" w:line="240" w:lineRule="auto"/>
        <w:jc w:val="left"/>
      </w:pPr>
      <w:r w:rsidRPr="00056907">
        <w:rPr>
          <w:snapToGrid w:val="0"/>
        </w:rPr>
        <w:t>CPF 027.782.029-43</w:t>
      </w:r>
    </w:p>
    <w:p w14:paraId="426CC773" w14:textId="24EE0B5E" w:rsidR="0023652C" w:rsidRPr="00C74FB3" w:rsidRDefault="0023652C" w:rsidP="00FC4475">
      <w:pPr>
        <w:pStyle w:val="Ttulo1"/>
        <w:rPr>
          <w:lang w:val="pt-BR"/>
        </w:rPr>
      </w:pPr>
    </w:p>
    <w:sectPr w:rsidR="0023652C" w:rsidRPr="00C74FB3" w:rsidSect="00A4469D">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8441" w14:textId="77777777" w:rsidR="003A4A47" w:rsidRDefault="003A4A47" w:rsidP="001170F1">
      <w:pPr>
        <w:spacing w:after="0" w:line="240" w:lineRule="auto"/>
      </w:pPr>
      <w:r>
        <w:separator/>
      </w:r>
    </w:p>
  </w:endnote>
  <w:endnote w:type="continuationSeparator" w:id="0">
    <w:p w14:paraId="2EE9981F" w14:textId="77777777" w:rsidR="003A4A47" w:rsidRDefault="003A4A47" w:rsidP="0011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0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BancoDoBrasil Textos Light">
    <w:panose1 w:val="00000400000000000000"/>
    <w:charset w:val="00"/>
    <w:family w:val="auto"/>
    <w:pitch w:val="variable"/>
    <w:sig w:usb0="00000003" w:usb1="00000001"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628372"/>
      <w:docPartObj>
        <w:docPartGallery w:val="Page Numbers (Bottom of Page)"/>
        <w:docPartUnique/>
      </w:docPartObj>
    </w:sdtPr>
    <w:sdtEndPr/>
    <w:sdtContent>
      <w:p w14:paraId="6FE3CC3F" w14:textId="229BFCFE" w:rsidR="003A4A47" w:rsidRDefault="003A4A47">
        <w:pPr>
          <w:pStyle w:val="Rodap"/>
          <w:jc w:val="right"/>
        </w:pPr>
        <w:r>
          <w:fldChar w:fldCharType="begin"/>
        </w:r>
        <w:r>
          <w:instrText>PAGE   \* MERGEFORMAT</w:instrText>
        </w:r>
        <w:r>
          <w:fldChar w:fldCharType="separate"/>
        </w:r>
        <w:r w:rsidR="00B54C69">
          <w:rPr>
            <w:noProof/>
          </w:rPr>
          <w:t>17</w:t>
        </w:r>
        <w:r>
          <w:fldChar w:fldCharType="end"/>
        </w:r>
      </w:p>
    </w:sdtContent>
  </w:sdt>
  <w:p w14:paraId="5AFA6BA4" w14:textId="06C03928" w:rsidR="003A4A47" w:rsidRDefault="003A4A47" w:rsidP="00F81992">
    <w:pPr>
      <w:pStyle w:val="Rodap"/>
      <w:tabs>
        <w:tab w:val="clear" w:pos="4252"/>
        <w:tab w:val="clear" w:pos="8504"/>
        <w:tab w:val="left" w:pos="8508"/>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9EF2" w14:textId="77777777" w:rsidR="00453406" w:rsidRDefault="00453406">
    <w:pPr>
      <w:pStyle w:val="Rodap"/>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02FF" w14:textId="77777777" w:rsidR="00453406" w:rsidRDefault="00453406">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9AA1" w14:textId="77777777" w:rsidR="00453406" w:rsidRDefault="00453406">
    <w:pPr>
      <w:pStyle w:val="Rodap"/>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A815" w14:textId="77777777" w:rsidR="00453406" w:rsidRPr="00F8553B" w:rsidRDefault="00453406" w:rsidP="00F8553B">
    <w:pPr>
      <w:pStyle w:val="Rodap"/>
      <w:tabs>
        <w:tab w:val="clear" w:pos="4252"/>
        <w:tab w:val="clear" w:pos="8504"/>
        <w:tab w:val="right" w:pos="9638"/>
      </w:tabs>
      <w:rPr>
        <w:rFonts w:ascii="Verdana" w:hAnsi="Verdana"/>
        <w:sz w:val="16"/>
      </w:rPr>
    </w:pPr>
    <w:r w:rsidRPr="00453406">
      <w:rPr>
        <w:rFonts w:ascii="Verdana" w:hAnsi="Verdana"/>
        <w:sz w:val="16"/>
        <w:lang w:val="en-US"/>
      </w:rPr>
      <w:t>© 2019 Deloitte Touche Tohmatsu. All rights reserved.</w:t>
    </w:r>
    <w:r w:rsidRPr="00453406">
      <w:rPr>
        <w:rFonts w:ascii="Verdana" w:hAnsi="Verdana"/>
        <w:sz w:val="16"/>
        <w:lang w:val="en-US"/>
      </w:rPr>
      <w:tab/>
    </w:r>
    <w:r w:rsidRPr="00F8553B">
      <w:rPr>
        <w:rFonts w:ascii="Verdana" w:hAnsi="Verdana"/>
      </w:rPr>
      <w:fldChar w:fldCharType="begin"/>
    </w:r>
    <w:r w:rsidRPr="00453406">
      <w:rPr>
        <w:rFonts w:ascii="Verdana" w:hAnsi="Verdana"/>
        <w:lang w:val="en-US"/>
      </w:rPr>
      <w:instrText xml:space="preserve"> PAGE  \* Arabic  \* MERGEFORMAT </w:instrText>
    </w:r>
    <w:r w:rsidRPr="00F8553B">
      <w:rPr>
        <w:rFonts w:ascii="Verdana" w:hAnsi="Verdana"/>
      </w:rPr>
      <w:fldChar w:fldCharType="separate"/>
    </w:r>
    <w:r>
      <w:rPr>
        <w:rFonts w:ascii="Verdana" w:hAnsi="Verdana"/>
        <w:noProof/>
      </w:rPr>
      <w:t>2</w:t>
    </w:r>
    <w:r w:rsidRPr="00F8553B">
      <w:rPr>
        <w:rFonts w:ascii="Verdana" w:hAnsi="Verdana"/>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775D" w14:textId="77777777" w:rsidR="00453406" w:rsidRPr="000F0E2F" w:rsidRDefault="00453406" w:rsidP="000F0E2F">
    <w:pPr>
      <w:pStyle w:val="Rodap"/>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50DA" w14:textId="58046808" w:rsidR="00897CE8" w:rsidRDefault="00897CE8" w:rsidP="000F0E2F">
    <w:pPr>
      <w:pStyle w:val="Rodap"/>
      <w:rPr>
        <w:rFonts w:asciiTheme="minorHAnsi" w:hAnsiTheme="minorHAnsi" w:cstheme="minorHAnsi"/>
        <w:szCs w:val="18"/>
        <w:lang w:val="en-US"/>
      </w:rPr>
    </w:pPr>
    <w:r w:rsidRPr="00897CE8">
      <w:rPr>
        <w:rFonts w:asciiTheme="minorHAnsi" w:hAnsiTheme="minorHAnsi" w:cstheme="minorHAnsi"/>
        <w:szCs w:val="18"/>
        <w:lang w:val="en-US"/>
      </w:rPr>
      <w:t>© 2023. For information, contact Deloitte Touche Tohmatsu Limited.</w:t>
    </w:r>
  </w:p>
  <w:p w14:paraId="3C17F2DE" w14:textId="5F31D9A7" w:rsidR="00897CE8" w:rsidRPr="00897CE8" w:rsidRDefault="00897CE8" w:rsidP="000F0E2F">
    <w:pPr>
      <w:pStyle w:val="Rodap"/>
      <w:rPr>
        <w:lang w:val="en-US"/>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1370" w14:textId="77777777" w:rsidR="00897CE8" w:rsidRPr="00897CE8" w:rsidRDefault="00897CE8" w:rsidP="000F0E2F">
    <w:pPr>
      <w:pStyle w:val="Rodap"/>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577270"/>
      <w:docPartObj>
        <w:docPartGallery w:val="Page Numbers (Bottom of Page)"/>
        <w:docPartUnique/>
      </w:docPartObj>
    </w:sdtPr>
    <w:sdtEndPr/>
    <w:sdtContent>
      <w:p w14:paraId="56F7D6B3" w14:textId="77777777" w:rsidR="00AF04B6" w:rsidRDefault="00AF04B6">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46976" behindDoc="0" locked="0" layoutInCell="1" allowOverlap="1" wp14:anchorId="6E09AF70" wp14:editId="049C47AA">
                  <wp:simplePos x="0" y="0"/>
                  <wp:positionH relativeFrom="page">
                    <wp:align>left</wp:align>
                  </wp:positionH>
                  <wp:positionV relativeFrom="paragraph">
                    <wp:posOffset>2067</wp:posOffset>
                  </wp:positionV>
                  <wp:extent cx="5603132" cy="45719"/>
                  <wp:effectExtent l="0" t="0" r="0" b="0"/>
                  <wp:wrapNone/>
                  <wp:docPr id="1"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377D5A2" id="Retângulo 14" o:spid="_x0000_s1026" style="position:absolute;margin-left:0;margin-top:.15pt;width:441.2pt;height:3.6pt;flip:y;z-index:251646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7CF471D5" w14:textId="77777777" w:rsidR="00AF04B6" w:rsidRDefault="00AF04B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646117"/>
      <w:docPartObj>
        <w:docPartGallery w:val="Page Numbers (Bottom of Page)"/>
        <w:docPartUnique/>
      </w:docPartObj>
    </w:sdtPr>
    <w:sdtEndPr/>
    <w:sdtContent>
      <w:p w14:paraId="1ECEB4BA" w14:textId="3A945CE5" w:rsidR="00D3472F" w:rsidRDefault="00D3472F">
        <w:pPr>
          <w:pStyle w:val="Rodap"/>
          <w:jc w:val="right"/>
        </w:pPr>
        <w:r>
          <w:fldChar w:fldCharType="begin"/>
        </w:r>
        <w:r>
          <w:instrText>PAGE   \* MERGEFORMAT</w:instrText>
        </w:r>
        <w:r>
          <w:fldChar w:fldCharType="separate"/>
        </w:r>
        <w:r>
          <w:t>2</w:t>
        </w:r>
        <w:r>
          <w:fldChar w:fldCharType="end"/>
        </w:r>
      </w:p>
    </w:sdtContent>
  </w:sdt>
  <w:p w14:paraId="21FFC0DD" w14:textId="77777777" w:rsidR="00AF04B6" w:rsidRDefault="00AF04B6">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9A58" w14:textId="77777777" w:rsidR="005357C6" w:rsidRDefault="005357C6">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496541"/>
      <w:docPartObj>
        <w:docPartGallery w:val="Page Numbers (Bottom of Page)"/>
        <w:docPartUnique/>
      </w:docPartObj>
    </w:sdtPr>
    <w:sdtEndPr/>
    <w:sdtContent>
      <w:p w14:paraId="3A56A6CA" w14:textId="0AE32F91" w:rsidR="00D3472F" w:rsidRDefault="00D3472F">
        <w:pPr>
          <w:pStyle w:val="Rodap"/>
          <w:jc w:val="right"/>
        </w:pPr>
        <w:r>
          <w:fldChar w:fldCharType="begin"/>
        </w:r>
        <w:r>
          <w:instrText>PAGE   \* MERGEFORMAT</w:instrText>
        </w:r>
        <w:r>
          <w:fldChar w:fldCharType="separate"/>
        </w:r>
        <w:r>
          <w:t>2</w:t>
        </w:r>
        <w:r>
          <w:fldChar w:fldCharType="end"/>
        </w:r>
      </w:p>
    </w:sdtContent>
  </w:sdt>
  <w:p w14:paraId="66F9E091" w14:textId="77777777" w:rsidR="005357C6" w:rsidRDefault="005357C6">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CECE" w14:textId="77777777" w:rsidR="005357C6" w:rsidRDefault="005357C6">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DDA4" w14:textId="77777777" w:rsidR="003A4A47" w:rsidRDefault="003A4A47">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156082"/>
      <w:docPartObj>
        <w:docPartGallery w:val="Page Numbers (Bottom of Page)"/>
        <w:docPartUnique/>
      </w:docPartObj>
    </w:sdtPr>
    <w:sdtEndPr/>
    <w:sdtContent>
      <w:p w14:paraId="28CFEC14" w14:textId="6A238604" w:rsidR="003A4A47" w:rsidRDefault="003A4A47">
        <w:pPr>
          <w:pStyle w:val="Rodap"/>
          <w:jc w:val="right"/>
        </w:pPr>
        <w:r>
          <w:fldChar w:fldCharType="begin"/>
        </w:r>
        <w:r>
          <w:instrText>PAGE   \* MERGEFORMAT</w:instrText>
        </w:r>
        <w:r>
          <w:fldChar w:fldCharType="separate"/>
        </w:r>
        <w:r w:rsidR="00B54C69">
          <w:rPr>
            <w:noProof/>
          </w:rPr>
          <w:t>57</w:t>
        </w:r>
        <w:r>
          <w:fldChar w:fldCharType="end"/>
        </w:r>
      </w:p>
    </w:sdtContent>
  </w:sdt>
  <w:p w14:paraId="661B4137" w14:textId="77777777" w:rsidR="003A4A47" w:rsidRDefault="003A4A47">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48619"/>
      <w:docPartObj>
        <w:docPartGallery w:val="Page Numbers (Bottom of Page)"/>
        <w:docPartUnique/>
      </w:docPartObj>
    </w:sdtPr>
    <w:sdtEndPr/>
    <w:sdtContent>
      <w:p w14:paraId="671FF4F9" w14:textId="77777777" w:rsidR="003A4A47" w:rsidRDefault="003A4A47">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58240" behindDoc="0" locked="0" layoutInCell="1" allowOverlap="1" wp14:anchorId="0BE4D282" wp14:editId="174A85D4">
                  <wp:simplePos x="0" y="0"/>
                  <wp:positionH relativeFrom="page">
                    <wp:align>left</wp:align>
                  </wp:positionH>
                  <wp:positionV relativeFrom="paragraph">
                    <wp:posOffset>2067</wp:posOffset>
                  </wp:positionV>
                  <wp:extent cx="5603132" cy="45719"/>
                  <wp:effectExtent l="0" t="0" r="0" b="0"/>
                  <wp:wrapNone/>
                  <wp:docPr id="98"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44A1362C" id="Retângulo 14" o:spid="_x0000_s1026" style="position:absolute;margin-left:0;margin-top:.15pt;width:441.2pt;height:3.6pt;flip:y;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5005DACF" w14:textId="77777777" w:rsidR="003A4A47" w:rsidRDefault="003A4A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62BB" w14:textId="77777777" w:rsidR="003A4A47" w:rsidRDefault="003A4A47" w:rsidP="001170F1">
      <w:pPr>
        <w:spacing w:after="0" w:line="240" w:lineRule="auto"/>
      </w:pPr>
      <w:r>
        <w:separator/>
      </w:r>
    </w:p>
  </w:footnote>
  <w:footnote w:type="continuationSeparator" w:id="0">
    <w:p w14:paraId="390B6C95" w14:textId="77777777" w:rsidR="003A4A47" w:rsidRDefault="003A4A47" w:rsidP="001170F1">
      <w:pPr>
        <w:spacing w:after="0" w:line="240" w:lineRule="auto"/>
      </w:pPr>
      <w:r>
        <w:continuationSeparator/>
      </w:r>
    </w:p>
  </w:footnote>
  <w:footnote w:id="1">
    <w:p w14:paraId="3A858BE8" w14:textId="77777777" w:rsidR="008C707F" w:rsidRPr="00776837" w:rsidRDefault="008C707F" w:rsidP="00D300B6">
      <w:pPr>
        <w:pStyle w:val="Textodenotaderodap"/>
        <w:rPr>
          <w:rFonts w:ascii="Arial" w:hAnsi="Arial" w:cs="Arial"/>
          <w:sz w:val="16"/>
          <w:szCs w:val="16"/>
          <w:lang w:val="en-US"/>
        </w:rPr>
      </w:pPr>
      <w:r w:rsidRPr="009D6016">
        <w:rPr>
          <w:rStyle w:val="Refdenotaderodap"/>
          <w:rFonts w:ascii="Arial" w:hAnsi="Arial" w:cs="Arial"/>
          <w:sz w:val="16"/>
          <w:szCs w:val="16"/>
        </w:rPr>
        <w:footnoteRef/>
      </w:r>
      <w:r>
        <w:rPr>
          <w:rFonts w:ascii="Arial" w:hAnsi="Arial" w:cs="Arial"/>
          <w:sz w:val="16"/>
          <w:szCs w:val="16"/>
          <w:lang w:val="en-US"/>
        </w:rPr>
        <w:t xml:space="preserve"> Total variation in the sum of premiums written, pension plans contributions and premium bonds collection. It does not include health insurance. Source: SUSEP – December 2022.</w:t>
      </w:r>
    </w:p>
    <w:p w14:paraId="3055121B" w14:textId="77777777" w:rsidR="008C707F" w:rsidRPr="00106945" w:rsidRDefault="008C707F" w:rsidP="00D300B6">
      <w:pPr>
        <w:pStyle w:val="Textodenotaderodap"/>
        <w:rPr>
          <w:lang w:val="en-US"/>
        </w:rPr>
      </w:pPr>
      <w:r>
        <w:rPr>
          <w:rStyle w:val="Refdenotaderodap"/>
          <w:rFonts w:ascii="Arial" w:hAnsi="Arial" w:cs="Arial"/>
          <w:sz w:val="16"/>
          <w:szCs w:val="16"/>
          <w:lang w:val="en-US"/>
        </w:rPr>
        <w:t>2</w:t>
      </w:r>
      <w:r>
        <w:rPr>
          <w:rFonts w:ascii="Arial" w:hAnsi="Arial" w:cs="Arial"/>
          <w:sz w:val="16"/>
          <w:szCs w:val="16"/>
          <w:lang w:val="en-US"/>
        </w:rPr>
        <w:t xml:space="preserve"> Source: Quantum Axis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6955" w14:textId="5A152F4C" w:rsidR="003A4A47" w:rsidRPr="000D75D0" w:rsidRDefault="003A4A47" w:rsidP="000D75D0">
    <w:pPr>
      <w:pStyle w:val="Cabealho"/>
      <w:rPr>
        <w:sz w:val="2"/>
        <w:szCs w:val="2"/>
      </w:rPr>
    </w:pPr>
    <w:r>
      <w:rPr>
        <w:noProof/>
        <w:sz w:val="2"/>
        <w:szCs w:val="2"/>
        <w:lang w:eastAsia="pt-BR"/>
      </w:rPr>
      <mc:AlternateContent>
        <mc:Choice Requires="wps">
          <w:drawing>
            <wp:anchor distT="0" distB="0" distL="114300" distR="114300" simplePos="0" relativeHeight="251661312" behindDoc="0" locked="0" layoutInCell="0" allowOverlap="1" wp14:anchorId="79C46F51" wp14:editId="5D909933">
              <wp:simplePos x="0" y="0"/>
              <wp:positionH relativeFrom="page">
                <wp:align>right</wp:align>
              </wp:positionH>
              <wp:positionV relativeFrom="page">
                <wp:align>top</wp:align>
              </wp:positionV>
              <wp:extent cx="7772400" cy="463550"/>
              <wp:effectExtent l="0" t="0" r="0" b="12700"/>
              <wp:wrapNone/>
              <wp:docPr id="6" name="MSIPCMf31744b0a29dac4a01437b98" descr="{&quot;HashCode&quot;:11031731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C0946" w14:textId="252BF095" w:rsidR="003A4A47" w:rsidRPr="00960237" w:rsidRDefault="00960237" w:rsidP="00960237">
                          <w:pPr>
                            <w:spacing w:after="0"/>
                            <w:jc w:val="right"/>
                            <w:rPr>
                              <w:rFonts w:ascii="Calibri" w:hAnsi="Calibri" w:cs="Calibri"/>
                              <w:color w:val="000000"/>
                              <w:sz w:val="20"/>
                            </w:rPr>
                          </w:pPr>
                          <w:r w:rsidRPr="00960237">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9C46F51" id="_x0000_t202" coordsize="21600,21600" o:spt="202" path="m,l,21600r21600,l21600,xe">
              <v:stroke joinstyle="miter"/>
              <v:path gradientshapeok="t" o:connecttype="rect"/>
            </v:shapetype>
            <v:shape id="MSIPCMf31744b0a29dac4a01437b98" o:spid="_x0000_s1026" type="#_x0000_t202" alt="{&quot;HashCode&quot;:1103173119,&quot;Height&quot;:9999999.0,&quot;Width&quot;:9999999.0,&quot;Placement&quot;:&quot;Header&quot;,&quot;Index&quot;:&quot;Primary&quot;,&quot;Section&quot;:1,&quot;Top&quot;:0.0,&quot;Left&quot;:0.0}" style="position:absolute;margin-left:560.8pt;margin-top:0;width:612pt;height:36.5pt;z-index:251661312;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1E7C0946" w14:textId="252BF095" w:rsidR="003A4A47" w:rsidRPr="00960237" w:rsidRDefault="00960237" w:rsidP="00960237">
                    <w:pPr>
                      <w:spacing w:after="0"/>
                      <w:jc w:val="right"/>
                      <w:rPr>
                        <w:rFonts w:ascii="Calibri" w:hAnsi="Calibri" w:cs="Calibri"/>
                        <w:color w:val="000000"/>
                        <w:sz w:val="20"/>
                      </w:rPr>
                    </w:pPr>
                    <w:r w:rsidRPr="00960237">
                      <w:rPr>
                        <w:rFonts w:ascii="Calibri" w:hAnsi="Calibri" w:cs="Calibri"/>
                        <w:color w:val="000000"/>
                        <w:sz w:val="20"/>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7330" w14:textId="77777777" w:rsidR="005357C6" w:rsidRDefault="005357C6">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7B7D" w14:textId="77777777" w:rsidR="001A2EC3" w:rsidRPr="00992545" w:rsidRDefault="001A2EC3" w:rsidP="00187C45">
    <w:pPr>
      <w:ind w:left="708"/>
      <w:jc w:val="right"/>
    </w:pPr>
    <w:r>
      <w:rPr>
        <w:noProof/>
        <w:sz w:val="20"/>
        <w:szCs w:val="20"/>
        <w:lang w:eastAsia="pt-BR"/>
      </w:rPr>
      <mc:AlternateContent>
        <mc:Choice Requires="wps">
          <w:drawing>
            <wp:anchor distT="0" distB="0" distL="114300" distR="114300" simplePos="0" relativeHeight="251671552" behindDoc="0" locked="0" layoutInCell="1" allowOverlap="1" wp14:anchorId="099F3CAF" wp14:editId="3CE7C9FC">
              <wp:simplePos x="0" y="0"/>
              <wp:positionH relativeFrom="column">
                <wp:posOffset>3019339</wp:posOffset>
              </wp:positionH>
              <wp:positionV relativeFrom="paragraph">
                <wp:posOffset>-479442</wp:posOffset>
              </wp:positionV>
              <wp:extent cx="3629448" cy="402742"/>
              <wp:effectExtent l="0" t="0" r="0" b="0"/>
              <wp:wrapNone/>
              <wp:docPr id="128" name="Caixa de Texto 128"/>
              <wp:cNvGraphicFramePr/>
              <a:graphic xmlns:a="http://schemas.openxmlformats.org/drawingml/2006/main">
                <a:graphicData uri="http://schemas.microsoft.com/office/word/2010/wordprocessingShape">
                  <wps:wsp>
                    <wps:cNvSpPr txBox="1"/>
                    <wps:spPr>
                      <a:xfrm>
                        <a:off x="0" y="0"/>
                        <a:ext cx="3629448" cy="402742"/>
                      </a:xfrm>
                      <a:prstGeom prst="rect">
                        <a:avLst/>
                      </a:prstGeom>
                      <a:noFill/>
                      <a:ln w="6350">
                        <a:noFill/>
                      </a:ln>
                    </wps:spPr>
                    <wps:txbx>
                      <w:txbxContent>
                        <w:p w14:paraId="752DB263" w14:textId="77777777" w:rsidR="001A2EC3" w:rsidRPr="00AF3549" w:rsidRDefault="001A2EC3" w:rsidP="0017189F">
                          <w:pPr>
                            <w:jc w:val="right"/>
                          </w:pPr>
                          <w:r w:rsidRPr="002B7B96">
                            <w:rPr>
                              <w:rFonts w:cs="Arial"/>
                              <w:color w:val="FFFFFF" w:themeColor="background1"/>
                              <w:szCs w:val="18"/>
                            </w:rPr>
                            <w:t>Conso</w:t>
                          </w:r>
                          <w:r>
                            <w:rPr>
                              <w:rFonts w:cs="Arial"/>
                              <w:color w:val="FFFFFF" w:themeColor="background1"/>
                              <w:szCs w:val="18"/>
                            </w:rPr>
                            <w:t xml:space="preserve">lidated Financial Statements – </w:t>
                          </w:r>
                          <w:r w:rsidRPr="002B7B96">
                            <w:rPr>
                              <w:rFonts w:cs="Arial"/>
                              <w:color w:val="FFFFFF" w:themeColor="background1"/>
                              <w:szCs w:val="18"/>
                            </w:rPr>
                            <w:t>202</w:t>
                          </w:r>
                          <w:r>
                            <w:rPr>
                              <w:rFonts w:cs="Arial"/>
                              <w:color w:val="FFFFFF" w:themeColor="background1"/>
                              <w:szCs w:val="18"/>
                            </w:rPr>
                            <w:t>2</w:t>
                          </w:r>
                          <w:r w:rsidRPr="00AF3549">
                            <w:rPr>
                              <w:rFonts w:cs="Arial"/>
                              <w:color w:val="FFFFFF" w:themeColor="background1"/>
                              <w:szCs w:val="18"/>
                            </w:rPr>
                            <w:br/>
                            <w:t>BB Seguridade Participações S.A.</w:t>
                          </w:r>
                        </w:p>
                        <w:p w14:paraId="75216A36" w14:textId="77777777" w:rsidR="001A2EC3" w:rsidRPr="00AF3549" w:rsidRDefault="001A2EC3" w:rsidP="0017189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F3CAF" id="_x0000_t202" coordsize="21600,21600" o:spt="202" path="m,l,21600r21600,l21600,xe">
              <v:stroke joinstyle="miter"/>
              <v:path gradientshapeok="t" o:connecttype="rect"/>
            </v:shapetype>
            <v:shape id="Caixa de Texto 128" o:spid="_x0000_s1032" type="#_x0000_t202" style="position:absolute;left:0;text-align:left;margin-left:237.75pt;margin-top:-37.75pt;width:285.8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" filled="f" stroked="f" strokeweight=".5pt">
              <v:textbox>
                <w:txbxContent>
                  <w:p w14:paraId="752DB263" w14:textId="77777777" w:rsidR="001A2EC3" w:rsidRPr="00AF3549" w:rsidRDefault="001A2EC3" w:rsidP="0017189F">
                    <w:pPr>
                      <w:jc w:val="right"/>
                    </w:pPr>
                    <w:r w:rsidRPr="002B7B96">
                      <w:rPr>
                        <w:rFonts w:cs="Arial"/>
                        <w:color w:val="FFFFFF" w:themeColor="background1"/>
                        <w:szCs w:val="18"/>
                      </w:rPr>
                      <w:t>Conso</w:t>
                    </w:r>
                    <w:r>
                      <w:rPr>
                        <w:rFonts w:cs="Arial"/>
                        <w:color w:val="FFFFFF" w:themeColor="background1"/>
                        <w:szCs w:val="18"/>
                      </w:rPr>
                      <w:t xml:space="preserve">lidated Financial Statements – </w:t>
                    </w:r>
                    <w:r w:rsidRPr="002B7B96">
                      <w:rPr>
                        <w:rFonts w:cs="Arial"/>
                        <w:color w:val="FFFFFF" w:themeColor="background1"/>
                        <w:szCs w:val="18"/>
                      </w:rPr>
                      <w:t>202</w:t>
                    </w:r>
                    <w:r>
                      <w:rPr>
                        <w:rFonts w:cs="Arial"/>
                        <w:color w:val="FFFFFF" w:themeColor="background1"/>
                        <w:szCs w:val="18"/>
                      </w:rPr>
                      <w:t>2</w:t>
                    </w:r>
                    <w:r w:rsidRPr="00AF3549">
                      <w:rPr>
                        <w:rFonts w:cs="Arial"/>
                        <w:color w:val="FFFFFF" w:themeColor="background1"/>
                        <w:szCs w:val="18"/>
                      </w:rPr>
                      <w:br/>
                      <w:t>BB Seguridade Participações S.A.</w:t>
                    </w:r>
                  </w:p>
                  <w:p w14:paraId="75216A36" w14:textId="77777777" w:rsidR="001A2EC3" w:rsidRPr="00AF3549" w:rsidRDefault="001A2EC3" w:rsidP="0017189F">
                    <w:pPr>
                      <w:jc w:val="right"/>
                    </w:pPr>
                  </w:p>
                </w:txbxContent>
              </v:textbox>
            </v:shape>
          </w:pict>
        </mc:Fallback>
      </mc:AlternateContent>
    </w:r>
    <w:r w:rsidRPr="00254D35">
      <w:rPr>
        <w:noProof/>
        <w:sz w:val="20"/>
        <w:szCs w:val="20"/>
        <w:lang w:eastAsia="pt-BR"/>
      </w:rPr>
      <mc:AlternateContent>
        <mc:Choice Requires="wps">
          <w:drawing>
            <wp:anchor distT="0" distB="0" distL="114300" distR="114300" simplePos="0" relativeHeight="251668480" behindDoc="0" locked="0" layoutInCell="1" allowOverlap="1" wp14:anchorId="233C9C2B" wp14:editId="673FEC5E">
              <wp:simplePos x="0" y="0"/>
              <wp:positionH relativeFrom="page">
                <wp:posOffset>-1178011</wp:posOffset>
              </wp:positionH>
              <wp:positionV relativeFrom="paragraph">
                <wp:posOffset>-556861</wp:posOffset>
              </wp:positionV>
              <wp:extent cx="11887200" cy="527222"/>
              <wp:effectExtent l="0" t="0" r="0" b="6350"/>
              <wp:wrapNone/>
              <wp:docPr id="129" name="Retângulo 129"/>
              <wp:cNvGraphicFramePr/>
              <a:graphic xmlns:a="http://schemas.openxmlformats.org/drawingml/2006/main">
                <a:graphicData uri="http://schemas.microsoft.com/office/word/2010/wordprocessingShape">
                  <wps:wsp>
                    <wps:cNvSpPr/>
                    <wps:spPr>
                      <a:xfrm>
                        <a:off x="0" y="0"/>
                        <a:ext cx="11887200" cy="527222"/>
                      </a:xfrm>
                      <a:prstGeom prst="rect">
                        <a:avLst/>
                      </a:prstGeom>
                      <a:solidFill>
                        <a:srgbClr val="002D4B"/>
                      </a:solidFill>
                      <a:ln w="12700" cap="flat" cmpd="sng" algn="ctr">
                        <a:noFill/>
                        <a:prstDash val="solid"/>
                        <a:miter lim="800000"/>
                      </a:ln>
                      <a:effectLst/>
                    </wps:spPr>
                    <wps:txbx>
                      <w:txbxContent>
                        <w:p w14:paraId="1DF48956" w14:textId="77777777" w:rsidR="001A2EC3" w:rsidRDefault="001A2EC3" w:rsidP="00187C45">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C9C2B" id="Retângulo 129" o:spid="_x0000_s1033" style="position:absolute;left:0;text-align:left;margin-left:-92.75pt;margin-top:-43.85pt;width:13in;height: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" fillcolor="#002d4b" stroked="f" strokeweight="1pt">
              <v:textbox>
                <w:txbxContent>
                  <w:p w14:paraId="1DF48956" w14:textId="77777777" w:rsidR="001A2EC3" w:rsidRDefault="001A2EC3" w:rsidP="00187C45">
                    <w:pPr>
                      <w:ind w:left="708"/>
                      <w:jc w:val="right"/>
                    </w:pPr>
                  </w:p>
                </w:txbxContent>
              </v:textbox>
              <w10:wrap anchorx="page"/>
            </v:rect>
          </w:pict>
        </mc:Fallback>
      </mc:AlternateContent>
    </w:r>
    <w:r w:rsidRPr="005D303B">
      <w:rPr>
        <w:b/>
        <w:noProof/>
        <w:color w:val="1F4E79" w:themeColor="accent1" w:themeShade="80"/>
        <w:lang w:eastAsia="pt-BR"/>
      </w:rPr>
      <mc:AlternateContent>
        <mc:Choice Requires="wps">
          <w:drawing>
            <wp:anchor distT="0" distB="0" distL="114300" distR="114300" simplePos="0" relativeHeight="251669504" behindDoc="0" locked="0" layoutInCell="1" allowOverlap="1" wp14:anchorId="1A5BCEAF" wp14:editId="4F14BEB4">
              <wp:simplePos x="0" y="0"/>
              <wp:positionH relativeFrom="page">
                <wp:posOffset>-720969</wp:posOffset>
              </wp:positionH>
              <wp:positionV relativeFrom="paragraph">
                <wp:posOffset>-48651</wp:posOffset>
              </wp:positionV>
              <wp:extent cx="11406505" cy="45719"/>
              <wp:effectExtent l="0" t="0" r="4445" b="0"/>
              <wp:wrapNone/>
              <wp:docPr id="130" name="Retângulo 14"/>
              <wp:cNvGraphicFramePr/>
              <a:graphic xmlns:a="http://schemas.openxmlformats.org/drawingml/2006/main">
                <a:graphicData uri="http://schemas.microsoft.com/office/word/2010/wordprocessingShape">
                  <wps:wsp>
                    <wps:cNvSpPr/>
                    <wps:spPr>
                      <a:xfrm flipV="1">
                        <a:off x="0" y="0"/>
                        <a:ext cx="11406505" cy="45719"/>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052F94A9" id="Retângulo 14" o:spid="_x0000_s1026" style="position:absolute;margin-left:-56.75pt;margin-top:-3.85pt;width:898.15pt;height:3.6pt;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" fillcolor="#f9dd16" stroked="f" strokeweight="1pt">
              <w10:wrap anchorx="page"/>
            </v:rect>
          </w:pict>
        </mc:Fallback>
      </mc:AlternateContent>
    </w:r>
    <w:r>
      <w:rPr>
        <w:noProof/>
        <w:sz w:val="20"/>
        <w:szCs w:val="20"/>
        <w:lang w:eastAsia="pt-BR"/>
      </w:rPr>
      <w:drawing>
        <wp:anchor distT="0" distB="0" distL="114300" distR="114300" simplePos="0" relativeHeight="251670528" behindDoc="0" locked="0" layoutInCell="1" allowOverlap="1" wp14:anchorId="69E4E2E5" wp14:editId="0CE14D6D">
          <wp:simplePos x="0" y="0"/>
          <wp:positionH relativeFrom="margin">
            <wp:posOffset>-294957</wp:posOffset>
          </wp:positionH>
          <wp:positionV relativeFrom="page">
            <wp:posOffset>148590</wp:posOffset>
          </wp:positionV>
          <wp:extent cx="967740" cy="198755"/>
          <wp:effectExtent l="0" t="0" r="3810" b="0"/>
          <wp:wrapNone/>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B6F6" w14:textId="77777777" w:rsidR="005357C6" w:rsidRDefault="005357C6">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8E92" w14:textId="77777777" w:rsidR="003A4A47" w:rsidRDefault="003A4A47">
    <w:pPr>
      <w:pStyle w:val="Cabealho"/>
    </w:pPr>
    <w:r>
      <w:rPr>
        <w:noProof/>
        <w:lang w:eastAsia="pt-BR"/>
      </w:rPr>
      <mc:AlternateContent>
        <mc:Choice Requires="wps">
          <w:drawing>
            <wp:anchor distT="0" distB="0" distL="114300" distR="114300" simplePos="0" relativeHeight="251639808" behindDoc="0" locked="0" layoutInCell="0" allowOverlap="1" wp14:anchorId="4A54B649" wp14:editId="320B2B0A">
              <wp:simplePos x="0" y="0"/>
              <wp:positionH relativeFrom="page">
                <wp:posOffset>0</wp:posOffset>
              </wp:positionH>
              <wp:positionV relativeFrom="page">
                <wp:posOffset>190500</wp:posOffset>
              </wp:positionV>
              <wp:extent cx="7560310" cy="266700"/>
              <wp:effectExtent l="0" t="0" r="0" b="0"/>
              <wp:wrapNone/>
              <wp:docPr id="86"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1CDF40" w14:textId="77777777" w:rsidR="003A4A47" w:rsidRPr="00F10B26" w:rsidRDefault="003A4A47" w:rsidP="002D39D6">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A54B649" id="_x0000_t202" coordsize="21600,21600" o:spt="202" path="m,l,21600r21600,l21600,xe">
              <v:stroke joinstyle="miter"/>
              <v:path gradientshapeok="t" o:connecttype="rect"/>
            </v:shapetype>
            <v:shape id="MSIPCMafbe480880c78337ed6cc877" o:spid="_x0000_s1034" type="#_x0000_t202" alt="{&quot;HashCode&quot;:-1487292391,&quot;Height&quot;:841.0,&quot;Width&quot;:595.0,&quot;Placement&quot;:&quot;Header&quot;,&quot;Index&quot;:&quot;OddAndEven&quot;,&quot;Section&quot;:1,&quot;Top&quot;:0.0,&quot;Left&quot;:0.0}" style="position:absolute;margin-left:0;margin-top:15pt;width:595.3pt;height:21pt;z-index:2516398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N55RH8dAgAALAQAAA4AAAAAAAAAAAAAAAAALgIAAGRycy9lMm9Eb2MueG1sUEsBAi0A&#10;FAAGAAgAAAAhADekejrcAAAABwEAAA8AAAAAAAAAAAAAAAAAdwQAAGRycy9kb3ducmV2LnhtbFBL&#10;BQYAAAAABAAEAPMAAACABQAAAAA=&#10;" o:allowincell="f" filled="f" stroked="f" strokeweight=".5pt">
              <v:textbox inset=",0,20pt,0">
                <w:txbxContent>
                  <w:p w14:paraId="381CDF40" w14:textId="77777777" w:rsidR="003A4A47" w:rsidRPr="00F10B26" w:rsidRDefault="003A4A47" w:rsidP="002D39D6">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EA3A" w14:textId="507D9C61" w:rsidR="003A4A47" w:rsidRDefault="003A4A47" w:rsidP="002D39D6">
    <w:pPr>
      <w:pStyle w:val="Cabealho"/>
      <w:tabs>
        <w:tab w:val="clear" w:pos="4252"/>
        <w:tab w:val="clear" w:pos="8504"/>
        <w:tab w:val="left" w:pos="5625"/>
      </w:tabs>
    </w:pPr>
    <w:r>
      <w:rPr>
        <w:noProof/>
        <w:sz w:val="20"/>
        <w:szCs w:val="20"/>
        <w:lang w:eastAsia="pt-BR"/>
      </w:rPr>
      <mc:AlternateContent>
        <mc:Choice Requires="wps">
          <w:drawing>
            <wp:anchor distT="0" distB="0" distL="114300" distR="114300" simplePos="0" relativeHeight="251672576" behindDoc="0" locked="0" layoutInCell="1" allowOverlap="1" wp14:anchorId="2D7ECD5E" wp14:editId="20FCCB4B">
              <wp:simplePos x="0" y="0"/>
              <wp:positionH relativeFrom="column">
                <wp:posOffset>1891665</wp:posOffset>
              </wp:positionH>
              <wp:positionV relativeFrom="paragraph">
                <wp:posOffset>-464490</wp:posOffset>
              </wp:positionV>
              <wp:extent cx="4740250" cy="402742"/>
              <wp:effectExtent l="0" t="0" r="0" b="0"/>
              <wp:wrapNone/>
              <wp:docPr id="91" name="Caixa de Texto 91"/>
              <wp:cNvGraphicFramePr/>
              <a:graphic xmlns:a="http://schemas.openxmlformats.org/drawingml/2006/main">
                <a:graphicData uri="http://schemas.microsoft.com/office/word/2010/wordprocessingShape">
                  <wps:wsp>
                    <wps:cNvSpPr txBox="1"/>
                    <wps:spPr>
                      <a:xfrm>
                        <a:off x="0" y="0"/>
                        <a:ext cx="4740250" cy="402742"/>
                      </a:xfrm>
                      <a:prstGeom prst="rect">
                        <a:avLst/>
                      </a:prstGeom>
                      <a:noFill/>
                      <a:ln w="6350">
                        <a:noFill/>
                      </a:ln>
                    </wps:spPr>
                    <wps:txbx>
                      <w:txbxContent>
                        <w:p w14:paraId="46AD5CC7" w14:textId="77E7FDED" w:rsidR="003A4A47" w:rsidRPr="00E16BE7" w:rsidRDefault="003A4A47" w:rsidP="002D39D6">
                          <w:pPr>
                            <w:jc w:val="right"/>
                          </w:pPr>
                          <w:r w:rsidRPr="00126EE0">
                            <w:rPr>
                              <w:rFonts w:cs="Arial"/>
                              <w:color w:val="FFFFFF" w:themeColor="background1"/>
                              <w:szCs w:val="18"/>
                            </w:rPr>
                            <w:t>Consolidated Financi</w:t>
                          </w:r>
                          <w:r>
                            <w:rPr>
                              <w:rFonts w:cs="Arial"/>
                              <w:color w:val="FFFFFF" w:themeColor="background1"/>
                              <w:szCs w:val="18"/>
                            </w:rPr>
                            <w:t xml:space="preserve">al Statements – </w:t>
                          </w:r>
                          <w:r w:rsidRPr="00126EE0">
                            <w:rPr>
                              <w:rFonts w:cs="Arial"/>
                              <w:color w:val="FFFFFF" w:themeColor="background1"/>
                              <w:szCs w:val="18"/>
                            </w:rPr>
                            <w:t>2022</w:t>
                          </w:r>
                          <w:r w:rsidRPr="00126EE0">
                            <w:rPr>
                              <w:rFonts w:cs="Arial"/>
                              <w:color w:val="FFFFFF" w:themeColor="background1"/>
                              <w:szCs w:val="18"/>
                            </w:rPr>
                            <w:br/>
                            <w:t>BB Seguridade Participações S.A</w:t>
                          </w:r>
                          <w:r>
                            <w:rPr>
                              <w:rFonts w:cs="Arial"/>
                              <w:color w:val="FFFFFF" w:themeColor="background1"/>
                              <w:szCs w:val="18"/>
                            </w:rPr>
                            <w:t>.</w:t>
                          </w:r>
                        </w:p>
                        <w:p w14:paraId="03CD143D" w14:textId="77777777" w:rsidR="003A4A47" w:rsidRPr="00E16BE7" w:rsidRDefault="003A4A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ECD5E" id="_x0000_t202" coordsize="21600,21600" o:spt="202" path="m,l,21600r21600,l21600,xe">
              <v:stroke joinstyle="miter"/>
              <v:path gradientshapeok="t" o:connecttype="rect"/>
            </v:shapetype>
            <v:shape id="Caixa de Texto 91" o:spid="_x0000_s1035" type="#_x0000_t202" style="position:absolute;margin-left:148.95pt;margin-top:-36.55pt;width:373.25pt;height:3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" filled="f" stroked="f" strokeweight=".5pt">
              <v:textbox>
                <w:txbxContent>
                  <w:p w14:paraId="46AD5CC7" w14:textId="77E7FDED" w:rsidR="003A4A47" w:rsidRPr="00E16BE7" w:rsidRDefault="003A4A47" w:rsidP="002D39D6">
                    <w:pPr>
                      <w:jc w:val="right"/>
                    </w:pPr>
                    <w:r w:rsidRPr="00126EE0">
                      <w:rPr>
                        <w:rFonts w:cs="Arial"/>
                        <w:color w:val="FFFFFF" w:themeColor="background1"/>
                        <w:szCs w:val="18"/>
                      </w:rPr>
                      <w:t>Consolidated Financi</w:t>
                    </w:r>
                    <w:r>
                      <w:rPr>
                        <w:rFonts w:cs="Arial"/>
                        <w:color w:val="FFFFFF" w:themeColor="background1"/>
                        <w:szCs w:val="18"/>
                      </w:rPr>
                      <w:t xml:space="preserve">al Statements – </w:t>
                    </w:r>
                    <w:r w:rsidRPr="00126EE0">
                      <w:rPr>
                        <w:rFonts w:cs="Arial"/>
                        <w:color w:val="FFFFFF" w:themeColor="background1"/>
                        <w:szCs w:val="18"/>
                      </w:rPr>
                      <w:t>2022</w:t>
                    </w:r>
                    <w:r w:rsidRPr="00126EE0">
                      <w:rPr>
                        <w:rFonts w:cs="Arial"/>
                        <w:color w:val="FFFFFF" w:themeColor="background1"/>
                        <w:szCs w:val="18"/>
                      </w:rPr>
                      <w:br/>
                      <w:t>BB Seguridade Participações S.A</w:t>
                    </w:r>
                    <w:r>
                      <w:rPr>
                        <w:rFonts w:cs="Arial"/>
                        <w:color w:val="FFFFFF" w:themeColor="background1"/>
                        <w:szCs w:val="18"/>
                      </w:rPr>
                      <w:t>.</w:t>
                    </w:r>
                  </w:p>
                  <w:p w14:paraId="03CD143D" w14:textId="77777777" w:rsidR="003A4A47" w:rsidRPr="00E16BE7" w:rsidRDefault="003A4A47"/>
                </w:txbxContent>
              </v:textbox>
            </v:shape>
          </w:pict>
        </mc:Fallback>
      </mc:AlternateContent>
    </w:r>
    <w:r>
      <w:rPr>
        <w:noProof/>
        <w:sz w:val="20"/>
        <w:szCs w:val="20"/>
        <w:lang w:eastAsia="pt-BR"/>
      </w:rPr>
      <w:drawing>
        <wp:anchor distT="0" distB="0" distL="114300" distR="114300" simplePos="0" relativeHeight="251657216" behindDoc="0" locked="0" layoutInCell="1" allowOverlap="1" wp14:anchorId="78C78A75" wp14:editId="3CC57D9B">
          <wp:simplePos x="0" y="0"/>
          <wp:positionH relativeFrom="margin">
            <wp:posOffset>-453606</wp:posOffset>
          </wp:positionH>
          <wp:positionV relativeFrom="paragraph">
            <wp:posOffset>-380365</wp:posOffset>
          </wp:positionV>
          <wp:extent cx="967740" cy="198755"/>
          <wp:effectExtent l="0" t="0" r="3810" b="0"/>
          <wp:wrapNone/>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5D303B">
      <w:rPr>
        <w:rFonts w:cs="Arial"/>
        <w:b/>
        <w:noProof/>
        <w:color w:val="1F4E79" w:themeColor="accent1" w:themeShade="80"/>
        <w:szCs w:val="18"/>
        <w:lang w:eastAsia="pt-BR"/>
      </w:rPr>
      <mc:AlternateContent>
        <mc:Choice Requires="wps">
          <w:drawing>
            <wp:anchor distT="0" distB="0" distL="114300" distR="114300" simplePos="0" relativeHeight="251641856" behindDoc="0" locked="0" layoutInCell="1" allowOverlap="1" wp14:anchorId="157BDBDA" wp14:editId="2F87C633">
              <wp:simplePos x="0" y="0"/>
              <wp:positionH relativeFrom="page">
                <wp:posOffset>0</wp:posOffset>
              </wp:positionH>
              <wp:positionV relativeFrom="paragraph">
                <wp:posOffset>-42384</wp:posOffset>
              </wp:positionV>
              <wp:extent cx="9144000" cy="53340"/>
              <wp:effectExtent l="0" t="0" r="0" b="3810"/>
              <wp:wrapNone/>
              <wp:docPr id="15"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4249748B" id="Retângulo 14" o:spid="_x0000_s1026" style="position:absolute;margin-left:0;margin-top:-3.35pt;width:10in;height:4.2pt;z-index:2516418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" fillcolor="#f9dd16" stroked="f" strokeweight="1pt">
              <w10:wrap anchorx="page"/>
            </v:rect>
          </w:pict>
        </mc:Fallback>
      </mc:AlternateContent>
    </w:r>
    <w:r w:rsidRPr="0069353A">
      <w:rPr>
        <w:noProof/>
        <w:sz w:val="20"/>
        <w:szCs w:val="20"/>
        <w:lang w:eastAsia="pt-BR"/>
      </w:rPr>
      <mc:AlternateContent>
        <mc:Choice Requires="wps">
          <w:drawing>
            <wp:anchor distT="0" distB="0" distL="114300" distR="114300" simplePos="0" relativeHeight="251640832" behindDoc="1" locked="0" layoutInCell="1" allowOverlap="1" wp14:anchorId="6E74A3C3" wp14:editId="717EFB9E">
              <wp:simplePos x="0" y="0"/>
              <wp:positionH relativeFrom="page">
                <wp:align>left</wp:align>
              </wp:positionH>
              <wp:positionV relativeFrom="paragraph">
                <wp:posOffset>-540385</wp:posOffset>
              </wp:positionV>
              <wp:extent cx="7553325" cy="497840"/>
              <wp:effectExtent l="0" t="0" r="9525" b="0"/>
              <wp:wrapThrough wrapText="bothSides">
                <wp:wrapPolygon edited="0">
                  <wp:start x="0" y="0"/>
                  <wp:lineTo x="0" y="20663"/>
                  <wp:lineTo x="21573" y="20663"/>
                  <wp:lineTo x="21573" y="0"/>
                  <wp:lineTo x="0" y="0"/>
                </wp:wrapPolygon>
              </wp:wrapThrough>
              <wp:docPr id="92" name="Retângulo 92"/>
              <wp:cNvGraphicFramePr/>
              <a:graphic xmlns:a="http://schemas.openxmlformats.org/drawingml/2006/main">
                <a:graphicData uri="http://schemas.microsoft.com/office/word/2010/wordprocessingShape">
                  <wps:wsp>
                    <wps:cNvSpPr/>
                    <wps:spPr>
                      <a:xfrm>
                        <a:off x="0" y="0"/>
                        <a:ext cx="7553325" cy="4978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C11D124" w14:textId="77777777" w:rsidR="003A4A47" w:rsidRDefault="003A4A47" w:rsidP="002D39D6">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4A3C3" id="Retângulo 92" o:spid="_x0000_s1036" style="position:absolute;margin-left:0;margin-top:-42.55pt;width:594.75pt;height:39.2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" fillcolor="#002d4b" stroked="f" strokeweight="1pt">
              <v:textbox>
                <w:txbxContent>
                  <w:p w14:paraId="2C11D124" w14:textId="77777777" w:rsidR="003A4A47" w:rsidRDefault="003A4A47" w:rsidP="002D39D6">
                    <w:pPr>
                      <w:ind w:left="708"/>
                      <w:jc w:val="right"/>
                    </w:pPr>
                  </w:p>
                </w:txbxContent>
              </v:textbox>
              <w10:wrap type="through" anchorx="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2E88" w14:textId="5BDED32B" w:rsidR="003A4A47" w:rsidRPr="00147488" w:rsidRDefault="003A4A47" w:rsidP="002D39D6">
    <w:pPr>
      <w:pStyle w:val="Cabealho"/>
      <w:tabs>
        <w:tab w:val="clear" w:pos="4252"/>
        <w:tab w:val="clear" w:pos="8504"/>
        <w:tab w:val="left" w:pos="5625"/>
      </w:tabs>
    </w:pPr>
    <w:r w:rsidRPr="005D303B">
      <w:rPr>
        <w:rFonts w:cs="Arial"/>
        <w:b/>
        <w:noProof/>
        <w:color w:val="1F4E79" w:themeColor="accent1" w:themeShade="80"/>
        <w:szCs w:val="18"/>
        <w:lang w:eastAsia="pt-BR"/>
      </w:rPr>
      <w:drawing>
        <wp:anchor distT="0" distB="0" distL="114300" distR="114300" simplePos="0" relativeHeight="251655168" behindDoc="0" locked="0" layoutInCell="1" allowOverlap="1" wp14:anchorId="080AD887" wp14:editId="2DDA8473">
          <wp:simplePos x="0" y="0"/>
          <wp:positionH relativeFrom="margin">
            <wp:posOffset>-447675</wp:posOffset>
          </wp:positionH>
          <wp:positionV relativeFrom="paragraph">
            <wp:posOffset>-353060</wp:posOffset>
          </wp:positionV>
          <wp:extent cx="1176020" cy="259080"/>
          <wp:effectExtent l="0" t="0" r="5080" b="7620"/>
          <wp:wrapNone/>
          <wp:docPr id="70"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54144" behindDoc="1" locked="0" layoutInCell="1" allowOverlap="1" wp14:anchorId="54EADC87" wp14:editId="694597B9">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96" name="Retângulo 96"/>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FB897" id="Retângulo 96" o:spid="_x0000_s1026" style="position:absolute;margin-left:0;margin-top:-42.75pt;width:594.75pt;height:51.8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" fillcolor="#0038a8" stroked="f" strokeweight="1pt">
              <w10:wrap type="through" anchorx="page"/>
            </v:rect>
          </w:pict>
        </mc:Fallback>
      </mc:AlternateContent>
    </w:r>
    <w:r w:rsidRPr="005D303B">
      <w:rPr>
        <w:rFonts w:cs="Arial"/>
        <w:b/>
        <w:noProof/>
        <w:color w:val="1F4E79" w:themeColor="accent1" w:themeShade="80"/>
        <w:szCs w:val="18"/>
        <w:lang w:eastAsia="pt-BR"/>
      </w:rPr>
      <mc:AlternateContent>
        <mc:Choice Requires="wps">
          <w:drawing>
            <wp:anchor distT="0" distB="0" distL="114300" distR="114300" simplePos="0" relativeHeight="251656192" behindDoc="0" locked="0" layoutInCell="1" allowOverlap="1" wp14:anchorId="16C96F93" wp14:editId="33180D5D">
              <wp:simplePos x="0" y="0"/>
              <wp:positionH relativeFrom="page">
                <wp:posOffset>0</wp:posOffset>
              </wp:positionH>
              <wp:positionV relativeFrom="paragraph">
                <wp:posOffset>77252</wp:posOffset>
              </wp:positionV>
              <wp:extent cx="9144000" cy="53340"/>
              <wp:effectExtent l="0" t="0" r="0" b="3810"/>
              <wp:wrapNone/>
              <wp:docPr id="97"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2921B934" id="Retângulo 14" o:spid="_x0000_s1026" style="position:absolute;margin-left:0;margin-top:6.1pt;width:10in;height:4.2pt;z-index:25165619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" fillcolor="#f5e500" stroked="f" strokeweight="1pt">
              <w10:wrap anchorx="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FC73" w14:textId="77777777" w:rsidR="00453406" w:rsidRDefault="00453406">
    <w:r>
      <w:cr/>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87EA" w14:textId="77777777" w:rsidR="00453406" w:rsidRDefault="00453406">
    <w:pPr>
      <w:pStyle w:val="Cabealh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49A9" w14:textId="0A46E64E" w:rsidR="00453406" w:rsidRPr="00FC4475" w:rsidRDefault="00453406" w:rsidP="00FC4475">
    <w:pPr>
      <w:pStyle w:val="Cabealh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C4F4" w14:textId="77777777" w:rsidR="00453406" w:rsidRDefault="00453406" w:rsidP="00F8553B">
    <w:pPr>
      <w:tabs>
        <w:tab w:val="right" w:pos="9638"/>
      </w:tabs>
      <w:rPr>
        <w:rFonts w:ascii="Verdana" w:hAnsi="Verdana"/>
        <w:sz w:val="20"/>
        <w:szCs w:val="20"/>
      </w:rPr>
    </w:pPr>
  </w:p>
  <w:p w14:paraId="42E7635D" w14:textId="77777777" w:rsidR="00453406" w:rsidRPr="00526CAE" w:rsidRDefault="00453406" w:rsidP="006E4818">
    <w:pPr>
      <w:rPr>
        <w:sz w:val="2"/>
        <w:szCs w:val="2"/>
      </w:rPr>
    </w:pPr>
    <w:r>
      <w:rPr>
        <w:noProof/>
        <w:sz w:val="2"/>
        <w:szCs w:val="2"/>
      </w:rPr>
      <w:drawing>
        <wp:anchor distT="0" distB="0" distL="114300" distR="114300" simplePos="0" relativeHeight="251653120" behindDoc="0" locked="1" layoutInCell="1" allowOverlap="1" wp14:anchorId="3CE0525D" wp14:editId="04C49341">
          <wp:simplePos x="0" y="0"/>
          <wp:positionH relativeFrom="page">
            <wp:posOffset>720090</wp:posOffset>
          </wp:positionH>
          <wp:positionV relativeFrom="page">
            <wp:posOffset>359410</wp:posOffset>
          </wp:positionV>
          <wp:extent cx="1151890" cy="215900"/>
          <wp:effectExtent l="0" t="0" r="0" b="0"/>
          <wp:wrapNone/>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54F2" w14:textId="0D7AF48F" w:rsidR="003A4A47" w:rsidRDefault="003A4A47">
    <w:pPr>
      <w:pStyle w:val="Cabealho"/>
    </w:pPr>
    <w:r>
      <w:rPr>
        <w:noProof/>
        <w:lang w:eastAsia="pt-BR"/>
      </w:rPr>
      <mc:AlternateContent>
        <mc:Choice Requires="wps">
          <w:drawing>
            <wp:anchor distT="0" distB="0" distL="114300" distR="114300" simplePos="0" relativeHeight="251657216" behindDoc="0" locked="0" layoutInCell="0" allowOverlap="1" wp14:anchorId="4104D888" wp14:editId="55FF4383">
              <wp:simplePos x="0" y="190500"/>
              <wp:positionH relativeFrom="page">
                <wp:align>right</wp:align>
              </wp:positionH>
              <wp:positionV relativeFrom="page">
                <wp:align>top</wp:align>
              </wp:positionV>
              <wp:extent cx="7772400" cy="463550"/>
              <wp:effectExtent l="0" t="0" r="0" b="12700"/>
              <wp:wrapNone/>
              <wp:docPr id="26" name="MSIPCM58df47eface29abb392fba7a" descr="{&quot;HashCode&quot;:11031731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F233C2" w14:textId="2F7C8245" w:rsidR="003A4A47" w:rsidRPr="00960237" w:rsidRDefault="00960237" w:rsidP="00960237">
                          <w:pPr>
                            <w:spacing w:after="0"/>
                            <w:jc w:val="right"/>
                            <w:rPr>
                              <w:rFonts w:ascii="Calibri" w:hAnsi="Calibri" w:cs="Calibri"/>
                              <w:color w:val="000000"/>
                              <w:sz w:val="20"/>
                            </w:rPr>
                          </w:pPr>
                          <w:r w:rsidRPr="00960237">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104D888" id="_x0000_t202" coordsize="21600,21600" o:spt="202" path="m,l,21600r21600,l21600,xe">
              <v:stroke joinstyle="miter"/>
              <v:path gradientshapeok="t" o:connecttype="rect"/>
            </v:shapetype>
            <v:shape id="MSIPCM58df47eface29abb392fba7a" o:spid="_x0000_s1027" type="#_x0000_t202" alt="{&quot;HashCode&quot;:1103173119,&quot;Height&quot;:9999999.0,&quot;Width&quot;:9999999.0,&quot;Placement&quot;:&quot;Header&quot;,&quot;Index&quot;:&quot;FirstPage&quot;,&quot;Section&quot;:1,&quot;Top&quot;:0.0,&quot;Left&quot;:0.0}" style="position:absolute;margin-left:560.8pt;margin-top:0;width:612pt;height:36.5pt;z-index:251657216;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o:allowincell="f" filled="f" stroked="f" strokeweight=".5pt">
              <v:textbox inset=",0,20pt,0">
                <w:txbxContent>
                  <w:p w14:paraId="3DF233C2" w14:textId="2F7C8245" w:rsidR="003A4A47" w:rsidRPr="00960237" w:rsidRDefault="00960237" w:rsidP="00960237">
                    <w:pPr>
                      <w:spacing w:after="0"/>
                      <w:jc w:val="right"/>
                      <w:rPr>
                        <w:rFonts w:ascii="Calibri" w:hAnsi="Calibri" w:cs="Calibri"/>
                        <w:color w:val="000000"/>
                        <w:sz w:val="20"/>
                      </w:rPr>
                    </w:pPr>
                    <w:r w:rsidRPr="00960237">
                      <w:rPr>
                        <w:rFonts w:ascii="Calibri" w:hAnsi="Calibri" w:cs="Calibri"/>
                        <w:color w:val="000000"/>
                        <w:sz w:val="20"/>
                      </w:rPr>
                      <w:t>#interna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pPr w:leftFromText="181" w:rightFromText="181" w:vertAnchor="page" w:tblpY="14998"/>
      <w:tblOverlap w:val="never"/>
      <w:tblW w:w="9756" w:type="dxa"/>
      <w:tblLayout w:type="fixed"/>
      <w:tblCellMar>
        <w:left w:w="0" w:type="dxa"/>
        <w:right w:w="0" w:type="dxa"/>
      </w:tblCellMar>
      <w:tblLook w:val="04A0" w:firstRow="1" w:lastRow="0" w:firstColumn="1" w:lastColumn="0" w:noHBand="0" w:noVBand="1"/>
    </w:tblPr>
    <w:tblGrid>
      <w:gridCol w:w="9524"/>
      <w:gridCol w:w="232"/>
    </w:tblGrid>
    <w:tr w:rsidR="00453406" w:rsidRPr="00960237" w14:paraId="267016F3" w14:textId="77777777" w:rsidTr="0017110E">
      <w:tc>
        <w:tcPr>
          <w:tcW w:w="9524" w:type="dxa"/>
        </w:tcPr>
        <w:p w14:paraId="23717D1A" w14:textId="77777777" w:rsidR="00453406" w:rsidRPr="004574B8" w:rsidRDefault="00453406" w:rsidP="000F0E2F">
          <w:pPr>
            <w:tabs>
              <w:tab w:val="right" w:pos="7371"/>
            </w:tabs>
            <w:rPr>
              <w:rFonts w:eastAsia="Verdana" w:cstheme="minorHAnsi"/>
              <w:sz w:val="12"/>
              <w:szCs w:val="12"/>
            </w:rPr>
          </w:pPr>
          <w:r w:rsidRPr="004574B8">
            <w:rPr>
              <w:rFonts w:eastAsia="Verdana" w:cstheme="minorHAnsi"/>
              <w:sz w:val="12"/>
              <w:szCs w:val="12"/>
            </w:rPr>
            <w:t>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Please see www.deloitte.com/about for a more detailed description of DTTL and its member firms.</w:t>
          </w:r>
        </w:p>
        <w:p w14:paraId="53D92330" w14:textId="77777777" w:rsidR="00453406" w:rsidRPr="004574B8" w:rsidRDefault="00453406" w:rsidP="000F0E2F">
          <w:pPr>
            <w:tabs>
              <w:tab w:val="right" w:pos="7371"/>
            </w:tabs>
            <w:rPr>
              <w:rFonts w:eastAsia="Verdana" w:cstheme="minorHAnsi"/>
              <w:sz w:val="12"/>
              <w:szCs w:val="12"/>
            </w:rPr>
          </w:pPr>
        </w:p>
        <w:p w14:paraId="4C27D2FC" w14:textId="77777777" w:rsidR="00453406" w:rsidRPr="004574B8" w:rsidRDefault="00453406" w:rsidP="000F0E2F">
          <w:pPr>
            <w:tabs>
              <w:tab w:val="right" w:pos="7371"/>
            </w:tabs>
            <w:rPr>
              <w:rFonts w:eastAsia="Verdana" w:cstheme="minorHAnsi"/>
              <w:sz w:val="12"/>
              <w:szCs w:val="12"/>
            </w:rPr>
          </w:pPr>
          <w:r w:rsidRPr="004574B8">
            <w:rPr>
              <w:rFonts w:eastAsia="Verdana" w:cstheme="minorHAnsi"/>
              <w:sz w:val="12"/>
              <w:szCs w:val="12"/>
            </w:rPr>
            <w:t>Deloitte provides audit, consulting, financial advisory, risk management, tax and relates services to public and private clients spanning multiple industries. Deloitte serves four out of five Fortune Global 500® companies through a globally connected network of member firms in more than 150 countries bringing world-class capabilities, insights, and high-quality service to address clients’ most complex business challenges. To learn more about how Deloitte’s approximately 286,200 professionals make an impact that matters, please connect with us on Facebook, LinkedIn or Twitter.</w:t>
          </w:r>
        </w:p>
        <w:p w14:paraId="2ED5F2A0" w14:textId="77777777" w:rsidR="00453406" w:rsidRPr="004574B8" w:rsidRDefault="00453406" w:rsidP="000F0E2F">
          <w:pPr>
            <w:tabs>
              <w:tab w:val="right" w:pos="7371"/>
            </w:tabs>
            <w:rPr>
              <w:rFonts w:eastAsia="Verdana" w:cstheme="minorHAnsi"/>
              <w:sz w:val="12"/>
              <w:szCs w:val="12"/>
            </w:rPr>
          </w:pPr>
        </w:p>
        <w:p w14:paraId="60C9BF3C" w14:textId="77777777" w:rsidR="00453406" w:rsidRPr="00523DF9" w:rsidRDefault="00453406" w:rsidP="000F0E2F">
          <w:pPr>
            <w:tabs>
              <w:tab w:val="right" w:pos="7371"/>
            </w:tabs>
            <w:rPr>
              <w:rFonts w:ascii="Verdana" w:eastAsia="Verdana" w:hAnsi="Verdana" w:cs="Times New Roman"/>
              <w:sz w:val="11"/>
              <w:szCs w:val="11"/>
            </w:rPr>
          </w:pPr>
          <w:r w:rsidRPr="004574B8">
            <w:rPr>
              <w:rFonts w:eastAsia="Verdana" w:cstheme="minorHAnsi"/>
              <w:sz w:val="12"/>
              <w:szCs w:val="12"/>
            </w:rPr>
            <w:t xml:space="preserve">© </w:t>
          </w:r>
          <w:r w:rsidRPr="004574B8">
            <w:rPr>
              <w:rFonts w:cstheme="minorHAnsi"/>
              <w:sz w:val="12"/>
              <w:szCs w:val="12"/>
            </w:rPr>
            <w:t>202</w:t>
          </w:r>
          <w:r>
            <w:rPr>
              <w:rFonts w:cstheme="minorHAnsi"/>
              <w:sz w:val="12"/>
              <w:szCs w:val="12"/>
            </w:rPr>
            <w:t>3</w:t>
          </w:r>
          <w:r w:rsidRPr="004574B8">
            <w:rPr>
              <w:rFonts w:cstheme="minorHAnsi"/>
              <w:sz w:val="12"/>
              <w:szCs w:val="12"/>
            </w:rPr>
            <w:t>.</w:t>
          </w:r>
          <w:r w:rsidRPr="004574B8">
            <w:rPr>
              <w:rFonts w:eastAsia="Verdana" w:cstheme="minorHAnsi"/>
              <w:sz w:val="12"/>
              <w:szCs w:val="12"/>
            </w:rPr>
            <w:t xml:space="preserve"> </w:t>
          </w:r>
          <w:r w:rsidRPr="004574B8">
            <w:rPr>
              <w:rFonts w:cstheme="minorHAnsi"/>
              <w:sz w:val="12"/>
              <w:szCs w:val="12"/>
            </w:rPr>
            <w:t>For information, contact Deloitte Touche Tohmatsu Limited.</w:t>
          </w:r>
        </w:p>
      </w:tc>
      <w:tc>
        <w:tcPr>
          <w:tcW w:w="232" w:type="dxa"/>
          <w:vAlign w:val="bottom"/>
        </w:tcPr>
        <w:p w14:paraId="36BA5C34" w14:textId="77777777" w:rsidR="00453406" w:rsidRPr="00523DF9" w:rsidRDefault="00453406" w:rsidP="00690752">
          <w:pPr>
            <w:tabs>
              <w:tab w:val="right" w:pos="7371"/>
            </w:tabs>
            <w:spacing w:line="170" w:lineRule="exact"/>
            <w:rPr>
              <w:rFonts w:ascii="Verdana" w:eastAsia="Verdana" w:hAnsi="Verdana" w:cs="Times New Roman"/>
              <w:sz w:val="11"/>
              <w:szCs w:val="11"/>
            </w:rPr>
          </w:pPr>
        </w:p>
      </w:tc>
    </w:tr>
  </w:tbl>
  <w:p w14:paraId="352D3CDF" w14:textId="77777777" w:rsidR="00453406" w:rsidRPr="000F0E2F" w:rsidRDefault="00453406" w:rsidP="000F0E2F">
    <w:r w:rsidRPr="00523DF9">
      <w:rPr>
        <w:rFonts w:ascii="Verdana" w:hAnsi="Verdana"/>
        <w:noProof/>
        <w:sz w:val="11"/>
        <w:szCs w:val="11"/>
      </w:rPr>
      <mc:AlternateContent>
        <mc:Choice Requires="wpg">
          <w:drawing>
            <wp:anchor distT="0" distB="0" distL="114300" distR="114300" simplePos="0" relativeHeight="251649024" behindDoc="0" locked="0" layoutInCell="1" allowOverlap="1" wp14:anchorId="0451D373" wp14:editId="5229840B">
              <wp:simplePos x="0" y="0"/>
              <wp:positionH relativeFrom="page">
                <wp:posOffset>723331</wp:posOffset>
              </wp:positionH>
              <wp:positionV relativeFrom="page">
                <wp:posOffset>361666</wp:posOffset>
              </wp:positionV>
              <wp:extent cx="6472559" cy="1037230"/>
              <wp:effectExtent l="0" t="0" r="4445" b="10795"/>
              <wp:wrapNone/>
              <wp:docPr id="106" name="Group 2"/>
              <wp:cNvGraphicFramePr/>
              <a:graphic xmlns:a="http://schemas.openxmlformats.org/drawingml/2006/main">
                <a:graphicData uri="http://schemas.microsoft.com/office/word/2010/wordprocessingGroup">
                  <wpg:wgp>
                    <wpg:cNvGrpSpPr/>
                    <wpg:grpSpPr>
                      <a:xfrm>
                        <a:off x="0" y="0"/>
                        <a:ext cx="6472559" cy="1037230"/>
                        <a:chOff x="0" y="0"/>
                        <a:chExt cx="6473309" cy="1037230"/>
                      </a:xfrm>
                    </wpg:grpSpPr>
                    <wps:wsp>
                      <wps:cNvPr id="107" name="Text Box 3"/>
                      <wps:cNvSpPr txBox="1"/>
                      <wps:spPr>
                        <a:xfrm>
                          <a:off x="4781309" y="0"/>
                          <a:ext cx="1692000" cy="1037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FCE32"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Deloitte Touche Tohmatsu</w:t>
                            </w:r>
                          </w:p>
                          <w:p w14:paraId="6DA5FB33"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Setor Comercial Sul, Quadra 9,</w:t>
                            </w:r>
                            <w:r w:rsidRPr="00D92335">
                              <w:rPr>
                                <w:rFonts w:asciiTheme="minorHAnsi" w:eastAsia="Verdana" w:hAnsiTheme="minorHAnsi" w:cstheme="minorHAnsi"/>
                                <w:sz w:val="12"/>
                                <w:szCs w:val="12"/>
                              </w:rPr>
                              <w:br/>
                              <w:t>Torre A, Ed. Parque Cidade Corporate, Sala 1104</w:t>
                            </w:r>
                            <w:r w:rsidRPr="00D92335">
                              <w:rPr>
                                <w:rFonts w:asciiTheme="minorHAnsi" w:eastAsia="Verdana" w:hAnsiTheme="minorHAnsi" w:cstheme="minorHAnsi"/>
                                <w:sz w:val="12"/>
                                <w:szCs w:val="12"/>
                              </w:rPr>
                              <w:br/>
                              <w:t>70308-200 Brasília - DF</w:t>
                            </w:r>
                          </w:p>
                          <w:p w14:paraId="13A2C5B9"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Brasil</w:t>
                            </w:r>
                          </w:p>
                          <w:p w14:paraId="66880254" w14:textId="77777777" w:rsidR="00453406" w:rsidRPr="00D92335" w:rsidRDefault="00453406" w:rsidP="00382BCD">
                            <w:pPr>
                              <w:spacing w:after="0" w:line="170" w:lineRule="atLeast"/>
                              <w:rPr>
                                <w:rFonts w:asciiTheme="minorHAnsi" w:eastAsia="Verdana" w:hAnsiTheme="minorHAnsi" w:cstheme="minorHAnsi"/>
                                <w:sz w:val="12"/>
                                <w:szCs w:val="12"/>
                              </w:rPr>
                            </w:pPr>
                          </w:p>
                          <w:p w14:paraId="0ACE2C3B"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Tel.: + 55 (61) 3224-3924</w:t>
                            </w:r>
                          </w:p>
                          <w:p w14:paraId="22839380"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Fax: + 55 (61) 3226-6087</w:t>
                            </w:r>
                          </w:p>
                          <w:p w14:paraId="2CBE5497"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www.deloitte.com.br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08"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3486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51D373" id="Group 2" o:spid="_x0000_s1037" style="position:absolute;margin-left:56.95pt;margin-top:28.5pt;width:509.65pt;height:81.65pt;z-index:251649024;mso-position-horizontal-relative:page;mso-position-vertical-relative:page;mso-width-relative:margin;mso-height-relative:margin" coordsize="64733,1037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">
              <v:shapetype id="_x0000_t202" coordsize="21600,21600" o:spt="202" path="m,l,21600r21600,l21600,xe">
                <v:stroke joinstyle="miter"/>
                <v:path gradientshapeok="t" o:connecttype="rect"/>
              </v:shapetype>
              <v:shape id="Text Box 3" o:spid="_x0000_s1038" type="#_x0000_t202" style="position:absolute;left:47813;width:16920;height:10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" filled="f" stroked="f" strokeweight=".5pt">
                <v:textbox inset="0,0,0,0">
                  <w:txbxContent>
                    <w:p w14:paraId="014FCE32"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Deloitte Touche Tohmatsu</w:t>
                      </w:r>
                    </w:p>
                    <w:p w14:paraId="6DA5FB33"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Setor Comercial Sul, Quadra 9,</w:t>
                      </w:r>
                      <w:r w:rsidRPr="00D92335">
                        <w:rPr>
                          <w:rFonts w:asciiTheme="minorHAnsi" w:eastAsia="Verdana" w:hAnsiTheme="minorHAnsi" w:cstheme="minorHAnsi"/>
                          <w:sz w:val="12"/>
                          <w:szCs w:val="12"/>
                        </w:rPr>
                        <w:br/>
                        <w:t>Torre A, Ed. Parque Cidade Corporate, Sala 1104</w:t>
                      </w:r>
                      <w:r w:rsidRPr="00D92335">
                        <w:rPr>
                          <w:rFonts w:asciiTheme="minorHAnsi" w:eastAsia="Verdana" w:hAnsiTheme="minorHAnsi" w:cstheme="minorHAnsi"/>
                          <w:sz w:val="12"/>
                          <w:szCs w:val="12"/>
                        </w:rPr>
                        <w:br/>
                        <w:t>70308-200 Brasília - DF</w:t>
                      </w:r>
                    </w:p>
                    <w:p w14:paraId="13A2C5B9"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Brasil</w:t>
                      </w:r>
                    </w:p>
                    <w:p w14:paraId="66880254" w14:textId="77777777" w:rsidR="00453406" w:rsidRPr="00D92335" w:rsidRDefault="00453406" w:rsidP="00382BCD">
                      <w:pPr>
                        <w:spacing w:after="0" w:line="170" w:lineRule="atLeast"/>
                        <w:rPr>
                          <w:rFonts w:asciiTheme="minorHAnsi" w:eastAsia="Verdana" w:hAnsiTheme="minorHAnsi" w:cstheme="minorHAnsi"/>
                          <w:sz w:val="12"/>
                          <w:szCs w:val="12"/>
                        </w:rPr>
                      </w:pPr>
                    </w:p>
                    <w:p w14:paraId="0ACE2C3B"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Tel.: + 55 (61) 3224-3924</w:t>
                      </w:r>
                    </w:p>
                    <w:p w14:paraId="22839380"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Fax: + 55 (61) 3226-6087</w:t>
                      </w:r>
                    </w:p>
                    <w:p w14:paraId="2CBE5497" w14:textId="77777777" w:rsidR="00453406" w:rsidRPr="00D92335" w:rsidRDefault="00453406" w:rsidP="00382BCD">
                      <w:pPr>
                        <w:spacing w:after="0" w:line="170" w:lineRule="atLeast"/>
                        <w:rPr>
                          <w:rFonts w:asciiTheme="minorHAnsi" w:eastAsia="Verdana" w:hAnsiTheme="minorHAnsi" w:cstheme="minorHAnsi"/>
                          <w:sz w:val="12"/>
                          <w:szCs w:val="12"/>
                        </w:rPr>
                      </w:pPr>
                      <w:r w:rsidRPr="00D92335">
                        <w:rPr>
                          <w:rFonts w:asciiTheme="minorHAnsi" w:eastAsia="Verdana" w:hAnsiTheme="minorHAnsi" w:cstheme="minorHAnsi"/>
                          <w:sz w:val="12"/>
                          <w:szCs w:val="12"/>
                        </w:rPr>
                        <w:t>www.deloitte.com.br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9" type="#_x0000_t75" style="position:absolute;width:1871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">
                <v:imagedata r:id="rId2" o:title=""/>
              </v:shape>
              <w10:wrap anchorx="page" anchory="pag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C9B2" w14:textId="350AF628" w:rsidR="002F6AA5" w:rsidRDefault="00897CE8" w:rsidP="00147488">
    <w:pPr>
      <w:pStyle w:val="Cabealho"/>
      <w:tabs>
        <w:tab w:val="clear" w:pos="4252"/>
        <w:tab w:val="clear" w:pos="8504"/>
        <w:tab w:val="left" w:pos="5625"/>
      </w:tabs>
    </w:pPr>
    <w:r>
      <w:rPr>
        <w:noProof/>
      </w:rPr>
      <w:drawing>
        <wp:anchor distT="0" distB="0" distL="114300" distR="114300" simplePos="0" relativeHeight="251673600" behindDoc="0" locked="1" layoutInCell="1" allowOverlap="1" wp14:anchorId="13943BC4" wp14:editId="47612043">
          <wp:simplePos x="0" y="0"/>
          <wp:positionH relativeFrom="page">
            <wp:posOffset>722630</wp:posOffset>
          </wp:positionH>
          <wp:positionV relativeFrom="page">
            <wp:posOffset>360045</wp:posOffset>
          </wp:positionV>
          <wp:extent cx="1151890" cy="215900"/>
          <wp:effectExtent l="0" t="0" r="0" b="0"/>
          <wp:wrapNone/>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623C" w14:textId="51489648" w:rsidR="00897CE8" w:rsidRDefault="00FC4475" w:rsidP="00147488">
    <w:pPr>
      <w:pStyle w:val="Cabealho"/>
      <w:tabs>
        <w:tab w:val="clear" w:pos="4252"/>
        <w:tab w:val="clear" w:pos="8504"/>
        <w:tab w:val="left" w:pos="5625"/>
      </w:tabs>
    </w:pPr>
    <w:r w:rsidRPr="005D303B">
      <w:rPr>
        <w:rFonts w:cs="Arial"/>
        <w:b/>
        <w:noProof/>
        <w:color w:val="1F4E79" w:themeColor="accent1" w:themeShade="80"/>
        <w:szCs w:val="18"/>
        <w:lang w:eastAsia="pt-BR"/>
      </w:rPr>
      <mc:AlternateContent>
        <mc:Choice Requires="wps">
          <w:drawing>
            <wp:anchor distT="0" distB="0" distL="114300" distR="114300" simplePos="0" relativeHeight="251650048" behindDoc="0" locked="0" layoutInCell="1" allowOverlap="1" wp14:anchorId="7926F7E9" wp14:editId="292F0CA9">
              <wp:simplePos x="0" y="0"/>
              <wp:positionH relativeFrom="page">
                <wp:posOffset>-184785</wp:posOffset>
              </wp:positionH>
              <wp:positionV relativeFrom="paragraph">
                <wp:posOffset>27305</wp:posOffset>
              </wp:positionV>
              <wp:extent cx="9144000" cy="53340"/>
              <wp:effectExtent l="0" t="0" r="0" b="3810"/>
              <wp:wrapNone/>
              <wp:docPr id="112"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7ED68299" id="Retângulo 14" o:spid="_x0000_s1026" style="position:absolute;margin-left:-14.55pt;margin-top:2.15pt;width:10in;height:4.2pt;z-index:2516500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" fillcolor="#f9dd16" stroked="f" strokeweight="1pt">
              <w10:wrap anchorx="page"/>
            </v:rect>
          </w:pict>
        </mc:Fallback>
      </mc:AlternateContent>
    </w:r>
    <w:r w:rsidR="001A2EC3">
      <w:rPr>
        <w:noProof/>
        <w:sz w:val="20"/>
        <w:szCs w:val="20"/>
        <w:lang w:eastAsia="pt-BR"/>
      </w:rPr>
      <w:drawing>
        <wp:anchor distT="0" distB="0" distL="114300" distR="114300" simplePos="0" relativeHeight="251651072" behindDoc="0" locked="0" layoutInCell="1" allowOverlap="1" wp14:anchorId="4507EA5F" wp14:editId="7A2D436E">
          <wp:simplePos x="0" y="0"/>
          <wp:positionH relativeFrom="margin">
            <wp:posOffset>-230505</wp:posOffset>
          </wp:positionH>
          <wp:positionV relativeFrom="paragraph">
            <wp:posOffset>-365741</wp:posOffset>
          </wp:positionV>
          <wp:extent cx="967740" cy="198755"/>
          <wp:effectExtent l="0" t="0" r="3810" b="0"/>
          <wp:wrapNone/>
          <wp:docPr id="62" name="Imagem 6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m 114"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001A2EC3">
      <w:rPr>
        <w:noProof/>
        <w:sz w:val="20"/>
        <w:szCs w:val="20"/>
        <w:lang w:eastAsia="pt-BR"/>
      </w:rPr>
      <mc:AlternateContent>
        <mc:Choice Requires="wps">
          <w:drawing>
            <wp:anchor distT="0" distB="0" distL="114300" distR="114300" simplePos="0" relativeHeight="251652096" behindDoc="0" locked="0" layoutInCell="1" allowOverlap="1" wp14:anchorId="17EC405D" wp14:editId="13646F67">
              <wp:simplePos x="0" y="0"/>
              <wp:positionH relativeFrom="column">
                <wp:posOffset>1803144</wp:posOffset>
              </wp:positionH>
              <wp:positionV relativeFrom="paragraph">
                <wp:posOffset>-437515</wp:posOffset>
              </wp:positionV>
              <wp:extent cx="4739640" cy="402590"/>
              <wp:effectExtent l="0" t="0" r="0" b="0"/>
              <wp:wrapNone/>
              <wp:docPr id="113" name="Caixa de Texto 113"/>
              <wp:cNvGraphicFramePr/>
              <a:graphic xmlns:a="http://schemas.openxmlformats.org/drawingml/2006/main">
                <a:graphicData uri="http://schemas.microsoft.com/office/word/2010/wordprocessingShape">
                  <wps:wsp>
                    <wps:cNvSpPr txBox="1"/>
                    <wps:spPr>
                      <a:xfrm>
                        <a:off x="0" y="0"/>
                        <a:ext cx="4739640" cy="402590"/>
                      </a:xfrm>
                      <a:prstGeom prst="rect">
                        <a:avLst/>
                      </a:prstGeom>
                      <a:noFill/>
                      <a:ln w="6350">
                        <a:noFill/>
                      </a:ln>
                    </wps:spPr>
                    <wps:txbx>
                      <w:txbxContent>
                        <w:p w14:paraId="546CF24A" w14:textId="77777777" w:rsidR="001A2EC3" w:rsidRPr="00E16BE7" w:rsidRDefault="001A2EC3" w:rsidP="001A2EC3">
                          <w:pPr>
                            <w:jc w:val="right"/>
                          </w:pPr>
                          <w:r w:rsidRPr="00126EE0">
                            <w:rPr>
                              <w:rFonts w:cs="Arial"/>
                              <w:color w:val="FFFFFF" w:themeColor="background1"/>
                              <w:szCs w:val="18"/>
                            </w:rPr>
                            <w:t>Consolidated Financi</w:t>
                          </w:r>
                          <w:r>
                            <w:rPr>
                              <w:rFonts w:cs="Arial"/>
                              <w:color w:val="FFFFFF" w:themeColor="background1"/>
                              <w:szCs w:val="18"/>
                            </w:rPr>
                            <w:t xml:space="preserve">al Statements – </w:t>
                          </w:r>
                          <w:r w:rsidRPr="00126EE0">
                            <w:rPr>
                              <w:rFonts w:cs="Arial"/>
                              <w:color w:val="FFFFFF" w:themeColor="background1"/>
                              <w:szCs w:val="18"/>
                            </w:rPr>
                            <w:t>2022</w:t>
                          </w:r>
                          <w:r w:rsidRPr="00126EE0">
                            <w:rPr>
                              <w:rFonts w:cs="Arial"/>
                              <w:color w:val="FFFFFF" w:themeColor="background1"/>
                              <w:szCs w:val="18"/>
                            </w:rPr>
                            <w:br/>
                            <w:t>BB Seguridade Participações S.A</w:t>
                          </w:r>
                          <w:r>
                            <w:rPr>
                              <w:rFonts w:cs="Arial"/>
                              <w:color w:val="FFFFFF" w:themeColor="background1"/>
                              <w:szCs w:val="18"/>
                            </w:rPr>
                            <w:t>.</w:t>
                          </w:r>
                        </w:p>
                        <w:p w14:paraId="7297EAAE" w14:textId="77777777" w:rsidR="001A2EC3" w:rsidRPr="00E16BE7" w:rsidRDefault="001A2EC3" w:rsidP="001A2E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C405D" id="_x0000_t202" coordsize="21600,21600" o:spt="202" path="m,l,21600r21600,l21600,xe">
              <v:stroke joinstyle="miter"/>
              <v:path gradientshapeok="t" o:connecttype="rect"/>
            </v:shapetype>
            <v:shape id="Caixa de Texto 113" o:spid="_x0000_s1040" type="#_x0000_t202" style="position:absolute;margin-left:142pt;margin-top:-34.45pt;width:373.2pt;height:3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" filled="f" stroked="f" strokeweight=".5pt">
              <v:textbox>
                <w:txbxContent>
                  <w:p w14:paraId="546CF24A" w14:textId="77777777" w:rsidR="001A2EC3" w:rsidRPr="00E16BE7" w:rsidRDefault="001A2EC3" w:rsidP="001A2EC3">
                    <w:pPr>
                      <w:jc w:val="right"/>
                    </w:pPr>
                    <w:r w:rsidRPr="00126EE0">
                      <w:rPr>
                        <w:rFonts w:cs="Arial"/>
                        <w:color w:val="FFFFFF" w:themeColor="background1"/>
                        <w:szCs w:val="18"/>
                      </w:rPr>
                      <w:t>Consolidated Financi</w:t>
                    </w:r>
                    <w:r>
                      <w:rPr>
                        <w:rFonts w:cs="Arial"/>
                        <w:color w:val="FFFFFF" w:themeColor="background1"/>
                        <w:szCs w:val="18"/>
                      </w:rPr>
                      <w:t xml:space="preserve">al Statements – </w:t>
                    </w:r>
                    <w:r w:rsidRPr="00126EE0">
                      <w:rPr>
                        <w:rFonts w:cs="Arial"/>
                        <w:color w:val="FFFFFF" w:themeColor="background1"/>
                        <w:szCs w:val="18"/>
                      </w:rPr>
                      <w:t>2022</w:t>
                    </w:r>
                    <w:r w:rsidRPr="00126EE0">
                      <w:rPr>
                        <w:rFonts w:cs="Arial"/>
                        <w:color w:val="FFFFFF" w:themeColor="background1"/>
                        <w:szCs w:val="18"/>
                      </w:rPr>
                      <w:br/>
                      <w:t>BB Seguridade Participações S.A</w:t>
                    </w:r>
                    <w:r>
                      <w:rPr>
                        <w:rFonts w:cs="Arial"/>
                        <w:color w:val="FFFFFF" w:themeColor="background1"/>
                        <w:szCs w:val="18"/>
                      </w:rPr>
                      <w:t>.</w:t>
                    </w:r>
                  </w:p>
                  <w:p w14:paraId="7297EAAE" w14:textId="77777777" w:rsidR="001A2EC3" w:rsidRPr="00E16BE7" w:rsidRDefault="001A2EC3" w:rsidP="001A2EC3"/>
                </w:txbxContent>
              </v:textbox>
            </v:shape>
          </w:pict>
        </mc:Fallback>
      </mc:AlternateContent>
    </w:r>
    <w:r w:rsidR="001A2EC3" w:rsidRPr="0069353A">
      <w:rPr>
        <w:noProof/>
        <w:sz w:val="20"/>
        <w:szCs w:val="20"/>
        <w:lang w:eastAsia="pt-BR"/>
      </w:rPr>
      <mc:AlternateContent>
        <mc:Choice Requires="wps">
          <w:drawing>
            <wp:anchor distT="0" distB="0" distL="114300" distR="114300" simplePos="0" relativeHeight="251648000" behindDoc="0" locked="0" layoutInCell="1" allowOverlap="1" wp14:anchorId="14255EC1" wp14:editId="254E78C2">
              <wp:simplePos x="0" y="0"/>
              <wp:positionH relativeFrom="page">
                <wp:posOffset>0</wp:posOffset>
              </wp:positionH>
              <wp:positionV relativeFrom="paragraph">
                <wp:posOffset>-540385</wp:posOffset>
              </wp:positionV>
              <wp:extent cx="7553325" cy="621187"/>
              <wp:effectExtent l="0" t="0" r="9525" b="7620"/>
              <wp:wrapNone/>
              <wp:docPr id="115" name="Retângulo 115"/>
              <wp:cNvGraphicFramePr/>
              <a:graphic xmlns:a="http://schemas.openxmlformats.org/drawingml/2006/main">
                <a:graphicData uri="http://schemas.microsoft.com/office/word/2010/wordprocessingShape">
                  <wps:wsp>
                    <wps:cNvSpPr/>
                    <wps:spPr>
                      <a:xfrm>
                        <a:off x="0" y="0"/>
                        <a:ext cx="7553325" cy="621187"/>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8978DF6" w14:textId="77777777" w:rsidR="001A2EC3" w:rsidRDefault="001A2EC3" w:rsidP="001A2EC3">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55EC1" id="Retângulo 115" o:spid="_x0000_s1041" style="position:absolute;margin-left:0;margin-top:-42.55pt;width:594.75pt;height:48.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" fillcolor="#002d4b" stroked="f" strokeweight="1pt">
              <v:textbox>
                <w:txbxContent>
                  <w:p w14:paraId="68978DF6" w14:textId="77777777" w:rsidR="001A2EC3" w:rsidRDefault="001A2EC3" w:rsidP="001A2EC3">
                    <w:pPr>
                      <w:ind w:left="708"/>
                      <w:jc w:val="right"/>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7BC4" w14:textId="7485AD27" w:rsidR="003A4A47" w:rsidRPr="00992545" w:rsidRDefault="003A4A47" w:rsidP="00187C45">
    <w:pPr>
      <w:ind w:left="708"/>
      <w:jc w:val="right"/>
    </w:pPr>
    <w:r>
      <w:rPr>
        <w:noProof/>
        <w:sz w:val="20"/>
        <w:szCs w:val="20"/>
        <w:lang w:eastAsia="pt-BR"/>
      </w:rPr>
      <mc:AlternateContent>
        <mc:Choice Requires="wps">
          <w:drawing>
            <wp:anchor distT="0" distB="0" distL="114300" distR="114300" simplePos="0" relativeHeight="251642880" behindDoc="0" locked="0" layoutInCell="1" allowOverlap="1" wp14:anchorId="1F8CE5B9" wp14:editId="4750B8B7">
              <wp:simplePos x="0" y="0"/>
              <wp:positionH relativeFrom="column">
                <wp:posOffset>3019339</wp:posOffset>
              </wp:positionH>
              <wp:positionV relativeFrom="paragraph">
                <wp:posOffset>-479442</wp:posOffset>
              </wp:positionV>
              <wp:extent cx="3629448" cy="402742"/>
              <wp:effectExtent l="0" t="0" r="0" b="0"/>
              <wp:wrapNone/>
              <wp:docPr id="87" name="Caixa de Texto 87"/>
              <wp:cNvGraphicFramePr/>
              <a:graphic xmlns:a="http://schemas.openxmlformats.org/drawingml/2006/main">
                <a:graphicData uri="http://schemas.microsoft.com/office/word/2010/wordprocessingShape">
                  <wps:wsp>
                    <wps:cNvSpPr txBox="1"/>
                    <wps:spPr>
                      <a:xfrm>
                        <a:off x="0" y="0"/>
                        <a:ext cx="3629448" cy="402742"/>
                      </a:xfrm>
                      <a:prstGeom prst="rect">
                        <a:avLst/>
                      </a:prstGeom>
                      <a:noFill/>
                      <a:ln w="6350">
                        <a:noFill/>
                      </a:ln>
                    </wps:spPr>
                    <wps:txbx>
                      <w:txbxContent>
                        <w:p w14:paraId="5CB2B47A" w14:textId="52C614A0" w:rsidR="003A4A47" w:rsidRPr="00AF3549" w:rsidRDefault="003A4A47" w:rsidP="0017189F">
                          <w:pPr>
                            <w:jc w:val="right"/>
                          </w:pPr>
                          <w:r w:rsidRPr="002B7B96">
                            <w:rPr>
                              <w:rFonts w:cs="Arial"/>
                              <w:color w:val="FFFFFF" w:themeColor="background1"/>
                              <w:szCs w:val="18"/>
                            </w:rPr>
                            <w:t>Conso</w:t>
                          </w:r>
                          <w:r>
                            <w:rPr>
                              <w:rFonts w:cs="Arial"/>
                              <w:color w:val="FFFFFF" w:themeColor="background1"/>
                              <w:szCs w:val="18"/>
                            </w:rPr>
                            <w:t>lidated Financial Statements –</w:t>
                          </w:r>
                          <w:r w:rsidR="008C707F">
                            <w:rPr>
                              <w:rFonts w:cs="Arial"/>
                              <w:color w:val="FFFFFF" w:themeColor="background1"/>
                              <w:szCs w:val="18"/>
                            </w:rPr>
                            <w:t xml:space="preserve"> </w:t>
                          </w:r>
                          <w:r w:rsidRPr="002B7B96">
                            <w:rPr>
                              <w:rFonts w:cs="Arial"/>
                              <w:color w:val="FFFFFF" w:themeColor="background1"/>
                              <w:szCs w:val="18"/>
                            </w:rPr>
                            <w:t>202</w:t>
                          </w:r>
                          <w:r>
                            <w:rPr>
                              <w:rFonts w:cs="Arial"/>
                              <w:color w:val="FFFFFF" w:themeColor="background1"/>
                              <w:szCs w:val="18"/>
                            </w:rPr>
                            <w:t>2</w:t>
                          </w:r>
                          <w:r w:rsidRPr="00AF3549">
                            <w:rPr>
                              <w:rFonts w:cs="Arial"/>
                              <w:color w:val="FFFFFF" w:themeColor="background1"/>
                              <w:szCs w:val="18"/>
                            </w:rPr>
                            <w:br/>
                            <w:t>BB Seguridade Participações S.A.</w:t>
                          </w:r>
                        </w:p>
                        <w:p w14:paraId="4EC29F09" w14:textId="77777777" w:rsidR="003A4A47" w:rsidRPr="00AF3549" w:rsidRDefault="003A4A47" w:rsidP="0017189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CE5B9" id="_x0000_t202" coordsize="21600,21600" o:spt="202" path="m,l,21600r21600,l21600,xe">
              <v:stroke joinstyle="miter"/>
              <v:path gradientshapeok="t" o:connecttype="rect"/>
            </v:shapetype>
            <v:shape id="Caixa de Texto 87" o:spid="_x0000_s1028" type="#_x0000_t202" style="position:absolute;left:0;text-align:left;margin-left:237.75pt;margin-top:-37.75pt;width:285.8pt;height:31.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" filled="f" stroked="f" strokeweight=".5pt">
              <v:textbox>
                <w:txbxContent>
                  <w:p w14:paraId="5CB2B47A" w14:textId="52C614A0" w:rsidR="003A4A47" w:rsidRPr="00AF3549" w:rsidRDefault="003A4A47" w:rsidP="0017189F">
                    <w:pPr>
                      <w:jc w:val="right"/>
                    </w:pPr>
                    <w:r w:rsidRPr="002B7B96">
                      <w:rPr>
                        <w:rFonts w:cs="Arial"/>
                        <w:color w:val="FFFFFF" w:themeColor="background1"/>
                        <w:szCs w:val="18"/>
                      </w:rPr>
                      <w:t>Conso</w:t>
                    </w:r>
                    <w:r>
                      <w:rPr>
                        <w:rFonts w:cs="Arial"/>
                        <w:color w:val="FFFFFF" w:themeColor="background1"/>
                        <w:szCs w:val="18"/>
                      </w:rPr>
                      <w:t>lidated Financial Statements –</w:t>
                    </w:r>
                    <w:r w:rsidR="008C707F">
                      <w:rPr>
                        <w:rFonts w:cs="Arial"/>
                        <w:color w:val="FFFFFF" w:themeColor="background1"/>
                        <w:szCs w:val="18"/>
                      </w:rPr>
                      <w:t xml:space="preserve"> </w:t>
                    </w:r>
                    <w:r w:rsidRPr="002B7B96">
                      <w:rPr>
                        <w:rFonts w:cs="Arial"/>
                        <w:color w:val="FFFFFF" w:themeColor="background1"/>
                        <w:szCs w:val="18"/>
                      </w:rPr>
                      <w:t>202</w:t>
                    </w:r>
                    <w:r>
                      <w:rPr>
                        <w:rFonts w:cs="Arial"/>
                        <w:color w:val="FFFFFF" w:themeColor="background1"/>
                        <w:szCs w:val="18"/>
                      </w:rPr>
                      <w:t>2</w:t>
                    </w:r>
                    <w:r w:rsidRPr="00AF3549">
                      <w:rPr>
                        <w:rFonts w:cs="Arial"/>
                        <w:color w:val="FFFFFF" w:themeColor="background1"/>
                        <w:szCs w:val="18"/>
                      </w:rPr>
                      <w:br/>
                      <w:t>BB Seguridade Participações S.A.</w:t>
                    </w:r>
                  </w:p>
                  <w:p w14:paraId="4EC29F09" w14:textId="77777777" w:rsidR="003A4A47" w:rsidRPr="00AF3549" w:rsidRDefault="003A4A47" w:rsidP="0017189F">
                    <w:pPr>
                      <w:jc w:val="right"/>
                    </w:pPr>
                  </w:p>
                </w:txbxContent>
              </v:textbox>
            </v:shape>
          </w:pict>
        </mc:Fallback>
      </mc:AlternateContent>
    </w:r>
    <w:r w:rsidRPr="00254D35">
      <w:rPr>
        <w:noProof/>
        <w:sz w:val="20"/>
        <w:szCs w:val="20"/>
        <w:lang w:eastAsia="pt-BR"/>
      </w:rPr>
      <mc:AlternateContent>
        <mc:Choice Requires="wps">
          <w:drawing>
            <wp:anchor distT="0" distB="0" distL="114300" distR="114300" simplePos="0" relativeHeight="251636736" behindDoc="0" locked="0" layoutInCell="1" allowOverlap="1" wp14:anchorId="5525D7FB" wp14:editId="2B6C0818">
              <wp:simplePos x="0" y="0"/>
              <wp:positionH relativeFrom="page">
                <wp:posOffset>-1178011</wp:posOffset>
              </wp:positionH>
              <wp:positionV relativeFrom="paragraph">
                <wp:posOffset>-556861</wp:posOffset>
              </wp:positionV>
              <wp:extent cx="11887200" cy="527222"/>
              <wp:effectExtent l="0" t="0" r="0" b="6350"/>
              <wp:wrapNone/>
              <wp:docPr id="89" name="Retângulo 89"/>
              <wp:cNvGraphicFramePr/>
              <a:graphic xmlns:a="http://schemas.openxmlformats.org/drawingml/2006/main">
                <a:graphicData uri="http://schemas.microsoft.com/office/word/2010/wordprocessingShape">
                  <wps:wsp>
                    <wps:cNvSpPr/>
                    <wps:spPr>
                      <a:xfrm>
                        <a:off x="0" y="0"/>
                        <a:ext cx="11887200" cy="527222"/>
                      </a:xfrm>
                      <a:prstGeom prst="rect">
                        <a:avLst/>
                      </a:prstGeom>
                      <a:solidFill>
                        <a:srgbClr val="002D4B"/>
                      </a:solidFill>
                      <a:ln w="12700" cap="flat" cmpd="sng" algn="ctr">
                        <a:noFill/>
                        <a:prstDash val="solid"/>
                        <a:miter lim="800000"/>
                      </a:ln>
                      <a:effectLst/>
                    </wps:spPr>
                    <wps:txbx>
                      <w:txbxContent>
                        <w:p w14:paraId="1B5BF9A2" w14:textId="0033BAA9" w:rsidR="003A4A47" w:rsidRDefault="003A4A47" w:rsidP="00187C45">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5D7FB" id="Retângulo 89" o:spid="_x0000_s1029" style="position:absolute;left:0;text-align:left;margin-left:-92.75pt;margin-top:-43.85pt;width:13in;height:4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" fillcolor="#002d4b" stroked="f" strokeweight="1pt">
              <v:textbox>
                <w:txbxContent>
                  <w:p w14:paraId="1B5BF9A2" w14:textId="0033BAA9" w:rsidR="003A4A47" w:rsidRDefault="003A4A47" w:rsidP="00187C45">
                    <w:pPr>
                      <w:ind w:left="708"/>
                      <w:jc w:val="right"/>
                    </w:pPr>
                  </w:p>
                </w:txbxContent>
              </v:textbox>
              <w10:wrap anchorx="page"/>
            </v:rect>
          </w:pict>
        </mc:Fallback>
      </mc:AlternateContent>
    </w:r>
    <w:r w:rsidRPr="005D303B">
      <w:rPr>
        <w:b/>
        <w:noProof/>
        <w:color w:val="1F4E79" w:themeColor="accent1" w:themeShade="80"/>
        <w:lang w:eastAsia="pt-BR"/>
      </w:rPr>
      <mc:AlternateContent>
        <mc:Choice Requires="wps">
          <w:drawing>
            <wp:anchor distT="0" distB="0" distL="114300" distR="114300" simplePos="0" relativeHeight="251637760" behindDoc="0" locked="0" layoutInCell="1" allowOverlap="1" wp14:anchorId="1F7509E7" wp14:editId="6A7F55D6">
              <wp:simplePos x="0" y="0"/>
              <wp:positionH relativeFrom="page">
                <wp:posOffset>-720969</wp:posOffset>
              </wp:positionH>
              <wp:positionV relativeFrom="paragraph">
                <wp:posOffset>-48651</wp:posOffset>
              </wp:positionV>
              <wp:extent cx="11406505" cy="45719"/>
              <wp:effectExtent l="0" t="0" r="4445" b="0"/>
              <wp:wrapNone/>
              <wp:docPr id="88" name="Retângulo 14"/>
              <wp:cNvGraphicFramePr/>
              <a:graphic xmlns:a="http://schemas.openxmlformats.org/drawingml/2006/main">
                <a:graphicData uri="http://schemas.microsoft.com/office/word/2010/wordprocessingShape">
                  <wps:wsp>
                    <wps:cNvSpPr/>
                    <wps:spPr>
                      <a:xfrm flipV="1">
                        <a:off x="0" y="0"/>
                        <a:ext cx="11406505" cy="45719"/>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5C2AC6CB" id="Retângulo 14" o:spid="_x0000_s1026" style="position:absolute;margin-left:-56.75pt;margin-top:-3.85pt;width:898.15pt;height:3.6pt;flip:y;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" fillcolor="#f9dd16" stroked="f" strokeweight="1pt">
              <w10:wrap anchorx="page"/>
            </v:rect>
          </w:pict>
        </mc:Fallback>
      </mc:AlternateContent>
    </w:r>
    <w:r>
      <w:rPr>
        <w:noProof/>
        <w:sz w:val="20"/>
        <w:szCs w:val="20"/>
        <w:lang w:eastAsia="pt-BR"/>
      </w:rPr>
      <w:drawing>
        <wp:anchor distT="0" distB="0" distL="114300" distR="114300" simplePos="0" relativeHeight="251638784" behindDoc="0" locked="0" layoutInCell="1" allowOverlap="1" wp14:anchorId="2DEAFCF0" wp14:editId="320CD9C5">
          <wp:simplePos x="0" y="0"/>
          <wp:positionH relativeFrom="margin">
            <wp:posOffset>-294957</wp:posOffset>
          </wp:positionH>
          <wp:positionV relativeFrom="page">
            <wp:posOffset>148590</wp:posOffset>
          </wp:positionV>
          <wp:extent cx="967740" cy="198755"/>
          <wp:effectExtent l="0" t="0" r="3810" b="0"/>
          <wp:wrapNone/>
          <wp:docPr id="116" name="Imagem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7346" w14:textId="77777777" w:rsidR="00AF04B6" w:rsidRPr="00147488" w:rsidRDefault="00AF04B6" w:rsidP="00147488">
    <w:pPr>
      <w:pStyle w:val="Cabealho"/>
      <w:tabs>
        <w:tab w:val="clear" w:pos="4252"/>
        <w:tab w:val="clear" w:pos="8504"/>
        <w:tab w:val="left" w:pos="5625"/>
      </w:tabs>
    </w:pPr>
    <w:r w:rsidRPr="005D303B">
      <w:rPr>
        <w:rFonts w:cs="Arial"/>
        <w:b/>
        <w:noProof/>
        <w:color w:val="1F4E79" w:themeColor="accent1" w:themeShade="80"/>
        <w:szCs w:val="18"/>
        <w:lang w:eastAsia="pt-BR"/>
      </w:rPr>
      <w:drawing>
        <wp:anchor distT="0" distB="0" distL="114300" distR="114300" simplePos="0" relativeHeight="251644928" behindDoc="0" locked="0" layoutInCell="1" allowOverlap="1" wp14:anchorId="6A648A87" wp14:editId="2E23578D">
          <wp:simplePos x="0" y="0"/>
          <wp:positionH relativeFrom="margin">
            <wp:posOffset>-447675</wp:posOffset>
          </wp:positionH>
          <wp:positionV relativeFrom="paragraph">
            <wp:posOffset>-353060</wp:posOffset>
          </wp:positionV>
          <wp:extent cx="1176020" cy="259080"/>
          <wp:effectExtent l="0" t="0" r="5080" b="7620"/>
          <wp:wrapNone/>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43904" behindDoc="1" locked="0" layoutInCell="1" allowOverlap="1" wp14:anchorId="1CE29564" wp14:editId="3B89D6A6">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8" name="Retângulo 8"/>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C16DA" id="Retângulo 8" o:spid="_x0000_s1026" style="position:absolute;margin-left:0;margin-top:-42.75pt;width:594.75pt;height:51.8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" fillcolor="#0038a8" stroked="f" strokeweight="1pt">
              <w10:wrap type="through" anchorx="page"/>
            </v:rect>
          </w:pict>
        </mc:Fallback>
      </mc:AlternateContent>
    </w:r>
    <w:r w:rsidRPr="005D303B">
      <w:rPr>
        <w:rFonts w:cs="Arial"/>
        <w:b/>
        <w:noProof/>
        <w:color w:val="1F4E79" w:themeColor="accent1" w:themeShade="80"/>
        <w:szCs w:val="18"/>
        <w:lang w:eastAsia="pt-BR"/>
      </w:rPr>
      <mc:AlternateContent>
        <mc:Choice Requires="wps">
          <w:drawing>
            <wp:anchor distT="0" distB="0" distL="114300" distR="114300" simplePos="0" relativeHeight="251645952" behindDoc="0" locked="0" layoutInCell="1" allowOverlap="1" wp14:anchorId="31FC766C" wp14:editId="3D57D817">
              <wp:simplePos x="0" y="0"/>
              <wp:positionH relativeFrom="page">
                <wp:posOffset>0</wp:posOffset>
              </wp:positionH>
              <wp:positionV relativeFrom="paragraph">
                <wp:posOffset>77252</wp:posOffset>
              </wp:positionV>
              <wp:extent cx="9144000" cy="53340"/>
              <wp:effectExtent l="0" t="0" r="0" b="3810"/>
              <wp:wrapNone/>
              <wp:docPr id="9"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6AC466BB" id="Retângulo 14" o:spid="_x0000_s1026" style="position:absolute;margin-left:0;margin-top:6.1pt;width:10in;height:4.2pt;z-index:2516459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" fillcolor="#f5e500" stroked="f" strokeweight="1pt">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D317" w14:textId="77777777" w:rsidR="00AF04B6" w:rsidRDefault="00AF04B6">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7DA9" w14:textId="77777777" w:rsidR="00AF04B6" w:rsidRDefault="00AF04B6">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8566" w14:textId="77777777" w:rsidR="00AF04B6" w:rsidRDefault="00AF04B6">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5E2EB" w14:textId="77777777" w:rsidR="001A2EC3" w:rsidRPr="00992545" w:rsidRDefault="001A2EC3" w:rsidP="00187C45">
    <w:pPr>
      <w:ind w:left="708"/>
      <w:jc w:val="right"/>
    </w:pPr>
    <w:r>
      <w:rPr>
        <w:noProof/>
        <w:sz w:val="20"/>
        <w:szCs w:val="20"/>
        <w:lang w:eastAsia="pt-BR"/>
      </w:rPr>
      <mc:AlternateContent>
        <mc:Choice Requires="wps">
          <w:drawing>
            <wp:anchor distT="0" distB="0" distL="114300" distR="114300" simplePos="0" relativeHeight="251667456" behindDoc="0" locked="0" layoutInCell="1" allowOverlap="1" wp14:anchorId="6DCF207E" wp14:editId="62968A38">
              <wp:simplePos x="0" y="0"/>
              <wp:positionH relativeFrom="column">
                <wp:posOffset>6301076</wp:posOffset>
              </wp:positionH>
              <wp:positionV relativeFrom="paragraph">
                <wp:posOffset>-479425</wp:posOffset>
              </wp:positionV>
              <wp:extent cx="3629448" cy="402742"/>
              <wp:effectExtent l="0" t="0" r="0" b="0"/>
              <wp:wrapNone/>
              <wp:docPr id="124" name="Caixa de Texto 124"/>
              <wp:cNvGraphicFramePr/>
              <a:graphic xmlns:a="http://schemas.openxmlformats.org/drawingml/2006/main">
                <a:graphicData uri="http://schemas.microsoft.com/office/word/2010/wordprocessingShape">
                  <wps:wsp>
                    <wps:cNvSpPr txBox="1"/>
                    <wps:spPr>
                      <a:xfrm>
                        <a:off x="0" y="0"/>
                        <a:ext cx="3629448" cy="402742"/>
                      </a:xfrm>
                      <a:prstGeom prst="rect">
                        <a:avLst/>
                      </a:prstGeom>
                      <a:noFill/>
                      <a:ln w="6350">
                        <a:noFill/>
                      </a:ln>
                    </wps:spPr>
                    <wps:txbx>
                      <w:txbxContent>
                        <w:p w14:paraId="2AF4C7A9" w14:textId="77777777" w:rsidR="001A2EC3" w:rsidRPr="00AF3549" w:rsidRDefault="001A2EC3" w:rsidP="0017189F">
                          <w:pPr>
                            <w:jc w:val="right"/>
                          </w:pPr>
                          <w:r w:rsidRPr="002B7B96">
                            <w:rPr>
                              <w:rFonts w:cs="Arial"/>
                              <w:color w:val="FFFFFF" w:themeColor="background1"/>
                              <w:szCs w:val="18"/>
                            </w:rPr>
                            <w:t>Conso</w:t>
                          </w:r>
                          <w:r>
                            <w:rPr>
                              <w:rFonts w:cs="Arial"/>
                              <w:color w:val="FFFFFF" w:themeColor="background1"/>
                              <w:szCs w:val="18"/>
                            </w:rPr>
                            <w:t xml:space="preserve">lidated Financial Statements – </w:t>
                          </w:r>
                          <w:r w:rsidRPr="002B7B96">
                            <w:rPr>
                              <w:rFonts w:cs="Arial"/>
                              <w:color w:val="FFFFFF" w:themeColor="background1"/>
                              <w:szCs w:val="18"/>
                            </w:rPr>
                            <w:t>202</w:t>
                          </w:r>
                          <w:r>
                            <w:rPr>
                              <w:rFonts w:cs="Arial"/>
                              <w:color w:val="FFFFFF" w:themeColor="background1"/>
                              <w:szCs w:val="18"/>
                            </w:rPr>
                            <w:t>2</w:t>
                          </w:r>
                          <w:r w:rsidRPr="00AF3549">
                            <w:rPr>
                              <w:rFonts w:cs="Arial"/>
                              <w:color w:val="FFFFFF" w:themeColor="background1"/>
                              <w:szCs w:val="18"/>
                            </w:rPr>
                            <w:br/>
                            <w:t>BB Seguridade Participações S.A.</w:t>
                          </w:r>
                        </w:p>
                        <w:p w14:paraId="0B9C70BF" w14:textId="77777777" w:rsidR="001A2EC3" w:rsidRPr="00AF3549" w:rsidRDefault="001A2EC3" w:rsidP="0017189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F207E" id="_x0000_t202" coordsize="21600,21600" o:spt="202" path="m,l,21600r21600,l21600,xe">
              <v:stroke joinstyle="miter"/>
              <v:path gradientshapeok="t" o:connecttype="rect"/>
            </v:shapetype>
            <v:shape id="Caixa de Texto 124" o:spid="_x0000_s1030" type="#_x0000_t202" style="position:absolute;left:0;text-align:left;margin-left:496.15pt;margin-top:-37.75pt;width:285.8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" filled="f" stroked="f" strokeweight=".5pt">
              <v:textbox>
                <w:txbxContent>
                  <w:p w14:paraId="2AF4C7A9" w14:textId="77777777" w:rsidR="001A2EC3" w:rsidRPr="00AF3549" w:rsidRDefault="001A2EC3" w:rsidP="0017189F">
                    <w:pPr>
                      <w:jc w:val="right"/>
                    </w:pPr>
                    <w:r w:rsidRPr="002B7B96">
                      <w:rPr>
                        <w:rFonts w:cs="Arial"/>
                        <w:color w:val="FFFFFF" w:themeColor="background1"/>
                        <w:szCs w:val="18"/>
                      </w:rPr>
                      <w:t>Conso</w:t>
                    </w:r>
                    <w:r>
                      <w:rPr>
                        <w:rFonts w:cs="Arial"/>
                        <w:color w:val="FFFFFF" w:themeColor="background1"/>
                        <w:szCs w:val="18"/>
                      </w:rPr>
                      <w:t xml:space="preserve">lidated Financial Statements – </w:t>
                    </w:r>
                    <w:r w:rsidRPr="002B7B96">
                      <w:rPr>
                        <w:rFonts w:cs="Arial"/>
                        <w:color w:val="FFFFFF" w:themeColor="background1"/>
                        <w:szCs w:val="18"/>
                      </w:rPr>
                      <w:t>202</w:t>
                    </w:r>
                    <w:r>
                      <w:rPr>
                        <w:rFonts w:cs="Arial"/>
                        <w:color w:val="FFFFFF" w:themeColor="background1"/>
                        <w:szCs w:val="18"/>
                      </w:rPr>
                      <w:t>2</w:t>
                    </w:r>
                    <w:r w:rsidRPr="00AF3549">
                      <w:rPr>
                        <w:rFonts w:cs="Arial"/>
                        <w:color w:val="FFFFFF" w:themeColor="background1"/>
                        <w:szCs w:val="18"/>
                      </w:rPr>
                      <w:br/>
                      <w:t>BB Seguridade Participações S.A.</w:t>
                    </w:r>
                  </w:p>
                  <w:p w14:paraId="0B9C70BF" w14:textId="77777777" w:rsidR="001A2EC3" w:rsidRPr="00AF3549" w:rsidRDefault="001A2EC3" w:rsidP="0017189F">
                    <w:pPr>
                      <w:jc w:val="right"/>
                    </w:pPr>
                  </w:p>
                </w:txbxContent>
              </v:textbox>
            </v:shape>
          </w:pict>
        </mc:Fallback>
      </mc:AlternateContent>
    </w:r>
    <w:r w:rsidRPr="00254D35">
      <w:rPr>
        <w:noProof/>
        <w:sz w:val="20"/>
        <w:szCs w:val="20"/>
        <w:lang w:eastAsia="pt-BR"/>
      </w:rPr>
      <mc:AlternateContent>
        <mc:Choice Requires="wps">
          <w:drawing>
            <wp:anchor distT="0" distB="0" distL="114300" distR="114300" simplePos="0" relativeHeight="251659264" behindDoc="0" locked="0" layoutInCell="1" allowOverlap="1" wp14:anchorId="325931FC" wp14:editId="22DF5688">
              <wp:simplePos x="0" y="0"/>
              <wp:positionH relativeFrom="page">
                <wp:posOffset>-1178011</wp:posOffset>
              </wp:positionH>
              <wp:positionV relativeFrom="paragraph">
                <wp:posOffset>-556861</wp:posOffset>
              </wp:positionV>
              <wp:extent cx="11887200" cy="527222"/>
              <wp:effectExtent l="0" t="0" r="0" b="6350"/>
              <wp:wrapNone/>
              <wp:docPr id="125" name="Retângulo 125"/>
              <wp:cNvGraphicFramePr/>
              <a:graphic xmlns:a="http://schemas.openxmlformats.org/drawingml/2006/main">
                <a:graphicData uri="http://schemas.microsoft.com/office/word/2010/wordprocessingShape">
                  <wps:wsp>
                    <wps:cNvSpPr/>
                    <wps:spPr>
                      <a:xfrm>
                        <a:off x="0" y="0"/>
                        <a:ext cx="11887200" cy="527222"/>
                      </a:xfrm>
                      <a:prstGeom prst="rect">
                        <a:avLst/>
                      </a:prstGeom>
                      <a:solidFill>
                        <a:srgbClr val="002D4B"/>
                      </a:solidFill>
                      <a:ln w="12700" cap="flat" cmpd="sng" algn="ctr">
                        <a:noFill/>
                        <a:prstDash val="solid"/>
                        <a:miter lim="800000"/>
                      </a:ln>
                      <a:effectLst/>
                    </wps:spPr>
                    <wps:txbx>
                      <w:txbxContent>
                        <w:p w14:paraId="0B9DF468" w14:textId="77777777" w:rsidR="001A2EC3" w:rsidRDefault="001A2EC3" w:rsidP="00187C45">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931FC" id="Retângulo 125" o:spid="_x0000_s1031" style="position:absolute;left:0;text-align:left;margin-left:-92.75pt;margin-top:-43.85pt;width:13in;height: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" fillcolor="#002d4b" stroked="f" strokeweight="1pt">
              <v:textbox>
                <w:txbxContent>
                  <w:p w14:paraId="0B9DF468" w14:textId="77777777" w:rsidR="001A2EC3" w:rsidRDefault="001A2EC3" w:rsidP="00187C45">
                    <w:pPr>
                      <w:ind w:left="708"/>
                      <w:jc w:val="right"/>
                    </w:pPr>
                  </w:p>
                </w:txbxContent>
              </v:textbox>
              <w10:wrap anchorx="page"/>
            </v:rect>
          </w:pict>
        </mc:Fallback>
      </mc:AlternateContent>
    </w:r>
    <w:r w:rsidRPr="005D303B">
      <w:rPr>
        <w:b/>
        <w:noProof/>
        <w:color w:val="1F4E79" w:themeColor="accent1" w:themeShade="80"/>
        <w:lang w:eastAsia="pt-BR"/>
      </w:rPr>
      <mc:AlternateContent>
        <mc:Choice Requires="wps">
          <w:drawing>
            <wp:anchor distT="0" distB="0" distL="114300" distR="114300" simplePos="0" relativeHeight="251660288" behindDoc="0" locked="0" layoutInCell="1" allowOverlap="1" wp14:anchorId="6D076BE8" wp14:editId="50C38E94">
              <wp:simplePos x="0" y="0"/>
              <wp:positionH relativeFrom="page">
                <wp:posOffset>-720969</wp:posOffset>
              </wp:positionH>
              <wp:positionV relativeFrom="paragraph">
                <wp:posOffset>-48651</wp:posOffset>
              </wp:positionV>
              <wp:extent cx="11406505" cy="45719"/>
              <wp:effectExtent l="0" t="0" r="4445" b="0"/>
              <wp:wrapNone/>
              <wp:docPr id="126" name="Retângulo 14"/>
              <wp:cNvGraphicFramePr/>
              <a:graphic xmlns:a="http://schemas.openxmlformats.org/drawingml/2006/main">
                <a:graphicData uri="http://schemas.microsoft.com/office/word/2010/wordprocessingShape">
                  <wps:wsp>
                    <wps:cNvSpPr/>
                    <wps:spPr>
                      <a:xfrm flipV="1">
                        <a:off x="0" y="0"/>
                        <a:ext cx="11406505" cy="45719"/>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08BA8288" id="Retângulo 14" o:spid="_x0000_s1026" style="position:absolute;margin-left:-56.75pt;margin-top:-3.85pt;width:898.15pt;height:3.6pt;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" fillcolor="#f9dd16" stroked="f" strokeweight="1pt">
              <w10:wrap anchorx="page"/>
            </v:rect>
          </w:pict>
        </mc:Fallback>
      </mc:AlternateContent>
    </w:r>
    <w:r>
      <w:rPr>
        <w:noProof/>
        <w:sz w:val="20"/>
        <w:szCs w:val="20"/>
        <w:lang w:eastAsia="pt-BR"/>
      </w:rPr>
      <w:drawing>
        <wp:anchor distT="0" distB="0" distL="114300" distR="114300" simplePos="0" relativeHeight="251661312" behindDoc="0" locked="0" layoutInCell="1" allowOverlap="1" wp14:anchorId="7941A1CC" wp14:editId="65E90DBC">
          <wp:simplePos x="0" y="0"/>
          <wp:positionH relativeFrom="margin">
            <wp:posOffset>-294957</wp:posOffset>
          </wp:positionH>
          <wp:positionV relativeFrom="page">
            <wp:posOffset>148590</wp:posOffset>
          </wp:positionV>
          <wp:extent cx="967740" cy="198755"/>
          <wp:effectExtent l="0" t="0" r="3810" b="0"/>
          <wp:wrapNone/>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0D8F" w14:textId="77777777" w:rsidR="00AF04B6" w:rsidRDefault="00AF04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865"/>
    <w:multiLevelType w:val="hybridMultilevel"/>
    <w:tmpl w:val="14E87410"/>
    <w:lvl w:ilvl="0" w:tplc="831E7E7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5B2B46"/>
    <w:multiLevelType w:val="hybridMultilevel"/>
    <w:tmpl w:val="B2DC3B58"/>
    <w:lvl w:ilvl="0" w:tplc="C0C490E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3" w15:restartNumberingAfterBreak="0">
    <w:nsid w:val="12D64052"/>
    <w:multiLevelType w:val="hybridMultilevel"/>
    <w:tmpl w:val="05AAC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3F0AD2"/>
    <w:multiLevelType w:val="hybridMultilevel"/>
    <w:tmpl w:val="965A923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105CB6"/>
    <w:multiLevelType w:val="hybridMultilevel"/>
    <w:tmpl w:val="F47AA954"/>
    <w:lvl w:ilvl="0" w:tplc="0409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547C66"/>
    <w:multiLevelType w:val="hybridMultilevel"/>
    <w:tmpl w:val="21588690"/>
    <w:lvl w:ilvl="0" w:tplc="C5C8317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16253E01"/>
    <w:multiLevelType w:val="hybridMultilevel"/>
    <w:tmpl w:val="E6D88E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7F2FF9"/>
    <w:multiLevelType w:val="hybridMultilevel"/>
    <w:tmpl w:val="62A00296"/>
    <w:lvl w:ilvl="0" w:tplc="F14445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43077"/>
    <w:multiLevelType w:val="hybridMultilevel"/>
    <w:tmpl w:val="4016115E"/>
    <w:lvl w:ilvl="0" w:tplc="D5FE1552">
      <w:start w:val="1"/>
      <w:numFmt w:val="decimal"/>
      <w:lvlText w:val="(%1)"/>
      <w:lvlJc w:val="left"/>
      <w:pPr>
        <w:ind w:left="720" w:hanging="360"/>
      </w:pPr>
      <w:rPr>
        <w:rFonts w:hint="default"/>
      </w:rPr>
    </w:lvl>
    <w:lvl w:ilvl="1" w:tplc="55365562">
      <w:start w:val="1"/>
      <w:numFmt w:val="lowerLetter"/>
      <w:lvlText w:val="%2."/>
      <w:lvlJc w:val="left"/>
      <w:pPr>
        <w:ind w:left="1440" w:hanging="360"/>
      </w:pPr>
    </w:lvl>
    <w:lvl w:ilvl="2" w:tplc="26C82CC2" w:tentative="1">
      <w:start w:val="1"/>
      <w:numFmt w:val="lowerRoman"/>
      <w:lvlText w:val="%3."/>
      <w:lvlJc w:val="right"/>
      <w:pPr>
        <w:ind w:left="2160" w:hanging="180"/>
      </w:pPr>
    </w:lvl>
    <w:lvl w:ilvl="3" w:tplc="6A5E245C" w:tentative="1">
      <w:start w:val="1"/>
      <w:numFmt w:val="decimal"/>
      <w:lvlText w:val="%4."/>
      <w:lvlJc w:val="left"/>
      <w:pPr>
        <w:ind w:left="2880" w:hanging="360"/>
      </w:pPr>
    </w:lvl>
    <w:lvl w:ilvl="4" w:tplc="63088894" w:tentative="1">
      <w:start w:val="1"/>
      <w:numFmt w:val="lowerLetter"/>
      <w:lvlText w:val="%5."/>
      <w:lvlJc w:val="left"/>
      <w:pPr>
        <w:ind w:left="3600" w:hanging="360"/>
      </w:pPr>
    </w:lvl>
    <w:lvl w:ilvl="5" w:tplc="18442C46" w:tentative="1">
      <w:start w:val="1"/>
      <w:numFmt w:val="lowerRoman"/>
      <w:lvlText w:val="%6."/>
      <w:lvlJc w:val="right"/>
      <w:pPr>
        <w:ind w:left="4320" w:hanging="180"/>
      </w:pPr>
    </w:lvl>
    <w:lvl w:ilvl="6" w:tplc="C6AA18B8" w:tentative="1">
      <w:start w:val="1"/>
      <w:numFmt w:val="decimal"/>
      <w:lvlText w:val="%7."/>
      <w:lvlJc w:val="left"/>
      <w:pPr>
        <w:ind w:left="5040" w:hanging="360"/>
      </w:pPr>
    </w:lvl>
    <w:lvl w:ilvl="7" w:tplc="A1B29934" w:tentative="1">
      <w:start w:val="1"/>
      <w:numFmt w:val="lowerLetter"/>
      <w:lvlText w:val="%8."/>
      <w:lvlJc w:val="left"/>
      <w:pPr>
        <w:ind w:left="5760" w:hanging="360"/>
      </w:pPr>
    </w:lvl>
    <w:lvl w:ilvl="8" w:tplc="DEBEA842" w:tentative="1">
      <w:start w:val="1"/>
      <w:numFmt w:val="lowerRoman"/>
      <w:lvlText w:val="%9."/>
      <w:lvlJc w:val="right"/>
      <w:pPr>
        <w:ind w:left="6480" w:hanging="180"/>
      </w:pPr>
    </w:lvl>
  </w:abstractNum>
  <w:abstractNum w:abstractNumId="11" w15:restartNumberingAfterBreak="0">
    <w:nsid w:val="1C18025C"/>
    <w:multiLevelType w:val="hybridMultilevel"/>
    <w:tmpl w:val="89D8A204"/>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DF7D4D"/>
    <w:multiLevelType w:val="hybridMultilevel"/>
    <w:tmpl w:val="B22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0C2AC7"/>
    <w:multiLevelType w:val="hybridMultilevel"/>
    <w:tmpl w:val="B0E6DF00"/>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0B02F61"/>
    <w:multiLevelType w:val="hybridMultilevel"/>
    <w:tmpl w:val="344A7BD6"/>
    <w:lvl w:ilvl="0" w:tplc="9042A2CE">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22875F27"/>
    <w:multiLevelType w:val="hybridMultilevel"/>
    <w:tmpl w:val="C950A8D4"/>
    <w:lvl w:ilvl="0" w:tplc="968CEB3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39F4EAD"/>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4603688"/>
    <w:multiLevelType w:val="hybridMultilevel"/>
    <w:tmpl w:val="C4F20B4A"/>
    <w:lvl w:ilvl="0" w:tplc="E8FCC6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804CCC"/>
    <w:multiLevelType w:val="hybridMultilevel"/>
    <w:tmpl w:val="4148CE02"/>
    <w:lvl w:ilvl="0" w:tplc="E0DABB02">
      <w:start w:val="1"/>
      <w:numFmt w:val="lowerLetter"/>
      <w:lvlText w:val="%1)"/>
      <w:lvlJc w:val="left"/>
      <w:pPr>
        <w:ind w:left="1901" w:hanging="1050"/>
      </w:pPr>
      <w:rPr>
        <w:rFonts w:ascii="Arial" w:eastAsia="Times New Roman" w:hAnsi="Arial" w:cs="Arial"/>
      </w:rPr>
    </w:lvl>
    <w:lvl w:ilvl="1" w:tplc="D256BC6A">
      <w:start w:val="1"/>
      <w:numFmt w:val="lowerLetter"/>
      <w:lvlText w:val="%2."/>
      <w:lvlJc w:val="left"/>
      <w:pPr>
        <w:ind w:left="1931" w:hanging="360"/>
      </w:pPr>
    </w:lvl>
    <w:lvl w:ilvl="2" w:tplc="A8CE73B6">
      <w:start w:val="1"/>
      <w:numFmt w:val="lowerRoman"/>
      <w:lvlText w:val="%3."/>
      <w:lvlJc w:val="right"/>
      <w:pPr>
        <w:ind w:left="2651" w:hanging="180"/>
      </w:pPr>
    </w:lvl>
    <w:lvl w:ilvl="3" w:tplc="78BE7948">
      <w:start w:val="1"/>
      <w:numFmt w:val="decimal"/>
      <w:lvlText w:val="%4."/>
      <w:lvlJc w:val="left"/>
      <w:pPr>
        <w:ind w:left="3371" w:hanging="360"/>
      </w:pPr>
    </w:lvl>
    <w:lvl w:ilvl="4" w:tplc="2A3CCE96">
      <w:start w:val="1"/>
      <w:numFmt w:val="lowerLetter"/>
      <w:lvlText w:val="%5."/>
      <w:lvlJc w:val="left"/>
      <w:pPr>
        <w:ind w:left="4091" w:hanging="360"/>
      </w:pPr>
    </w:lvl>
    <w:lvl w:ilvl="5" w:tplc="F17EF80C">
      <w:start w:val="1"/>
      <w:numFmt w:val="lowerRoman"/>
      <w:lvlText w:val="%6."/>
      <w:lvlJc w:val="right"/>
      <w:pPr>
        <w:ind w:left="4811" w:hanging="180"/>
      </w:pPr>
    </w:lvl>
    <w:lvl w:ilvl="6" w:tplc="8988BFC0">
      <w:start w:val="1"/>
      <w:numFmt w:val="decimal"/>
      <w:lvlText w:val="%7."/>
      <w:lvlJc w:val="left"/>
      <w:pPr>
        <w:ind w:left="5531" w:hanging="360"/>
      </w:pPr>
    </w:lvl>
    <w:lvl w:ilvl="7" w:tplc="A44A3F84">
      <w:start w:val="1"/>
      <w:numFmt w:val="lowerLetter"/>
      <w:lvlText w:val="%8."/>
      <w:lvlJc w:val="left"/>
      <w:pPr>
        <w:ind w:left="6251" w:hanging="360"/>
      </w:pPr>
    </w:lvl>
    <w:lvl w:ilvl="8" w:tplc="2B140690">
      <w:start w:val="1"/>
      <w:numFmt w:val="lowerRoman"/>
      <w:lvlText w:val="%9."/>
      <w:lvlJc w:val="right"/>
      <w:pPr>
        <w:ind w:left="6971" w:hanging="180"/>
      </w:pPr>
    </w:lvl>
  </w:abstractNum>
  <w:abstractNum w:abstractNumId="19" w15:restartNumberingAfterBreak="0">
    <w:nsid w:val="26AC57E4"/>
    <w:multiLevelType w:val="hybridMultilevel"/>
    <w:tmpl w:val="8904004E"/>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284F18E1"/>
    <w:multiLevelType w:val="hybridMultilevel"/>
    <w:tmpl w:val="29AE473E"/>
    <w:lvl w:ilvl="0" w:tplc="866C6EAE">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9AE3054"/>
    <w:multiLevelType w:val="hybridMultilevel"/>
    <w:tmpl w:val="8F10DD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C7712C4"/>
    <w:multiLevelType w:val="hybridMultilevel"/>
    <w:tmpl w:val="F5E4B12E"/>
    <w:lvl w:ilvl="0" w:tplc="2E920D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CEE5FC0"/>
    <w:multiLevelType w:val="hybridMultilevel"/>
    <w:tmpl w:val="24D8F240"/>
    <w:lvl w:ilvl="0" w:tplc="E5E05166">
      <w:start w:val="1"/>
      <w:numFmt w:val="bullet"/>
      <w:lvlText w:val=""/>
      <w:lvlJc w:val="left"/>
      <w:pPr>
        <w:ind w:left="720" w:hanging="360"/>
      </w:pPr>
      <w:rPr>
        <w:rFonts w:ascii="Symbol" w:hAnsi="Symbol" w:hint="default"/>
      </w:rPr>
    </w:lvl>
    <w:lvl w:ilvl="1" w:tplc="4CC0CA98" w:tentative="1">
      <w:start w:val="1"/>
      <w:numFmt w:val="bullet"/>
      <w:lvlText w:val="o"/>
      <w:lvlJc w:val="left"/>
      <w:pPr>
        <w:ind w:left="1440" w:hanging="360"/>
      </w:pPr>
      <w:rPr>
        <w:rFonts w:ascii="Courier New" w:hAnsi="Courier New" w:cs="Courier New" w:hint="default"/>
      </w:rPr>
    </w:lvl>
    <w:lvl w:ilvl="2" w:tplc="C060DC88" w:tentative="1">
      <w:start w:val="1"/>
      <w:numFmt w:val="bullet"/>
      <w:lvlText w:val=""/>
      <w:lvlJc w:val="left"/>
      <w:pPr>
        <w:ind w:left="2160" w:hanging="360"/>
      </w:pPr>
      <w:rPr>
        <w:rFonts w:ascii="Wingdings" w:hAnsi="Wingdings" w:hint="default"/>
      </w:rPr>
    </w:lvl>
    <w:lvl w:ilvl="3" w:tplc="EC1C9EFC" w:tentative="1">
      <w:start w:val="1"/>
      <w:numFmt w:val="bullet"/>
      <w:lvlText w:val=""/>
      <w:lvlJc w:val="left"/>
      <w:pPr>
        <w:ind w:left="2880" w:hanging="360"/>
      </w:pPr>
      <w:rPr>
        <w:rFonts w:ascii="Symbol" w:hAnsi="Symbol" w:hint="default"/>
      </w:rPr>
    </w:lvl>
    <w:lvl w:ilvl="4" w:tplc="AC78E198" w:tentative="1">
      <w:start w:val="1"/>
      <w:numFmt w:val="bullet"/>
      <w:lvlText w:val="o"/>
      <w:lvlJc w:val="left"/>
      <w:pPr>
        <w:ind w:left="3600" w:hanging="360"/>
      </w:pPr>
      <w:rPr>
        <w:rFonts w:ascii="Courier New" w:hAnsi="Courier New" w:cs="Courier New" w:hint="default"/>
      </w:rPr>
    </w:lvl>
    <w:lvl w:ilvl="5" w:tplc="18F02462" w:tentative="1">
      <w:start w:val="1"/>
      <w:numFmt w:val="bullet"/>
      <w:lvlText w:val=""/>
      <w:lvlJc w:val="left"/>
      <w:pPr>
        <w:ind w:left="4320" w:hanging="360"/>
      </w:pPr>
      <w:rPr>
        <w:rFonts w:ascii="Wingdings" w:hAnsi="Wingdings" w:hint="default"/>
      </w:rPr>
    </w:lvl>
    <w:lvl w:ilvl="6" w:tplc="3FDC429E" w:tentative="1">
      <w:start w:val="1"/>
      <w:numFmt w:val="bullet"/>
      <w:lvlText w:val=""/>
      <w:lvlJc w:val="left"/>
      <w:pPr>
        <w:ind w:left="5040" w:hanging="360"/>
      </w:pPr>
      <w:rPr>
        <w:rFonts w:ascii="Symbol" w:hAnsi="Symbol" w:hint="default"/>
      </w:rPr>
    </w:lvl>
    <w:lvl w:ilvl="7" w:tplc="FECEE0D2" w:tentative="1">
      <w:start w:val="1"/>
      <w:numFmt w:val="bullet"/>
      <w:lvlText w:val="o"/>
      <w:lvlJc w:val="left"/>
      <w:pPr>
        <w:ind w:left="5760" w:hanging="360"/>
      </w:pPr>
      <w:rPr>
        <w:rFonts w:ascii="Courier New" w:hAnsi="Courier New" w:cs="Courier New" w:hint="default"/>
      </w:rPr>
    </w:lvl>
    <w:lvl w:ilvl="8" w:tplc="99167F86" w:tentative="1">
      <w:start w:val="1"/>
      <w:numFmt w:val="bullet"/>
      <w:lvlText w:val=""/>
      <w:lvlJc w:val="left"/>
      <w:pPr>
        <w:ind w:left="6480" w:hanging="360"/>
      </w:pPr>
      <w:rPr>
        <w:rFonts w:ascii="Wingdings" w:hAnsi="Wingdings" w:hint="default"/>
      </w:rPr>
    </w:lvl>
  </w:abstractNum>
  <w:abstractNum w:abstractNumId="24" w15:restartNumberingAfterBreak="0">
    <w:nsid w:val="2FFC0DBB"/>
    <w:multiLevelType w:val="hybridMultilevel"/>
    <w:tmpl w:val="2AD0D50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330635A7"/>
    <w:multiLevelType w:val="hybridMultilevel"/>
    <w:tmpl w:val="239CA3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30D2E51"/>
    <w:multiLevelType w:val="hybridMultilevel"/>
    <w:tmpl w:val="C9FC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B7D6276"/>
    <w:multiLevelType w:val="hybridMultilevel"/>
    <w:tmpl w:val="992E1042"/>
    <w:lvl w:ilvl="0" w:tplc="1ED2A0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1C69E8"/>
    <w:multiLevelType w:val="hybridMultilevel"/>
    <w:tmpl w:val="A63A736A"/>
    <w:lvl w:ilvl="0" w:tplc="102CCF3C">
      <w:start w:val="1"/>
      <w:numFmt w:val="bullet"/>
      <w:pStyle w:val="ListaRecuadotabela"/>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3ED0042C"/>
    <w:multiLevelType w:val="hybridMultilevel"/>
    <w:tmpl w:val="B220138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5E770B6"/>
    <w:multiLevelType w:val="hybridMultilevel"/>
    <w:tmpl w:val="B220138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E513421"/>
    <w:multiLevelType w:val="hybridMultilevel"/>
    <w:tmpl w:val="DCCAEAAA"/>
    <w:lvl w:ilvl="0" w:tplc="46B4F960">
      <w:start w:val="1"/>
      <w:numFmt w:val="bullet"/>
      <w:lvlText w:val=""/>
      <w:lvlJc w:val="left"/>
      <w:pPr>
        <w:ind w:left="766" w:hanging="360"/>
      </w:pPr>
      <w:rPr>
        <w:rFonts w:ascii="Symbol" w:hAnsi="Symbol" w:hint="default"/>
      </w:rPr>
    </w:lvl>
    <w:lvl w:ilvl="1" w:tplc="8062D77C">
      <w:numFmt w:val="bullet"/>
      <w:lvlText w:val="•"/>
      <w:lvlJc w:val="left"/>
      <w:pPr>
        <w:ind w:left="1486" w:hanging="360"/>
      </w:pPr>
      <w:rPr>
        <w:rFonts w:ascii="Arial" w:eastAsia="Times New Roman" w:hAnsi="Arial" w:cs="Arial" w:hint="default"/>
      </w:rPr>
    </w:lvl>
    <w:lvl w:ilvl="2" w:tplc="5F361CF2" w:tentative="1">
      <w:start w:val="1"/>
      <w:numFmt w:val="bullet"/>
      <w:lvlText w:val=""/>
      <w:lvlJc w:val="left"/>
      <w:pPr>
        <w:ind w:left="2206" w:hanging="360"/>
      </w:pPr>
      <w:rPr>
        <w:rFonts w:ascii="Wingdings" w:hAnsi="Wingdings" w:hint="default"/>
      </w:rPr>
    </w:lvl>
    <w:lvl w:ilvl="3" w:tplc="F2BE00BA" w:tentative="1">
      <w:start w:val="1"/>
      <w:numFmt w:val="bullet"/>
      <w:lvlText w:val=""/>
      <w:lvlJc w:val="left"/>
      <w:pPr>
        <w:ind w:left="2926" w:hanging="360"/>
      </w:pPr>
      <w:rPr>
        <w:rFonts w:ascii="Symbol" w:hAnsi="Symbol" w:hint="default"/>
      </w:rPr>
    </w:lvl>
    <w:lvl w:ilvl="4" w:tplc="5B46DF2E" w:tentative="1">
      <w:start w:val="1"/>
      <w:numFmt w:val="bullet"/>
      <w:lvlText w:val="o"/>
      <w:lvlJc w:val="left"/>
      <w:pPr>
        <w:ind w:left="3646" w:hanging="360"/>
      </w:pPr>
      <w:rPr>
        <w:rFonts w:ascii="Courier New" w:hAnsi="Courier New" w:cs="Courier New" w:hint="default"/>
      </w:rPr>
    </w:lvl>
    <w:lvl w:ilvl="5" w:tplc="838ACA4E" w:tentative="1">
      <w:start w:val="1"/>
      <w:numFmt w:val="bullet"/>
      <w:lvlText w:val=""/>
      <w:lvlJc w:val="left"/>
      <w:pPr>
        <w:ind w:left="4366" w:hanging="360"/>
      </w:pPr>
      <w:rPr>
        <w:rFonts w:ascii="Wingdings" w:hAnsi="Wingdings" w:hint="default"/>
      </w:rPr>
    </w:lvl>
    <w:lvl w:ilvl="6" w:tplc="C6F67216" w:tentative="1">
      <w:start w:val="1"/>
      <w:numFmt w:val="bullet"/>
      <w:lvlText w:val=""/>
      <w:lvlJc w:val="left"/>
      <w:pPr>
        <w:ind w:left="5086" w:hanging="360"/>
      </w:pPr>
      <w:rPr>
        <w:rFonts w:ascii="Symbol" w:hAnsi="Symbol" w:hint="default"/>
      </w:rPr>
    </w:lvl>
    <w:lvl w:ilvl="7" w:tplc="22962A64" w:tentative="1">
      <w:start w:val="1"/>
      <w:numFmt w:val="bullet"/>
      <w:lvlText w:val="o"/>
      <w:lvlJc w:val="left"/>
      <w:pPr>
        <w:ind w:left="5806" w:hanging="360"/>
      </w:pPr>
      <w:rPr>
        <w:rFonts w:ascii="Courier New" w:hAnsi="Courier New" w:cs="Courier New" w:hint="default"/>
      </w:rPr>
    </w:lvl>
    <w:lvl w:ilvl="8" w:tplc="BDB431C0" w:tentative="1">
      <w:start w:val="1"/>
      <w:numFmt w:val="bullet"/>
      <w:lvlText w:val=""/>
      <w:lvlJc w:val="left"/>
      <w:pPr>
        <w:ind w:left="6526" w:hanging="360"/>
      </w:pPr>
      <w:rPr>
        <w:rFonts w:ascii="Wingdings" w:hAnsi="Wingdings" w:hint="default"/>
      </w:rPr>
    </w:lvl>
  </w:abstractNum>
  <w:abstractNum w:abstractNumId="33" w15:restartNumberingAfterBreak="0">
    <w:nsid w:val="50395186"/>
    <w:multiLevelType w:val="hybridMultilevel"/>
    <w:tmpl w:val="460EF6C0"/>
    <w:lvl w:ilvl="0" w:tplc="9258AE3C">
      <w:start w:val="1"/>
      <w:numFmt w:val="bullet"/>
      <w:lvlText w:val=""/>
      <w:lvlJc w:val="left"/>
      <w:pPr>
        <w:ind w:left="1440" w:hanging="360"/>
      </w:pPr>
      <w:rPr>
        <w:rFonts w:ascii="Symbol" w:hAnsi="Symbol" w:hint="default"/>
      </w:rPr>
    </w:lvl>
    <w:lvl w:ilvl="1" w:tplc="E418F8AE" w:tentative="1">
      <w:start w:val="1"/>
      <w:numFmt w:val="bullet"/>
      <w:lvlText w:val="o"/>
      <w:lvlJc w:val="left"/>
      <w:pPr>
        <w:ind w:left="2160" w:hanging="360"/>
      </w:pPr>
      <w:rPr>
        <w:rFonts w:ascii="Courier New" w:hAnsi="Courier New" w:cs="Courier New" w:hint="default"/>
      </w:rPr>
    </w:lvl>
    <w:lvl w:ilvl="2" w:tplc="AF12C2A0" w:tentative="1">
      <w:start w:val="1"/>
      <w:numFmt w:val="bullet"/>
      <w:lvlText w:val=""/>
      <w:lvlJc w:val="left"/>
      <w:pPr>
        <w:ind w:left="2880" w:hanging="360"/>
      </w:pPr>
      <w:rPr>
        <w:rFonts w:ascii="Wingdings" w:hAnsi="Wingdings" w:hint="default"/>
      </w:rPr>
    </w:lvl>
    <w:lvl w:ilvl="3" w:tplc="184EC444" w:tentative="1">
      <w:start w:val="1"/>
      <w:numFmt w:val="bullet"/>
      <w:lvlText w:val=""/>
      <w:lvlJc w:val="left"/>
      <w:pPr>
        <w:ind w:left="3600" w:hanging="360"/>
      </w:pPr>
      <w:rPr>
        <w:rFonts w:ascii="Symbol" w:hAnsi="Symbol" w:hint="default"/>
      </w:rPr>
    </w:lvl>
    <w:lvl w:ilvl="4" w:tplc="DCFE9A4A" w:tentative="1">
      <w:start w:val="1"/>
      <w:numFmt w:val="bullet"/>
      <w:lvlText w:val="o"/>
      <w:lvlJc w:val="left"/>
      <w:pPr>
        <w:ind w:left="4320" w:hanging="360"/>
      </w:pPr>
      <w:rPr>
        <w:rFonts w:ascii="Courier New" w:hAnsi="Courier New" w:cs="Courier New" w:hint="default"/>
      </w:rPr>
    </w:lvl>
    <w:lvl w:ilvl="5" w:tplc="79E4A856" w:tentative="1">
      <w:start w:val="1"/>
      <w:numFmt w:val="bullet"/>
      <w:lvlText w:val=""/>
      <w:lvlJc w:val="left"/>
      <w:pPr>
        <w:ind w:left="5040" w:hanging="360"/>
      </w:pPr>
      <w:rPr>
        <w:rFonts w:ascii="Wingdings" w:hAnsi="Wingdings" w:hint="default"/>
      </w:rPr>
    </w:lvl>
    <w:lvl w:ilvl="6" w:tplc="94C0ED58" w:tentative="1">
      <w:start w:val="1"/>
      <w:numFmt w:val="bullet"/>
      <w:lvlText w:val=""/>
      <w:lvlJc w:val="left"/>
      <w:pPr>
        <w:ind w:left="5760" w:hanging="360"/>
      </w:pPr>
      <w:rPr>
        <w:rFonts w:ascii="Symbol" w:hAnsi="Symbol" w:hint="default"/>
      </w:rPr>
    </w:lvl>
    <w:lvl w:ilvl="7" w:tplc="00760050" w:tentative="1">
      <w:start w:val="1"/>
      <w:numFmt w:val="bullet"/>
      <w:lvlText w:val="o"/>
      <w:lvlJc w:val="left"/>
      <w:pPr>
        <w:ind w:left="6480" w:hanging="360"/>
      </w:pPr>
      <w:rPr>
        <w:rFonts w:ascii="Courier New" w:hAnsi="Courier New" w:cs="Courier New" w:hint="default"/>
      </w:rPr>
    </w:lvl>
    <w:lvl w:ilvl="8" w:tplc="4B3819BE" w:tentative="1">
      <w:start w:val="1"/>
      <w:numFmt w:val="bullet"/>
      <w:lvlText w:val=""/>
      <w:lvlJc w:val="left"/>
      <w:pPr>
        <w:ind w:left="7200" w:hanging="360"/>
      </w:pPr>
      <w:rPr>
        <w:rFonts w:ascii="Wingdings" w:hAnsi="Wingdings" w:hint="default"/>
      </w:rPr>
    </w:lvl>
  </w:abstractNum>
  <w:abstractNum w:abstractNumId="34" w15:restartNumberingAfterBreak="0">
    <w:nsid w:val="56FC4CBD"/>
    <w:multiLevelType w:val="hybridMultilevel"/>
    <w:tmpl w:val="63924756"/>
    <w:lvl w:ilvl="0" w:tplc="243A4EF0">
      <w:start w:val="1"/>
      <w:numFmt w:val="bullet"/>
      <w:pStyle w:val="10-Lista2"/>
      <w:lvlText w:val=""/>
      <w:lvlJc w:val="left"/>
      <w:pPr>
        <w:ind w:left="1004" w:hanging="360"/>
      </w:pPr>
      <w:rPr>
        <w:rFonts w:ascii="Wingdings" w:hAnsi="Wingdings" w:hint="default"/>
      </w:rPr>
    </w:lvl>
    <w:lvl w:ilvl="1" w:tplc="A06CEBCC" w:tentative="1">
      <w:start w:val="1"/>
      <w:numFmt w:val="bullet"/>
      <w:lvlText w:val="o"/>
      <w:lvlJc w:val="left"/>
      <w:pPr>
        <w:ind w:left="1724" w:hanging="360"/>
      </w:pPr>
      <w:rPr>
        <w:rFonts w:ascii="Courier New" w:hAnsi="Courier New" w:cs="Courier New" w:hint="default"/>
      </w:rPr>
    </w:lvl>
    <w:lvl w:ilvl="2" w:tplc="82FC9CBA" w:tentative="1">
      <w:start w:val="1"/>
      <w:numFmt w:val="bullet"/>
      <w:lvlText w:val=""/>
      <w:lvlJc w:val="left"/>
      <w:pPr>
        <w:ind w:left="2444" w:hanging="360"/>
      </w:pPr>
      <w:rPr>
        <w:rFonts w:ascii="Wingdings" w:hAnsi="Wingdings" w:hint="default"/>
      </w:rPr>
    </w:lvl>
    <w:lvl w:ilvl="3" w:tplc="036CA270" w:tentative="1">
      <w:start w:val="1"/>
      <w:numFmt w:val="bullet"/>
      <w:lvlText w:val=""/>
      <w:lvlJc w:val="left"/>
      <w:pPr>
        <w:ind w:left="3164" w:hanging="360"/>
      </w:pPr>
      <w:rPr>
        <w:rFonts w:ascii="Symbol" w:hAnsi="Symbol" w:hint="default"/>
      </w:rPr>
    </w:lvl>
    <w:lvl w:ilvl="4" w:tplc="44807950" w:tentative="1">
      <w:start w:val="1"/>
      <w:numFmt w:val="bullet"/>
      <w:lvlText w:val="o"/>
      <w:lvlJc w:val="left"/>
      <w:pPr>
        <w:ind w:left="3884" w:hanging="360"/>
      </w:pPr>
      <w:rPr>
        <w:rFonts w:ascii="Courier New" w:hAnsi="Courier New" w:cs="Courier New" w:hint="default"/>
      </w:rPr>
    </w:lvl>
    <w:lvl w:ilvl="5" w:tplc="568EE992" w:tentative="1">
      <w:start w:val="1"/>
      <w:numFmt w:val="bullet"/>
      <w:lvlText w:val=""/>
      <w:lvlJc w:val="left"/>
      <w:pPr>
        <w:ind w:left="4604" w:hanging="360"/>
      </w:pPr>
      <w:rPr>
        <w:rFonts w:ascii="Wingdings" w:hAnsi="Wingdings" w:hint="default"/>
      </w:rPr>
    </w:lvl>
    <w:lvl w:ilvl="6" w:tplc="4BA2E17E" w:tentative="1">
      <w:start w:val="1"/>
      <w:numFmt w:val="bullet"/>
      <w:lvlText w:val=""/>
      <w:lvlJc w:val="left"/>
      <w:pPr>
        <w:ind w:left="5324" w:hanging="360"/>
      </w:pPr>
      <w:rPr>
        <w:rFonts w:ascii="Symbol" w:hAnsi="Symbol" w:hint="default"/>
      </w:rPr>
    </w:lvl>
    <w:lvl w:ilvl="7" w:tplc="41407EDC" w:tentative="1">
      <w:start w:val="1"/>
      <w:numFmt w:val="bullet"/>
      <w:lvlText w:val="o"/>
      <w:lvlJc w:val="left"/>
      <w:pPr>
        <w:ind w:left="6044" w:hanging="360"/>
      </w:pPr>
      <w:rPr>
        <w:rFonts w:ascii="Courier New" w:hAnsi="Courier New" w:cs="Courier New" w:hint="default"/>
      </w:rPr>
    </w:lvl>
    <w:lvl w:ilvl="8" w:tplc="5574ADAA" w:tentative="1">
      <w:start w:val="1"/>
      <w:numFmt w:val="bullet"/>
      <w:lvlText w:val=""/>
      <w:lvlJc w:val="left"/>
      <w:pPr>
        <w:ind w:left="6764" w:hanging="360"/>
      </w:pPr>
      <w:rPr>
        <w:rFonts w:ascii="Wingdings" w:hAnsi="Wingdings" w:hint="default"/>
      </w:rPr>
    </w:lvl>
  </w:abstractNum>
  <w:abstractNum w:abstractNumId="35" w15:restartNumberingAfterBreak="0">
    <w:nsid w:val="60D8161B"/>
    <w:multiLevelType w:val="hybridMultilevel"/>
    <w:tmpl w:val="C30047CE"/>
    <w:lvl w:ilvl="0" w:tplc="7CDA1F5C">
      <w:start w:val="1"/>
      <w:numFmt w:val="decimal"/>
      <w:lvlText w:val="(%1)"/>
      <w:lvlJc w:val="left"/>
      <w:pPr>
        <w:ind w:left="720" w:hanging="360"/>
      </w:pPr>
      <w:rPr>
        <w:rFonts w:hint="default"/>
      </w:rPr>
    </w:lvl>
    <w:lvl w:ilvl="1" w:tplc="66AA00BE" w:tentative="1">
      <w:start w:val="1"/>
      <w:numFmt w:val="lowerLetter"/>
      <w:lvlText w:val="%2."/>
      <w:lvlJc w:val="left"/>
      <w:pPr>
        <w:ind w:left="1440" w:hanging="360"/>
      </w:pPr>
    </w:lvl>
    <w:lvl w:ilvl="2" w:tplc="D7B26D54" w:tentative="1">
      <w:start w:val="1"/>
      <w:numFmt w:val="lowerRoman"/>
      <w:lvlText w:val="%3."/>
      <w:lvlJc w:val="right"/>
      <w:pPr>
        <w:ind w:left="2160" w:hanging="180"/>
      </w:pPr>
    </w:lvl>
    <w:lvl w:ilvl="3" w:tplc="964A203C" w:tentative="1">
      <w:start w:val="1"/>
      <w:numFmt w:val="decimal"/>
      <w:lvlText w:val="%4."/>
      <w:lvlJc w:val="left"/>
      <w:pPr>
        <w:ind w:left="2880" w:hanging="360"/>
      </w:pPr>
    </w:lvl>
    <w:lvl w:ilvl="4" w:tplc="202CA4A2" w:tentative="1">
      <w:start w:val="1"/>
      <w:numFmt w:val="lowerLetter"/>
      <w:lvlText w:val="%5."/>
      <w:lvlJc w:val="left"/>
      <w:pPr>
        <w:ind w:left="3600" w:hanging="360"/>
      </w:pPr>
    </w:lvl>
    <w:lvl w:ilvl="5" w:tplc="83861C2E" w:tentative="1">
      <w:start w:val="1"/>
      <w:numFmt w:val="lowerRoman"/>
      <w:lvlText w:val="%6."/>
      <w:lvlJc w:val="right"/>
      <w:pPr>
        <w:ind w:left="4320" w:hanging="180"/>
      </w:pPr>
    </w:lvl>
    <w:lvl w:ilvl="6" w:tplc="5FF6C50A" w:tentative="1">
      <w:start w:val="1"/>
      <w:numFmt w:val="decimal"/>
      <w:lvlText w:val="%7."/>
      <w:lvlJc w:val="left"/>
      <w:pPr>
        <w:ind w:left="5040" w:hanging="360"/>
      </w:pPr>
    </w:lvl>
    <w:lvl w:ilvl="7" w:tplc="9A10EA5E" w:tentative="1">
      <w:start w:val="1"/>
      <w:numFmt w:val="lowerLetter"/>
      <w:lvlText w:val="%8."/>
      <w:lvlJc w:val="left"/>
      <w:pPr>
        <w:ind w:left="5760" w:hanging="360"/>
      </w:pPr>
    </w:lvl>
    <w:lvl w:ilvl="8" w:tplc="B3484398" w:tentative="1">
      <w:start w:val="1"/>
      <w:numFmt w:val="lowerRoman"/>
      <w:lvlText w:val="%9."/>
      <w:lvlJc w:val="right"/>
      <w:pPr>
        <w:ind w:left="6480" w:hanging="180"/>
      </w:pPr>
    </w:lvl>
  </w:abstractNum>
  <w:abstractNum w:abstractNumId="36"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7" w15:restartNumberingAfterBreak="0">
    <w:nsid w:val="63836F3B"/>
    <w:multiLevelType w:val="hybridMultilevel"/>
    <w:tmpl w:val="6FFC8048"/>
    <w:lvl w:ilvl="0" w:tplc="2EC23CF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641A1605"/>
    <w:multiLevelType w:val="hybridMultilevel"/>
    <w:tmpl w:val="B4243ADA"/>
    <w:lvl w:ilvl="0" w:tplc="FFFFFFFF">
      <w:start w:val="1"/>
      <w:numFmt w:val="decimal"/>
      <w:lvlText w:val="(%1)"/>
      <w:lvlJc w:val="left"/>
      <w:pPr>
        <w:ind w:left="284" w:hanging="284"/>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4AA13A3"/>
    <w:multiLevelType w:val="hybridMultilevel"/>
    <w:tmpl w:val="F9EEB060"/>
    <w:lvl w:ilvl="0" w:tplc="94029C1A">
      <w:start w:val="2"/>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2635CC"/>
    <w:multiLevelType w:val="hybridMultilevel"/>
    <w:tmpl w:val="470875DC"/>
    <w:lvl w:ilvl="0" w:tplc="16AC4DB4">
      <w:start w:val="1"/>
      <w:numFmt w:val="decimal"/>
      <w:lvlText w:val="%1 -"/>
      <w:lvlJc w:val="left"/>
      <w:pPr>
        <w:ind w:left="720" w:hanging="360"/>
      </w:pPr>
      <w:rPr>
        <w:rFonts w:hint="default"/>
      </w:rPr>
    </w:lvl>
    <w:lvl w:ilvl="1" w:tplc="4EEC2DAA" w:tentative="1">
      <w:start w:val="1"/>
      <w:numFmt w:val="lowerLetter"/>
      <w:lvlText w:val="%2."/>
      <w:lvlJc w:val="left"/>
      <w:pPr>
        <w:ind w:left="1440" w:hanging="360"/>
      </w:pPr>
    </w:lvl>
    <w:lvl w:ilvl="2" w:tplc="325E9028" w:tentative="1">
      <w:start w:val="1"/>
      <w:numFmt w:val="lowerRoman"/>
      <w:lvlText w:val="%3."/>
      <w:lvlJc w:val="right"/>
      <w:pPr>
        <w:ind w:left="2160" w:hanging="180"/>
      </w:pPr>
    </w:lvl>
    <w:lvl w:ilvl="3" w:tplc="E0107AEC" w:tentative="1">
      <w:start w:val="1"/>
      <w:numFmt w:val="decimal"/>
      <w:lvlText w:val="%4."/>
      <w:lvlJc w:val="left"/>
      <w:pPr>
        <w:ind w:left="2880" w:hanging="360"/>
      </w:pPr>
    </w:lvl>
    <w:lvl w:ilvl="4" w:tplc="109C8514" w:tentative="1">
      <w:start w:val="1"/>
      <w:numFmt w:val="lowerLetter"/>
      <w:lvlText w:val="%5."/>
      <w:lvlJc w:val="left"/>
      <w:pPr>
        <w:ind w:left="3600" w:hanging="360"/>
      </w:pPr>
    </w:lvl>
    <w:lvl w:ilvl="5" w:tplc="C8169378" w:tentative="1">
      <w:start w:val="1"/>
      <w:numFmt w:val="lowerRoman"/>
      <w:lvlText w:val="%6."/>
      <w:lvlJc w:val="right"/>
      <w:pPr>
        <w:ind w:left="4320" w:hanging="180"/>
      </w:pPr>
    </w:lvl>
    <w:lvl w:ilvl="6" w:tplc="CC126CC2" w:tentative="1">
      <w:start w:val="1"/>
      <w:numFmt w:val="decimal"/>
      <w:lvlText w:val="%7."/>
      <w:lvlJc w:val="left"/>
      <w:pPr>
        <w:ind w:left="5040" w:hanging="360"/>
      </w:pPr>
    </w:lvl>
    <w:lvl w:ilvl="7" w:tplc="EE16803E" w:tentative="1">
      <w:start w:val="1"/>
      <w:numFmt w:val="lowerLetter"/>
      <w:lvlText w:val="%8."/>
      <w:lvlJc w:val="left"/>
      <w:pPr>
        <w:ind w:left="5760" w:hanging="360"/>
      </w:pPr>
    </w:lvl>
    <w:lvl w:ilvl="8" w:tplc="4C10678E" w:tentative="1">
      <w:start w:val="1"/>
      <w:numFmt w:val="lowerRoman"/>
      <w:lvlText w:val="%9."/>
      <w:lvlJc w:val="right"/>
      <w:pPr>
        <w:ind w:left="6480" w:hanging="180"/>
      </w:pPr>
    </w:lvl>
  </w:abstractNum>
  <w:abstractNum w:abstractNumId="41" w15:restartNumberingAfterBreak="0">
    <w:nsid w:val="653E3D3D"/>
    <w:multiLevelType w:val="hybridMultilevel"/>
    <w:tmpl w:val="39F49F32"/>
    <w:lvl w:ilvl="0" w:tplc="CE6CA88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F39303A"/>
    <w:multiLevelType w:val="hybridMultilevel"/>
    <w:tmpl w:val="B27AA880"/>
    <w:lvl w:ilvl="0" w:tplc="A9A81746">
      <w:start w:val="1"/>
      <w:numFmt w:val="bullet"/>
      <w:lvlText w:val=""/>
      <w:lvlJc w:val="left"/>
      <w:pPr>
        <w:ind w:left="720" w:hanging="360"/>
      </w:pPr>
      <w:rPr>
        <w:rFonts w:ascii="Symbol" w:hAnsi="Symbol" w:hint="default"/>
      </w:rPr>
    </w:lvl>
    <w:lvl w:ilvl="1" w:tplc="482C54B8" w:tentative="1">
      <w:start w:val="1"/>
      <w:numFmt w:val="bullet"/>
      <w:lvlText w:val="o"/>
      <w:lvlJc w:val="left"/>
      <w:pPr>
        <w:ind w:left="1440" w:hanging="360"/>
      </w:pPr>
      <w:rPr>
        <w:rFonts w:ascii="Courier New" w:hAnsi="Courier New" w:cs="Courier New" w:hint="default"/>
      </w:rPr>
    </w:lvl>
    <w:lvl w:ilvl="2" w:tplc="9704F49A" w:tentative="1">
      <w:start w:val="1"/>
      <w:numFmt w:val="bullet"/>
      <w:lvlText w:val=""/>
      <w:lvlJc w:val="left"/>
      <w:pPr>
        <w:ind w:left="2160" w:hanging="360"/>
      </w:pPr>
      <w:rPr>
        <w:rFonts w:ascii="Wingdings" w:hAnsi="Wingdings" w:hint="default"/>
      </w:rPr>
    </w:lvl>
    <w:lvl w:ilvl="3" w:tplc="5A40C7DA" w:tentative="1">
      <w:start w:val="1"/>
      <w:numFmt w:val="bullet"/>
      <w:lvlText w:val=""/>
      <w:lvlJc w:val="left"/>
      <w:pPr>
        <w:ind w:left="2880" w:hanging="360"/>
      </w:pPr>
      <w:rPr>
        <w:rFonts w:ascii="Symbol" w:hAnsi="Symbol" w:hint="default"/>
      </w:rPr>
    </w:lvl>
    <w:lvl w:ilvl="4" w:tplc="91B2BD6E" w:tentative="1">
      <w:start w:val="1"/>
      <w:numFmt w:val="bullet"/>
      <w:lvlText w:val="o"/>
      <w:lvlJc w:val="left"/>
      <w:pPr>
        <w:ind w:left="3600" w:hanging="360"/>
      </w:pPr>
      <w:rPr>
        <w:rFonts w:ascii="Courier New" w:hAnsi="Courier New" w:cs="Courier New" w:hint="default"/>
      </w:rPr>
    </w:lvl>
    <w:lvl w:ilvl="5" w:tplc="A91C0040" w:tentative="1">
      <w:start w:val="1"/>
      <w:numFmt w:val="bullet"/>
      <w:lvlText w:val=""/>
      <w:lvlJc w:val="left"/>
      <w:pPr>
        <w:ind w:left="4320" w:hanging="360"/>
      </w:pPr>
      <w:rPr>
        <w:rFonts w:ascii="Wingdings" w:hAnsi="Wingdings" w:hint="default"/>
      </w:rPr>
    </w:lvl>
    <w:lvl w:ilvl="6" w:tplc="FF0C0EFA" w:tentative="1">
      <w:start w:val="1"/>
      <w:numFmt w:val="bullet"/>
      <w:lvlText w:val=""/>
      <w:lvlJc w:val="left"/>
      <w:pPr>
        <w:ind w:left="5040" w:hanging="360"/>
      </w:pPr>
      <w:rPr>
        <w:rFonts w:ascii="Symbol" w:hAnsi="Symbol" w:hint="default"/>
      </w:rPr>
    </w:lvl>
    <w:lvl w:ilvl="7" w:tplc="00E8328E" w:tentative="1">
      <w:start w:val="1"/>
      <w:numFmt w:val="bullet"/>
      <w:lvlText w:val="o"/>
      <w:lvlJc w:val="left"/>
      <w:pPr>
        <w:ind w:left="5760" w:hanging="360"/>
      </w:pPr>
      <w:rPr>
        <w:rFonts w:ascii="Courier New" w:hAnsi="Courier New" w:cs="Courier New" w:hint="default"/>
      </w:rPr>
    </w:lvl>
    <w:lvl w:ilvl="8" w:tplc="D20E161C" w:tentative="1">
      <w:start w:val="1"/>
      <w:numFmt w:val="bullet"/>
      <w:lvlText w:val=""/>
      <w:lvlJc w:val="left"/>
      <w:pPr>
        <w:ind w:left="6480" w:hanging="360"/>
      </w:pPr>
      <w:rPr>
        <w:rFonts w:ascii="Wingdings" w:hAnsi="Wingdings" w:hint="default"/>
      </w:rPr>
    </w:lvl>
  </w:abstractNum>
  <w:abstractNum w:abstractNumId="43" w15:restartNumberingAfterBreak="0">
    <w:nsid w:val="711619F4"/>
    <w:multiLevelType w:val="hybridMultilevel"/>
    <w:tmpl w:val="BADE828A"/>
    <w:lvl w:ilvl="0" w:tplc="76700DB6">
      <w:start w:val="1"/>
      <w:numFmt w:val="bullet"/>
      <w:lvlText w:val=""/>
      <w:lvlJc w:val="left"/>
      <w:pPr>
        <w:ind w:left="720" w:hanging="360"/>
      </w:pPr>
      <w:rPr>
        <w:rFonts w:ascii="Symbol" w:hAnsi="Symbol" w:hint="default"/>
      </w:rPr>
    </w:lvl>
    <w:lvl w:ilvl="1" w:tplc="60505CDE" w:tentative="1">
      <w:start w:val="1"/>
      <w:numFmt w:val="bullet"/>
      <w:lvlText w:val="o"/>
      <w:lvlJc w:val="left"/>
      <w:pPr>
        <w:ind w:left="1440" w:hanging="360"/>
      </w:pPr>
      <w:rPr>
        <w:rFonts w:ascii="Courier New" w:hAnsi="Courier New" w:cs="Courier New" w:hint="default"/>
      </w:rPr>
    </w:lvl>
    <w:lvl w:ilvl="2" w:tplc="0C50DA30" w:tentative="1">
      <w:start w:val="1"/>
      <w:numFmt w:val="bullet"/>
      <w:lvlText w:val=""/>
      <w:lvlJc w:val="left"/>
      <w:pPr>
        <w:ind w:left="2160" w:hanging="360"/>
      </w:pPr>
      <w:rPr>
        <w:rFonts w:ascii="Wingdings" w:hAnsi="Wingdings" w:hint="default"/>
      </w:rPr>
    </w:lvl>
    <w:lvl w:ilvl="3" w:tplc="F6B66310" w:tentative="1">
      <w:start w:val="1"/>
      <w:numFmt w:val="bullet"/>
      <w:lvlText w:val=""/>
      <w:lvlJc w:val="left"/>
      <w:pPr>
        <w:ind w:left="2880" w:hanging="360"/>
      </w:pPr>
      <w:rPr>
        <w:rFonts w:ascii="Symbol" w:hAnsi="Symbol" w:hint="default"/>
      </w:rPr>
    </w:lvl>
    <w:lvl w:ilvl="4" w:tplc="DB04A7FC" w:tentative="1">
      <w:start w:val="1"/>
      <w:numFmt w:val="bullet"/>
      <w:lvlText w:val="o"/>
      <w:lvlJc w:val="left"/>
      <w:pPr>
        <w:ind w:left="3600" w:hanging="360"/>
      </w:pPr>
      <w:rPr>
        <w:rFonts w:ascii="Courier New" w:hAnsi="Courier New" w:cs="Courier New" w:hint="default"/>
      </w:rPr>
    </w:lvl>
    <w:lvl w:ilvl="5" w:tplc="DE32BF0E" w:tentative="1">
      <w:start w:val="1"/>
      <w:numFmt w:val="bullet"/>
      <w:lvlText w:val=""/>
      <w:lvlJc w:val="left"/>
      <w:pPr>
        <w:ind w:left="4320" w:hanging="360"/>
      </w:pPr>
      <w:rPr>
        <w:rFonts w:ascii="Wingdings" w:hAnsi="Wingdings" w:hint="default"/>
      </w:rPr>
    </w:lvl>
    <w:lvl w:ilvl="6" w:tplc="0B7CFD16" w:tentative="1">
      <w:start w:val="1"/>
      <w:numFmt w:val="bullet"/>
      <w:lvlText w:val=""/>
      <w:lvlJc w:val="left"/>
      <w:pPr>
        <w:ind w:left="5040" w:hanging="360"/>
      </w:pPr>
      <w:rPr>
        <w:rFonts w:ascii="Symbol" w:hAnsi="Symbol" w:hint="default"/>
      </w:rPr>
    </w:lvl>
    <w:lvl w:ilvl="7" w:tplc="D1ECEEEE" w:tentative="1">
      <w:start w:val="1"/>
      <w:numFmt w:val="bullet"/>
      <w:lvlText w:val="o"/>
      <w:lvlJc w:val="left"/>
      <w:pPr>
        <w:ind w:left="5760" w:hanging="360"/>
      </w:pPr>
      <w:rPr>
        <w:rFonts w:ascii="Courier New" w:hAnsi="Courier New" w:cs="Courier New" w:hint="default"/>
      </w:rPr>
    </w:lvl>
    <w:lvl w:ilvl="8" w:tplc="BD1084AA" w:tentative="1">
      <w:start w:val="1"/>
      <w:numFmt w:val="bullet"/>
      <w:lvlText w:val=""/>
      <w:lvlJc w:val="left"/>
      <w:pPr>
        <w:ind w:left="6480" w:hanging="360"/>
      </w:pPr>
      <w:rPr>
        <w:rFonts w:ascii="Wingdings" w:hAnsi="Wingdings" w:hint="default"/>
      </w:rPr>
    </w:lvl>
  </w:abstractNum>
  <w:abstractNum w:abstractNumId="44"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40D7301"/>
    <w:multiLevelType w:val="hybridMultilevel"/>
    <w:tmpl w:val="AF74A042"/>
    <w:lvl w:ilvl="0" w:tplc="92F8C2D2">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6" w15:restartNumberingAfterBreak="0">
    <w:nsid w:val="79324EDF"/>
    <w:multiLevelType w:val="hybridMultilevel"/>
    <w:tmpl w:val="D3BE966A"/>
    <w:lvl w:ilvl="0" w:tplc="A5CA9F3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798245A3"/>
    <w:multiLevelType w:val="hybridMultilevel"/>
    <w:tmpl w:val="F2066144"/>
    <w:lvl w:ilvl="0" w:tplc="3872B712">
      <w:start w:val="1"/>
      <w:numFmt w:val="bullet"/>
      <w:lvlText w:val=""/>
      <w:lvlJc w:val="left"/>
      <w:pPr>
        <w:ind w:left="720" w:hanging="360"/>
      </w:pPr>
      <w:rPr>
        <w:rFonts w:ascii="Symbol" w:hAnsi="Symbol" w:hint="default"/>
      </w:rPr>
    </w:lvl>
    <w:lvl w:ilvl="1" w:tplc="B70E4C3A">
      <w:numFmt w:val="bullet"/>
      <w:lvlText w:val="•"/>
      <w:lvlJc w:val="left"/>
      <w:pPr>
        <w:ind w:left="1692" w:hanging="612"/>
      </w:pPr>
      <w:rPr>
        <w:rFonts w:ascii="Arial" w:eastAsiaTheme="minorHAnsi" w:hAnsi="Arial" w:cs="Arial" w:hint="default"/>
      </w:rPr>
    </w:lvl>
    <w:lvl w:ilvl="2" w:tplc="A86A9074" w:tentative="1">
      <w:start w:val="1"/>
      <w:numFmt w:val="bullet"/>
      <w:lvlText w:val=""/>
      <w:lvlJc w:val="left"/>
      <w:pPr>
        <w:ind w:left="2160" w:hanging="360"/>
      </w:pPr>
      <w:rPr>
        <w:rFonts w:ascii="Wingdings" w:hAnsi="Wingdings" w:hint="default"/>
      </w:rPr>
    </w:lvl>
    <w:lvl w:ilvl="3" w:tplc="4A38B0FA" w:tentative="1">
      <w:start w:val="1"/>
      <w:numFmt w:val="bullet"/>
      <w:lvlText w:val=""/>
      <w:lvlJc w:val="left"/>
      <w:pPr>
        <w:ind w:left="2880" w:hanging="360"/>
      </w:pPr>
      <w:rPr>
        <w:rFonts w:ascii="Symbol" w:hAnsi="Symbol" w:hint="default"/>
      </w:rPr>
    </w:lvl>
    <w:lvl w:ilvl="4" w:tplc="0DFCF400" w:tentative="1">
      <w:start w:val="1"/>
      <w:numFmt w:val="bullet"/>
      <w:lvlText w:val="o"/>
      <w:lvlJc w:val="left"/>
      <w:pPr>
        <w:ind w:left="3600" w:hanging="360"/>
      </w:pPr>
      <w:rPr>
        <w:rFonts w:ascii="Courier New" w:hAnsi="Courier New" w:cs="Courier New" w:hint="default"/>
      </w:rPr>
    </w:lvl>
    <w:lvl w:ilvl="5" w:tplc="29C4C6A0" w:tentative="1">
      <w:start w:val="1"/>
      <w:numFmt w:val="bullet"/>
      <w:lvlText w:val=""/>
      <w:lvlJc w:val="left"/>
      <w:pPr>
        <w:ind w:left="4320" w:hanging="360"/>
      </w:pPr>
      <w:rPr>
        <w:rFonts w:ascii="Wingdings" w:hAnsi="Wingdings" w:hint="default"/>
      </w:rPr>
    </w:lvl>
    <w:lvl w:ilvl="6" w:tplc="78223A3C" w:tentative="1">
      <w:start w:val="1"/>
      <w:numFmt w:val="bullet"/>
      <w:lvlText w:val=""/>
      <w:lvlJc w:val="left"/>
      <w:pPr>
        <w:ind w:left="5040" w:hanging="360"/>
      </w:pPr>
      <w:rPr>
        <w:rFonts w:ascii="Symbol" w:hAnsi="Symbol" w:hint="default"/>
      </w:rPr>
    </w:lvl>
    <w:lvl w:ilvl="7" w:tplc="60AC2472" w:tentative="1">
      <w:start w:val="1"/>
      <w:numFmt w:val="bullet"/>
      <w:lvlText w:val="o"/>
      <w:lvlJc w:val="left"/>
      <w:pPr>
        <w:ind w:left="5760" w:hanging="360"/>
      </w:pPr>
      <w:rPr>
        <w:rFonts w:ascii="Courier New" w:hAnsi="Courier New" w:cs="Courier New" w:hint="default"/>
      </w:rPr>
    </w:lvl>
    <w:lvl w:ilvl="8" w:tplc="B69C10BA" w:tentative="1">
      <w:start w:val="1"/>
      <w:numFmt w:val="bullet"/>
      <w:lvlText w:val=""/>
      <w:lvlJc w:val="left"/>
      <w:pPr>
        <w:ind w:left="6480" w:hanging="360"/>
      </w:pPr>
      <w:rPr>
        <w:rFonts w:ascii="Wingdings" w:hAnsi="Wingdings" w:hint="default"/>
      </w:rPr>
    </w:lvl>
  </w:abstractNum>
  <w:abstractNum w:abstractNumId="48" w15:restartNumberingAfterBreak="0">
    <w:nsid w:val="7AC234FF"/>
    <w:multiLevelType w:val="hybridMultilevel"/>
    <w:tmpl w:val="55A4ED84"/>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BB653C6"/>
    <w:multiLevelType w:val="hybridMultilevel"/>
    <w:tmpl w:val="488C7EEA"/>
    <w:lvl w:ilvl="0" w:tplc="04160001">
      <w:start w:val="1"/>
      <w:numFmt w:val="bullet"/>
      <w:lvlText w:val=""/>
      <w:lvlJc w:val="left"/>
      <w:pPr>
        <w:ind w:left="1037" w:hanging="360"/>
      </w:pPr>
      <w:rPr>
        <w:rFonts w:ascii="Symbol" w:hAnsi="Symbol" w:hint="default"/>
      </w:rPr>
    </w:lvl>
    <w:lvl w:ilvl="1" w:tplc="04160003" w:tentative="1">
      <w:start w:val="1"/>
      <w:numFmt w:val="bullet"/>
      <w:lvlText w:val="o"/>
      <w:lvlJc w:val="left"/>
      <w:pPr>
        <w:ind w:left="1757" w:hanging="360"/>
      </w:pPr>
      <w:rPr>
        <w:rFonts w:ascii="Courier New" w:hAnsi="Courier New" w:cs="Courier New" w:hint="default"/>
      </w:rPr>
    </w:lvl>
    <w:lvl w:ilvl="2" w:tplc="04160005" w:tentative="1">
      <w:start w:val="1"/>
      <w:numFmt w:val="bullet"/>
      <w:lvlText w:val=""/>
      <w:lvlJc w:val="left"/>
      <w:pPr>
        <w:ind w:left="2477" w:hanging="360"/>
      </w:pPr>
      <w:rPr>
        <w:rFonts w:ascii="Wingdings" w:hAnsi="Wingdings" w:hint="default"/>
      </w:rPr>
    </w:lvl>
    <w:lvl w:ilvl="3" w:tplc="04160001" w:tentative="1">
      <w:start w:val="1"/>
      <w:numFmt w:val="bullet"/>
      <w:lvlText w:val=""/>
      <w:lvlJc w:val="left"/>
      <w:pPr>
        <w:ind w:left="3197" w:hanging="360"/>
      </w:pPr>
      <w:rPr>
        <w:rFonts w:ascii="Symbol" w:hAnsi="Symbol" w:hint="default"/>
      </w:rPr>
    </w:lvl>
    <w:lvl w:ilvl="4" w:tplc="04160003" w:tentative="1">
      <w:start w:val="1"/>
      <w:numFmt w:val="bullet"/>
      <w:lvlText w:val="o"/>
      <w:lvlJc w:val="left"/>
      <w:pPr>
        <w:ind w:left="3917" w:hanging="360"/>
      </w:pPr>
      <w:rPr>
        <w:rFonts w:ascii="Courier New" w:hAnsi="Courier New" w:cs="Courier New" w:hint="default"/>
      </w:rPr>
    </w:lvl>
    <w:lvl w:ilvl="5" w:tplc="04160005" w:tentative="1">
      <w:start w:val="1"/>
      <w:numFmt w:val="bullet"/>
      <w:lvlText w:val=""/>
      <w:lvlJc w:val="left"/>
      <w:pPr>
        <w:ind w:left="4637" w:hanging="360"/>
      </w:pPr>
      <w:rPr>
        <w:rFonts w:ascii="Wingdings" w:hAnsi="Wingdings" w:hint="default"/>
      </w:rPr>
    </w:lvl>
    <w:lvl w:ilvl="6" w:tplc="04160001" w:tentative="1">
      <w:start w:val="1"/>
      <w:numFmt w:val="bullet"/>
      <w:lvlText w:val=""/>
      <w:lvlJc w:val="left"/>
      <w:pPr>
        <w:ind w:left="5357" w:hanging="360"/>
      </w:pPr>
      <w:rPr>
        <w:rFonts w:ascii="Symbol" w:hAnsi="Symbol" w:hint="default"/>
      </w:rPr>
    </w:lvl>
    <w:lvl w:ilvl="7" w:tplc="04160003" w:tentative="1">
      <w:start w:val="1"/>
      <w:numFmt w:val="bullet"/>
      <w:lvlText w:val="o"/>
      <w:lvlJc w:val="left"/>
      <w:pPr>
        <w:ind w:left="6077" w:hanging="360"/>
      </w:pPr>
      <w:rPr>
        <w:rFonts w:ascii="Courier New" w:hAnsi="Courier New" w:cs="Courier New" w:hint="default"/>
      </w:rPr>
    </w:lvl>
    <w:lvl w:ilvl="8" w:tplc="04160005" w:tentative="1">
      <w:start w:val="1"/>
      <w:numFmt w:val="bullet"/>
      <w:lvlText w:val=""/>
      <w:lvlJc w:val="left"/>
      <w:pPr>
        <w:ind w:left="6797" w:hanging="360"/>
      </w:pPr>
      <w:rPr>
        <w:rFonts w:ascii="Wingdings" w:hAnsi="Wingdings" w:hint="default"/>
      </w:rPr>
    </w:lvl>
  </w:abstractNum>
  <w:abstractNum w:abstractNumId="50"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1"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2" w15:restartNumberingAfterBreak="0">
    <w:nsid w:val="7F291500"/>
    <w:multiLevelType w:val="hybridMultilevel"/>
    <w:tmpl w:val="160E58E0"/>
    <w:lvl w:ilvl="0" w:tplc="0B200C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F8D279B"/>
    <w:multiLevelType w:val="hybridMultilevel"/>
    <w:tmpl w:val="A866CF26"/>
    <w:lvl w:ilvl="0" w:tplc="4B5ECCE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89634750">
    <w:abstractNumId w:val="45"/>
  </w:num>
  <w:num w:numId="2" w16cid:durableId="1565289656">
    <w:abstractNumId w:val="8"/>
  </w:num>
  <w:num w:numId="3" w16cid:durableId="1672565575">
    <w:abstractNumId w:val="17"/>
  </w:num>
  <w:num w:numId="4" w16cid:durableId="1985507039">
    <w:abstractNumId w:val="36"/>
  </w:num>
  <w:num w:numId="5" w16cid:durableId="439764399">
    <w:abstractNumId w:val="29"/>
  </w:num>
  <w:num w:numId="6" w16cid:durableId="21141270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8617366">
    <w:abstractNumId w:val="50"/>
  </w:num>
  <w:num w:numId="8" w16cid:durableId="492645021">
    <w:abstractNumId w:val="24"/>
  </w:num>
  <w:num w:numId="9" w16cid:durableId="1293705152">
    <w:abstractNumId w:val="6"/>
  </w:num>
  <w:num w:numId="10" w16cid:durableId="145442293">
    <w:abstractNumId w:val="19"/>
  </w:num>
  <w:num w:numId="11" w16cid:durableId="2131775581">
    <w:abstractNumId w:val="1"/>
  </w:num>
  <w:num w:numId="12" w16cid:durableId="83303019">
    <w:abstractNumId w:val="11"/>
  </w:num>
  <w:num w:numId="13" w16cid:durableId="135799073">
    <w:abstractNumId w:val="13"/>
  </w:num>
  <w:num w:numId="14" w16cid:durableId="1884831083">
    <w:abstractNumId w:val="9"/>
  </w:num>
  <w:num w:numId="15" w16cid:durableId="1608929367">
    <w:abstractNumId w:val="34"/>
  </w:num>
  <w:num w:numId="16" w16cid:durableId="1028917730">
    <w:abstractNumId w:val="28"/>
  </w:num>
  <w:num w:numId="17" w16cid:durableId="1112016394">
    <w:abstractNumId w:val="25"/>
  </w:num>
  <w:num w:numId="18" w16cid:durableId="1131898017">
    <w:abstractNumId w:val="3"/>
  </w:num>
  <w:num w:numId="19" w16cid:durableId="1993947568">
    <w:abstractNumId w:val="53"/>
  </w:num>
  <w:num w:numId="20" w16cid:durableId="1902519914">
    <w:abstractNumId w:val="2"/>
  </w:num>
  <w:num w:numId="21" w16cid:durableId="1254245014">
    <w:abstractNumId w:val="14"/>
  </w:num>
  <w:num w:numId="22" w16cid:durableId="1860004362">
    <w:abstractNumId w:val="16"/>
  </w:num>
  <w:num w:numId="23" w16cid:durableId="1846747960">
    <w:abstractNumId w:val="51"/>
  </w:num>
  <w:num w:numId="24" w16cid:durableId="1858616535">
    <w:abstractNumId w:val="46"/>
  </w:num>
  <w:num w:numId="25" w16cid:durableId="283269438">
    <w:abstractNumId w:val="37"/>
  </w:num>
  <w:num w:numId="26" w16cid:durableId="1915503175">
    <w:abstractNumId w:val="22"/>
  </w:num>
  <w:num w:numId="27" w16cid:durableId="1299845349">
    <w:abstractNumId w:val="4"/>
  </w:num>
  <w:num w:numId="28" w16cid:durableId="707610614">
    <w:abstractNumId w:val="30"/>
  </w:num>
  <w:num w:numId="29" w16cid:durableId="1206868619">
    <w:abstractNumId w:val="15"/>
  </w:num>
  <w:num w:numId="30" w16cid:durableId="1541017197">
    <w:abstractNumId w:val="31"/>
  </w:num>
  <w:num w:numId="31" w16cid:durableId="893195159">
    <w:abstractNumId w:val="52"/>
  </w:num>
  <w:num w:numId="32" w16cid:durableId="671644319">
    <w:abstractNumId w:val="26"/>
  </w:num>
  <w:num w:numId="33" w16cid:durableId="319235697">
    <w:abstractNumId w:val="7"/>
  </w:num>
  <w:num w:numId="34" w16cid:durableId="1392658858">
    <w:abstractNumId w:val="44"/>
  </w:num>
  <w:num w:numId="35" w16cid:durableId="1742173574">
    <w:abstractNumId w:val="38"/>
  </w:num>
  <w:num w:numId="36" w16cid:durableId="1972246944">
    <w:abstractNumId w:val="39"/>
  </w:num>
  <w:num w:numId="37" w16cid:durableId="2113864218">
    <w:abstractNumId w:val="27"/>
  </w:num>
  <w:num w:numId="38" w16cid:durableId="731199651">
    <w:abstractNumId w:val="12"/>
  </w:num>
  <w:num w:numId="39" w16cid:durableId="699206628">
    <w:abstractNumId w:val="48"/>
  </w:num>
  <w:num w:numId="40" w16cid:durableId="1943343486">
    <w:abstractNumId w:val="43"/>
  </w:num>
  <w:num w:numId="41" w16cid:durableId="234046609">
    <w:abstractNumId w:val="42"/>
  </w:num>
  <w:num w:numId="42" w16cid:durableId="423458041">
    <w:abstractNumId w:val="32"/>
  </w:num>
  <w:num w:numId="43" w16cid:durableId="836002300">
    <w:abstractNumId w:val="33"/>
  </w:num>
  <w:num w:numId="44" w16cid:durableId="3360079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47506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0368749">
    <w:abstractNumId w:val="47"/>
  </w:num>
  <w:num w:numId="47" w16cid:durableId="281424137">
    <w:abstractNumId w:val="23"/>
  </w:num>
  <w:num w:numId="48" w16cid:durableId="1531334660">
    <w:abstractNumId w:val="10"/>
  </w:num>
  <w:num w:numId="49" w16cid:durableId="1472942423">
    <w:abstractNumId w:val="21"/>
  </w:num>
  <w:num w:numId="50" w16cid:durableId="172439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7712777">
    <w:abstractNumId w:val="49"/>
  </w:num>
  <w:num w:numId="52" w16cid:durableId="2015721400">
    <w:abstractNumId w:val="5"/>
  </w:num>
  <w:num w:numId="53" w16cid:durableId="1761443271">
    <w:abstractNumId w:val="0"/>
  </w:num>
  <w:num w:numId="54" w16cid:durableId="1834756604">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defaultTabStop w:val="708"/>
  <w:hyphenationZone w:val="425"/>
  <w:characterSpacingControl w:val="doNotCompress"/>
  <w:hdrShapeDefaults>
    <o:shapedefaults v:ext="edit" spidmax="477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02A"/>
    <w:rsid w:val="00002714"/>
    <w:rsid w:val="00003530"/>
    <w:rsid w:val="00005CAA"/>
    <w:rsid w:val="0000601B"/>
    <w:rsid w:val="0000609B"/>
    <w:rsid w:val="000073A6"/>
    <w:rsid w:val="00007A5D"/>
    <w:rsid w:val="00010A23"/>
    <w:rsid w:val="0001118D"/>
    <w:rsid w:val="00011C44"/>
    <w:rsid w:val="00012049"/>
    <w:rsid w:val="00012577"/>
    <w:rsid w:val="00012B73"/>
    <w:rsid w:val="00013BC0"/>
    <w:rsid w:val="00014EC1"/>
    <w:rsid w:val="00020A6E"/>
    <w:rsid w:val="00020CDD"/>
    <w:rsid w:val="00020DDE"/>
    <w:rsid w:val="0002119F"/>
    <w:rsid w:val="00022BC3"/>
    <w:rsid w:val="00022E32"/>
    <w:rsid w:val="0002315B"/>
    <w:rsid w:val="00023D8F"/>
    <w:rsid w:val="00024751"/>
    <w:rsid w:val="00024D0B"/>
    <w:rsid w:val="00030E5D"/>
    <w:rsid w:val="00031BD2"/>
    <w:rsid w:val="000355CB"/>
    <w:rsid w:val="00036121"/>
    <w:rsid w:val="00037AC3"/>
    <w:rsid w:val="0004046C"/>
    <w:rsid w:val="00040D6D"/>
    <w:rsid w:val="00042740"/>
    <w:rsid w:val="00047718"/>
    <w:rsid w:val="000507BA"/>
    <w:rsid w:val="000511AA"/>
    <w:rsid w:val="00052117"/>
    <w:rsid w:val="00054E01"/>
    <w:rsid w:val="0005562A"/>
    <w:rsid w:val="00056C09"/>
    <w:rsid w:val="000578ED"/>
    <w:rsid w:val="00061D43"/>
    <w:rsid w:val="00062D65"/>
    <w:rsid w:val="00064557"/>
    <w:rsid w:val="00064D21"/>
    <w:rsid w:val="0006681B"/>
    <w:rsid w:val="00071223"/>
    <w:rsid w:val="00071241"/>
    <w:rsid w:val="0007336D"/>
    <w:rsid w:val="00074E48"/>
    <w:rsid w:val="0007615B"/>
    <w:rsid w:val="00077564"/>
    <w:rsid w:val="00077F31"/>
    <w:rsid w:val="000803CF"/>
    <w:rsid w:val="00080A12"/>
    <w:rsid w:val="00081476"/>
    <w:rsid w:val="00082841"/>
    <w:rsid w:val="00083959"/>
    <w:rsid w:val="00083A9B"/>
    <w:rsid w:val="00086354"/>
    <w:rsid w:val="00096233"/>
    <w:rsid w:val="00096E88"/>
    <w:rsid w:val="000A1DF1"/>
    <w:rsid w:val="000A33F3"/>
    <w:rsid w:val="000A3AB8"/>
    <w:rsid w:val="000A3D92"/>
    <w:rsid w:val="000A4034"/>
    <w:rsid w:val="000A40F5"/>
    <w:rsid w:val="000A71C5"/>
    <w:rsid w:val="000B3796"/>
    <w:rsid w:val="000B3D6F"/>
    <w:rsid w:val="000B4735"/>
    <w:rsid w:val="000B4867"/>
    <w:rsid w:val="000B5AC0"/>
    <w:rsid w:val="000B60F3"/>
    <w:rsid w:val="000B6AA4"/>
    <w:rsid w:val="000C0648"/>
    <w:rsid w:val="000C09ED"/>
    <w:rsid w:val="000C0CD7"/>
    <w:rsid w:val="000C1469"/>
    <w:rsid w:val="000C4D7D"/>
    <w:rsid w:val="000C78FC"/>
    <w:rsid w:val="000D2BDB"/>
    <w:rsid w:val="000D610E"/>
    <w:rsid w:val="000D6B6D"/>
    <w:rsid w:val="000D75D0"/>
    <w:rsid w:val="000E07E3"/>
    <w:rsid w:val="000E0CEF"/>
    <w:rsid w:val="000E4573"/>
    <w:rsid w:val="000E53EE"/>
    <w:rsid w:val="000E564B"/>
    <w:rsid w:val="000F0924"/>
    <w:rsid w:val="000F2454"/>
    <w:rsid w:val="000F2546"/>
    <w:rsid w:val="000F5078"/>
    <w:rsid w:val="000F60CC"/>
    <w:rsid w:val="000F6165"/>
    <w:rsid w:val="00102B25"/>
    <w:rsid w:val="00106BEE"/>
    <w:rsid w:val="00106C5A"/>
    <w:rsid w:val="00107277"/>
    <w:rsid w:val="00107E85"/>
    <w:rsid w:val="00111800"/>
    <w:rsid w:val="001143BB"/>
    <w:rsid w:val="00114D47"/>
    <w:rsid w:val="00114D85"/>
    <w:rsid w:val="00116243"/>
    <w:rsid w:val="001170F1"/>
    <w:rsid w:val="0011760C"/>
    <w:rsid w:val="001215F2"/>
    <w:rsid w:val="001248F9"/>
    <w:rsid w:val="00125A20"/>
    <w:rsid w:val="001278B9"/>
    <w:rsid w:val="00127C78"/>
    <w:rsid w:val="00132148"/>
    <w:rsid w:val="00133C71"/>
    <w:rsid w:val="00133DDD"/>
    <w:rsid w:val="001340D2"/>
    <w:rsid w:val="00134161"/>
    <w:rsid w:val="0013553F"/>
    <w:rsid w:val="00140A12"/>
    <w:rsid w:val="00141687"/>
    <w:rsid w:val="00143847"/>
    <w:rsid w:val="00143A54"/>
    <w:rsid w:val="001441C1"/>
    <w:rsid w:val="001459BC"/>
    <w:rsid w:val="00146A99"/>
    <w:rsid w:val="00146E6E"/>
    <w:rsid w:val="00147A61"/>
    <w:rsid w:val="00150A99"/>
    <w:rsid w:val="001521B5"/>
    <w:rsid w:val="0015348F"/>
    <w:rsid w:val="0016191A"/>
    <w:rsid w:val="00162CC0"/>
    <w:rsid w:val="00162D44"/>
    <w:rsid w:val="0016383D"/>
    <w:rsid w:val="00165367"/>
    <w:rsid w:val="00166719"/>
    <w:rsid w:val="00166B73"/>
    <w:rsid w:val="00167252"/>
    <w:rsid w:val="00167F52"/>
    <w:rsid w:val="0017189F"/>
    <w:rsid w:val="00172111"/>
    <w:rsid w:val="00173CA2"/>
    <w:rsid w:val="00175828"/>
    <w:rsid w:val="001761A2"/>
    <w:rsid w:val="0018325A"/>
    <w:rsid w:val="001836F3"/>
    <w:rsid w:val="00183946"/>
    <w:rsid w:val="00183D72"/>
    <w:rsid w:val="00183FBF"/>
    <w:rsid w:val="001849B5"/>
    <w:rsid w:val="0018575E"/>
    <w:rsid w:val="00187B50"/>
    <w:rsid w:val="00187C45"/>
    <w:rsid w:val="00191079"/>
    <w:rsid w:val="00191372"/>
    <w:rsid w:val="001A1443"/>
    <w:rsid w:val="001A2EC3"/>
    <w:rsid w:val="001A3250"/>
    <w:rsid w:val="001A37E3"/>
    <w:rsid w:val="001A5FD8"/>
    <w:rsid w:val="001A7DD3"/>
    <w:rsid w:val="001B1213"/>
    <w:rsid w:val="001B14AB"/>
    <w:rsid w:val="001B4D77"/>
    <w:rsid w:val="001B50A9"/>
    <w:rsid w:val="001C0DC2"/>
    <w:rsid w:val="001C3F35"/>
    <w:rsid w:val="001C425E"/>
    <w:rsid w:val="001C6657"/>
    <w:rsid w:val="001C7B25"/>
    <w:rsid w:val="001C7D1C"/>
    <w:rsid w:val="001D2FA3"/>
    <w:rsid w:val="001D5AF7"/>
    <w:rsid w:val="001D68BF"/>
    <w:rsid w:val="001E1FF5"/>
    <w:rsid w:val="001E24A1"/>
    <w:rsid w:val="001E4241"/>
    <w:rsid w:val="001E7A74"/>
    <w:rsid w:val="001F004B"/>
    <w:rsid w:val="001F0A82"/>
    <w:rsid w:val="001F2E08"/>
    <w:rsid w:val="0020171B"/>
    <w:rsid w:val="00204930"/>
    <w:rsid w:val="00210ED2"/>
    <w:rsid w:val="0021172A"/>
    <w:rsid w:val="002269ED"/>
    <w:rsid w:val="00226FD5"/>
    <w:rsid w:val="0022799E"/>
    <w:rsid w:val="00227ECE"/>
    <w:rsid w:val="0023066D"/>
    <w:rsid w:val="00230B22"/>
    <w:rsid w:val="002318E3"/>
    <w:rsid w:val="00231AF4"/>
    <w:rsid w:val="00233DBB"/>
    <w:rsid w:val="00234AD5"/>
    <w:rsid w:val="00234F0B"/>
    <w:rsid w:val="0023652C"/>
    <w:rsid w:val="00242321"/>
    <w:rsid w:val="002438B1"/>
    <w:rsid w:val="00244068"/>
    <w:rsid w:val="00244BA9"/>
    <w:rsid w:val="00247781"/>
    <w:rsid w:val="002500BA"/>
    <w:rsid w:val="00251262"/>
    <w:rsid w:val="00252C1D"/>
    <w:rsid w:val="002564DF"/>
    <w:rsid w:val="00257B42"/>
    <w:rsid w:val="00260B0F"/>
    <w:rsid w:val="00260B51"/>
    <w:rsid w:val="002663FA"/>
    <w:rsid w:val="0026664B"/>
    <w:rsid w:val="00270A68"/>
    <w:rsid w:val="0027390D"/>
    <w:rsid w:val="00275580"/>
    <w:rsid w:val="00276764"/>
    <w:rsid w:val="00276881"/>
    <w:rsid w:val="0027727A"/>
    <w:rsid w:val="00280F70"/>
    <w:rsid w:val="00291940"/>
    <w:rsid w:val="00291F73"/>
    <w:rsid w:val="00294917"/>
    <w:rsid w:val="00294C04"/>
    <w:rsid w:val="002A22F3"/>
    <w:rsid w:val="002A36A7"/>
    <w:rsid w:val="002A72E3"/>
    <w:rsid w:val="002B0076"/>
    <w:rsid w:val="002B5111"/>
    <w:rsid w:val="002B59B6"/>
    <w:rsid w:val="002B7B96"/>
    <w:rsid w:val="002C1612"/>
    <w:rsid w:val="002C376F"/>
    <w:rsid w:val="002C4924"/>
    <w:rsid w:val="002C562D"/>
    <w:rsid w:val="002C5B84"/>
    <w:rsid w:val="002C7209"/>
    <w:rsid w:val="002D00B8"/>
    <w:rsid w:val="002D0C2A"/>
    <w:rsid w:val="002D143C"/>
    <w:rsid w:val="002D39D6"/>
    <w:rsid w:val="002D5A83"/>
    <w:rsid w:val="002D65D2"/>
    <w:rsid w:val="002D68C2"/>
    <w:rsid w:val="002D6C42"/>
    <w:rsid w:val="002D71EB"/>
    <w:rsid w:val="002D7D9E"/>
    <w:rsid w:val="002E299B"/>
    <w:rsid w:val="002E3C67"/>
    <w:rsid w:val="002E44CC"/>
    <w:rsid w:val="002E5479"/>
    <w:rsid w:val="002E561F"/>
    <w:rsid w:val="002E6ED5"/>
    <w:rsid w:val="002E7410"/>
    <w:rsid w:val="002E756A"/>
    <w:rsid w:val="002F0B11"/>
    <w:rsid w:val="002F6838"/>
    <w:rsid w:val="002F6AA5"/>
    <w:rsid w:val="002F7E14"/>
    <w:rsid w:val="00300419"/>
    <w:rsid w:val="00302841"/>
    <w:rsid w:val="00303359"/>
    <w:rsid w:val="003057DB"/>
    <w:rsid w:val="00307AD1"/>
    <w:rsid w:val="00310081"/>
    <w:rsid w:val="00311A34"/>
    <w:rsid w:val="00312114"/>
    <w:rsid w:val="00312B45"/>
    <w:rsid w:val="00314402"/>
    <w:rsid w:val="003160DD"/>
    <w:rsid w:val="00317905"/>
    <w:rsid w:val="00321043"/>
    <w:rsid w:val="0032286E"/>
    <w:rsid w:val="0032296E"/>
    <w:rsid w:val="00323E9B"/>
    <w:rsid w:val="00324C45"/>
    <w:rsid w:val="00326C6A"/>
    <w:rsid w:val="003345AD"/>
    <w:rsid w:val="00336EA5"/>
    <w:rsid w:val="00342A2B"/>
    <w:rsid w:val="003432FE"/>
    <w:rsid w:val="00344965"/>
    <w:rsid w:val="0035060E"/>
    <w:rsid w:val="00356AB8"/>
    <w:rsid w:val="003574A9"/>
    <w:rsid w:val="00360266"/>
    <w:rsid w:val="00361F6F"/>
    <w:rsid w:val="00364937"/>
    <w:rsid w:val="00365D56"/>
    <w:rsid w:val="00366238"/>
    <w:rsid w:val="0036729E"/>
    <w:rsid w:val="00367ACF"/>
    <w:rsid w:val="00370FE2"/>
    <w:rsid w:val="0037479E"/>
    <w:rsid w:val="00377C47"/>
    <w:rsid w:val="00382527"/>
    <w:rsid w:val="00382CBA"/>
    <w:rsid w:val="0039022B"/>
    <w:rsid w:val="003905D1"/>
    <w:rsid w:val="00395DD8"/>
    <w:rsid w:val="00397A23"/>
    <w:rsid w:val="00397AA6"/>
    <w:rsid w:val="003A05EE"/>
    <w:rsid w:val="003A0AB2"/>
    <w:rsid w:val="003A1073"/>
    <w:rsid w:val="003A237E"/>
    <w:rsid w:val="003A3B7A"/>
    <w:rsid w:val="003A3BB0"/>
    <w:rsid w:val="003A46E3"/>
    <w:rsid w:val="003A46FA"/>
    <w:rsid w:val="003A496C"/>
    <w:rsid w:val="003A4A47"/>
    <w:rsid w:val="003A5FCE"/>
    <w:rsid w:val="003A68DE"/>
    <w:rsid w:val="003B0871"/>
    <w:rsid w:val="003B0A01"/>
    <w:rsid w:val="003B1062"/>
    <w:rsid w:val="003B3EF2"/>
    <w:rsid w:val="003B4CF6"/>
    <w:rsid w:val="003B6C01"/>
    <w:rsid w:val="003C0129"/>
    <w:rsid w:val="003C2712"/>
    <w:rsid w:val="003C3985"/>
    <w:rsid w:val="003C43EB"/>
    <w:rsid w:val="003C725C"/>
    <w:rsid w:val="003C76C4"/>
    <w:rsid w:val="003D04B4"/>
    <w:rsid w:val="003D1CDE"/>
    <w:rsid w:val="003D61C6"/>
    <w:rsid w:val="003D7C55"/>
    <w:rsid w:val="003D7FB6"/>
    <w:rsid w:val="003E1F82"/>
    <w:rsid w:val="003E407C"/>
    <w:rsid w:val="003E752D"/>
    <w:rsid w:val="003E7547"/>
    <w:rsid w:val="003F3906"/>
    <w:rsid w:val="003F62E5"/>
    <w:rsid w:val="003F6DAE"/>
    <w:rsid w:val="00410A4B"/>
    <w:rsid w:val="00412829"/>
    <w:rsid w:val="004140F2"/>
    <w:rsid w:val="00414271"/>
    <w:rsid w:val="00420180"/>
    <w:rsid w:val="00422472"/>
    <w:rsid w:val="0042368D"/>
    <w:rsid w:val="00424091"/>
    <w:rsid w:val="00425DE8"/>
    <w:rsid w:val="00426DEA"/>
    <w:rsid w:val="004277AF"/>
    <w:rsid w:val="00427B99"/>
    <w:rsid w:val="00431D8B"/>
    <w:rsid w:val="004345E8"/>
    <w:rsid w:val="0043468B"/>
    <w:rsid w:val="00435016"/>
    <w:rsid w:val="00435972"/>
    <w:rsid w:val="00435ED1"/>
    <w:rsid w:val="00436E96"/>
    <w:rsid w:val="004405C7"/>
    <w:rsid w:val="004442D9"/>
    <w:rsid w:val="00444B57"/>
    <w:rsid w:val="00445209"/>
    <w:rsid w:val="00445861"/>
    <w:rsid w:val="00450E29"/>
    <w:rsid w:val="00451174"/>
    <w:rsid w:val="00453406"/>
    <w:rsid w:val="00454D9F"/>
    <w:rsid w:val="00456237"/>
    <w:rsid w:val="004577EF"/>
    <w:rsid w:val="004618D3"/>
    <w:rsid w:val="004640C8"/>
    <w:rsid w:val="00464624"/>
    <w:rsid w:val="00464B4D"/>
    <w:rsid w:val="00464F97"/>
    <w:rsid w:val="0046510B"/>
    <w:rsid w:val="004659AC"/>
    <w:rsid w:val="0046651D"/>
    <w:rsid w:val="00466F14"/>
    <w:rsid w:val="00467245"/>
    <w:rsid w:val="00467636"/>
    <w:rsid w:val="004678AB"/>
    <w:rsid w:val="00467ED6"/>
    <w:rsid w:val="004706AD"/>
    <w:rsid w:val="00471986"/>
    <w:rsid w:val="004744A0"/>
    <w:rsid w:val="0047521F"/>
    <w:rsid w:val="004753EF"/>
    <w:rsid w:val="004777A0"/>
    <w:rsid w:val="00480E4B"/>
    <w:rsid w:val="0048278C"/>
    <w:rsid w:val="00482B72"/>
    <w:rsid w:val="00483F2C"/>
    <w:rsid w:val="00486355"/>
    <w:rsid w:val="004878A8"/>
    <w:rsid w:val="00487DE4"/>
    <w:rsid w:val="0049071F"/>
    <w:rsid w:val="00490981"/>
    <w:rsid w:val="004913BA"/>
    <w:rsid w:val="00491A7B"/>
    <w:rsid w:val="00493598"/>
    <w:rsid w:val="0049511F"/>
    <w:rsid w:val="004959C4"/>
    <w:rsid w:val="0049601F"/>
    <w:rsid w:val="00496220"/>
    <w:rsid w:val="00496C7B"/>
    <w:rsid w:val="00497D57"/>
    <w:rsid w:val="004A04A5"/>
    <w:rsid w:val="004A26EE"/>
    <w:rsid w:val="004A5980"/>
    <w:rsid w:val="004A5CDD"/>
    <w:rsid w:val="004A5E05"/>
    <w:rsid w:val="004A6656"/>
    <w:rsid w:val="004B00DD"/>
    <w:rsid w:val="004B1897"/>
    <w:rsid w:val="004B1EE7"/>
    <w:rsid w:val="004B3BAB"/>
    <w:rsid w:val="004B60B0"/>
    <w:rsid w:val="004B60D3"/>
    <w:rsid w:val="004B659D"/>
    <w:rsid w:val="004B6AF4"/>
    <w:rsid w:val="004B71AC"/>
    <w:rsid w:val="004C3BD0"/>
    <w:rsid w:val="004C461F"/>
    <w:rsid w:val="004C4B52"/>
    <w:rsid w:val="004C7FF9"/>
    <w:rsid w:val="004D1F33"/>
    <w:rsid w:val="004D27B6"/>
    <w:rsid w:val="004D38D7"/>
    <w:rsid w:val="004D4283"/>
    <w:rsid w:val="004D4FF9"/>
    <w:rsid w:val="004D7600"/>
    <w:rsid w:val="004D7A2F"/>
    <w:rsid w:val="004E0822"/>
    <w:rsid w:val="004E230D"/>
    <w:rsid w:val="004E3014"/>
    <w:rsid w:val="004E5AC7"/>
    <w:rsid w:val="004F0411"/>
    <w:rsid w:val="004F12A3"/>
    <w:rsid w:val="004F2709"/>
    <w:rsid w:val="004F3057"/>
    <w:rsid w:val="004F3194"/>
    <w:rsid w:val="004F45BA"/>
    <w:rsid w:val="004F45EE"/>
    <w:rsid w:val="004F509B"/>
    <w:rsid w:val="004F712D"/>
    <w:rsid w:val="004F7C15"/>
    <w:rsid w:val="00500AB3"/>
    <w:rsid w:val="00504EE2"/>
    <w:rsid w:val="00504F34"/>
    <w:rsid w:val="005061D2"/>
    <w:rsid w:val="00506AE7"/>
    <w:rsid w:val="00510BED"/>
    <w:rsid w:val="00511848"/>
    <w:rsid w:val="00511EB1"/>
    <w:rsid w:val="0051329F"/>
    <w:rsid w:val="005212E8"/>
    <w:rsid w:val="005261C1"/>
    <w:rsid w:val="0052662E"/>
    <w:rsid w:val="00527747"/>
    <w:rsid w:val="0052784B"/>
    <w:rsid w:val="00530A63"/>
    <w:rsid w:val="005311FC"/>
    <w:rsid w:val="00534DA0"/>
    <w:rsid w:val="005357C6"/>
    <w:rsid w:val="0053756D"/>
    <w:rsid w:val="00537934"/>
    <w:rsid w:val="00540F6B"/>
    <w:rsid w:val="00543849"/>
    <w:rsid w:val="00543B44"/>
    <w:rsid w:val="005449F8"/>
    <w:rsid w:val="0054696D"/>
    <w:rsid w:val="005479E7"/>
    <w:rsid w:val="00551188"/>
    <w:rsid w:val="0055368E"/>
    <w:rsid w:val="00553F85"/>
    <w:rsid w:val="00554D71"/>
    <w:rsid w:val="00555BE6"/>
    <w:rsid w:val="00557708"/>
    <w:rsid w:val="00560D1E"/>
    <w:rsid w:val="00560E22"/>
    <w:rsid w:val="005614B4"/>
    <w:rsid w:val="005632DD"/>
    <w:rsid w:val="00565150"/>
    <w:rsid w:val="005678BA"/>
    <w:rsid w:val="005678EB"/>
    <w:rsid w:val="00567DAB"/>
    <w:rsid w:val="00572AC0"/>
    <w:rsid w:val="005820DF"/>
    <w:rsid w:val="00583EE6"/>
    <w:rsid w:val="00590D4B"/>
    <w:rsid w:val="00592EB1"/>
    <w:rsid w:val="00594A07"/>
    <w:rsid w:val="00595FEE"/>
    <w:rsid w:val="005A0095"/>
    <w:rsid w:val="005A1B23"/>
    <w:rsid w:val="005A2B35"/>
    <w:rsid w:val="005A393B"/>
    <w:rsid w:val="005A7BDF"/>
    <w:rsid w:val="005A7EAF"/>
    <w:rsid w:val="005B0684"/>
    <w:rsid w:val="005B1BF7"/>
    <w:rsid w:val="005B359F"/>
    <w:rsid w:val="005B37F6"/>
    <w:rsid w:val="005B44BC"/>
    <w:rsid w:val="005B47AA"/>
    <w:rsid w:val="005C008E"/>
    <w:rsid w:val="005C1B38"/>
    <w:rsid w:val="005C50CA"/>
    <w:rsid w:val="005C5DF2"/>
    <w:rsid w:val="005C6C53"/>
    <w:rsid w:val="005C6C97"/>
    <w:rsid w:val="005D05B7"/>
    <w:rsid w:val="005D0819"/>
    <w:rsid w:val="005D1684"/>
    <w:rsid w:val="005D3551"/>
    <w:rsid w:val="005D4108"/>
    <w:rsid w:val="005D42E4"/>
    <w:rsid w:val="005D5A74"/>
    <w:rsid w:val="005D6D0C"/>
    <w:rsid w:val="005D7AB0"/>
    <w:rsid w:val="005E22D6"/>
    <w:rsid w:val="005E3172"/>
    <w:rsid w:val="005E74A8"/>
    <w:rsid w:val="005F410E"/>
    <w:rsid w:val="005F4C1B"/>
    <w:rsid w:val="005F5610"/>
    <w:rsid w:val="005F57EC"/>
    <w:rsid w:val="005F5825"/>
    <w:rsid w:val="005F645D"/>
    <w:rsid w:val="005F6B6C"/>
    <w:rsid w:val="006022A7"/>
    <w:rsid w:val="00602322"/>
    <w:rsid w:val="006068F3"/>
    <w:rsid w:val="00610938"/>
    <w:rsid w:val="0061134B"/>
    <w:rsid w:val="0061154C"/>
    <w:rsid w:val="00613FF1"/>
    <w:rsid w:val="00622B94"/>
    <w:rsid w:val="006242DA"/>
    <w:rsid w:val="00625BD7"/>
    <w:rsid w:val="00627550"/>
    <w:rsid w:val="00634343"/>
    <w:rsid w:val="006355A9"/>
    <w:rsid w:val="00636A46"/>
    <w:rsid w:val="006416D1"/>
    <w:rsid w:val="00643F37"/>
    <w:rsid w:val="00644A7C"/>
    <w:rsid w:val="00644F94"/>
    <w:rsid w:val="006451C7"/>
    <w:rsid w:val="006462C1"/>
    <w:rsid w:val="006464F7"/>
    <w:rsid w:val="00646918"/>
    <w:rsid w:val="00646930"/>
    <w:rsid w:val="00646F3B"/>
    <w:rsid w:val="00651620"/>
    <w:rsid w:val="0065165E"/>
    <w:rsid w:val="0065178D"/>
    <w:rsid w:val="00651D16"/>
    <w:rsid w:val="0065274C"/>
    <w:rsid w:val="00654335"/>
    <w:rsid w:val="00655A69"/>
    <w:rsid w:val="006562F4"/>
    <w:rsid w:val="006568B9"/>
    <w:rsid w:val="00656B14"/>
    <w:rsid w:val="00657052"/>
    <w:rsid w:val="00657A40"/>
    <w:rsid w:val="006601AC"/>
    <w:rsid w:val="0066037A"/>
    <w:rsid w:val="006620C9"/>
    <w:rsid w:val="00662D26"/>
    <w:rsid w:val="00663504"/>
    <w:rsid w:val="006637E5"/>
    <w:rsid w:val="00664D3C"/>
    <w:rsid w:val="006660C1"/>
    <w:rsid w:val="00666CC4"/>
    <w:rsid w:val="0066770E"/>
    <w:rsid w:val="00670D67"/>
    <w:rsid w:val="00670F43"/>
    <w:rsid w:val="0067592D"/>
    <w:rsid w:val="00676AB1"/>
    <w:rsid w:val="00685156"/>
    <w:rsid w:val="006855C8"/>
    <w:rsid w:val="00685C30"/>
    <w:rsid w:val="006877EF"/>
    <w:rsid w:val="00687F43"/>
    <w:rsid w:val="006921D0"/>
    <w:rsid w:val="006934CC"/>
    <w:rsid w:val="00694E37"/>
    <w:rsid w:val="00695DEF"/>
    <w:rsid w:val="006A128E"/>
    <w:rsid w:val="006A2A9B"/>
    <w:rsid w:val="006B0F73"/>
    <w:rsid w:val="006B124F"/>
    <w:rsid w:val="006B2578"/>
    <w:rsid w:val="006B46BB"/>
    <w:rsid w:val="006B5B6D"/>
    <w:rsid w:val="006B7102"/>
    <w:rsid w:val="006B779F"/>
    <w:rsid w:val="006B7CF3"/>
    <w:rsid w:val="006C0347"/>
    <w:rsid w:val="006C108E"/>
    <w:rsid w:val="006C1F57"/>
    <w:rsid w:val="006C5DAA"/>
    <w:rsid w:val="006C75CF"/>
    <w:rsid w:val="006D13AC"/>
    <w:rsid w:val="006D4EB8"/>
    <w:rsid w:val="006D5442"/>
    <w:rsid w:val="006D61C2"/>
    <w:rsid w:val="006D68F5"/>
    <w:rsid w:val="006D704B"/>
    <w:rsid w:val="006D7B24"/>
    <w:rsid w:val="006D7E60"/>
    <w:rsid w:val="006E18D4"/>
    <w:rsid w:val="006E3406"/>
    <w:rsid w:val="006E38A3"/>
    <w:rsid w:val="006E5EBE"/>
    <w:rsid w:val="006F005E"/>
    <w:rsid w:val="006F2298"/>
    <w:rsid w:val="006F4088"/>
    <w:rsid w:val="006F4222"/>
    <w:rsid w:val="006F7155"/>
    <w:rsid w:val="006F72FF"/>
    <w:rsid w:val="00701473"/>
    <w:rsid w:val="00701F4D"/>
    <w:rsid w:val="00704FEB"/>
    <w:rsid w:val="00706AAD"/>
    <w:rsid w:val="007071A6"/>
    <w:rsid w:val="007114C6"/>
    <w:rsid w:val="00712521"/>
    <w:rsid w:val="00713A2C"/>
    <w:rsid w:val="00716CC2"/>
    <w:rsid w:val="00717787"/>
    <w:rsid w:val="007239F4"/>
    <w:rsid w:val="00724A34"/>
    <w:rsid w:val="007269AC"/>
    <w:rsid w:val="007276F5"/>
    <w:rsid w:val="00727784"/>
    <w:rsid w:val="0073051B"/>
    <w:rsid w:val="0073170F"/>
    <w:rsid w:val="00731852"/>
    <w:rsid w:val="00732B7F"/>
    <w:rsid w:val="00734E9C"/>
    <w:rsid w:val="007353AB"/>
    <w:rsid w:val="0073583C"/>
    <w:rsid w:val="007375D5"/>
    <w:rsid w:val="0074062A"/>
    <w:rsid w:val="00741205"/>
    <w:rsid w:val="00741A94"/>
    <w:rsid w:val="00743D31"/>
    <w:rsid w:val="00743E79"/>
    <w:rsid w:val="0074542B"/>
    <w:rsid w:val="007467A0"/>
    <w:rsid w:val="0074702E"/>
    <w:rsid w:val="00747845"/>
    <w:rsid w:val="00747E94"/>
    <w:rsid w:val="00753018"/>
    <w:rsid w:val="007534CC"/>
    <w:rsid w:val="00753698"/>
    <w:rsid w:val="0075483B"/>
    <w:rsid w:val="00755E8D"/>
    <w:rsid w:val="00756E16"/>
    <w:rsid w:val="007613A8"/>
    <w:rsid w:val="00762A2F"/>
    <w:rsid w:val="00763042"/>
    <w:rsid w:val="00763418"/>
    <w:rsid w:val="0076459E"/>
    <w:rsid w:val="007655C8"/>
    <w:rsid w:val="00765F08"/>
    <w:rsid w:val="007661E3"/>
    <w:rsid w:val="00767545"/>
    <w:rsid w:val="00771F08"/>
    <w:rsid w:val="00774101"/>
    <w:rsid w:val="00776D8A"/>
    <w:rsid w:val="00777244"/>
    <w:rsid w:val="00780592"/>
    <w:rsid w:val="00782395"/>
    <w:rsid w:val="00783C3E"/>
    <w:rsid w:val="007846A6"/>
    <w:rsid w:val="00793743"/>
    <w:rsid w:val="007938B6"/>
    <w:rsid w:val="00797493"/>
    <w:rsid w:val="007975D5"/>
    <w:rsid w:val="00797B19"/>
    <w:rsid w:val="007A0ED9"/>
    <w:rsid w:val="007A1401"/>
    <w:rsid w:val="007A17D5"/>
    <w:rsid w:val="007A1F5D"/>
    <w:rsid w:val="007A30A5"/>
    <w:rsid w:val="007A4BB7"/>
    <w:rsid w:val="007A6137"/>
    <w:rsid w:val="007A69DC"/>
    <w:rsid w:val="007B0347"/>
    <w:rsid w:val="007B1EB3"/>
    <w:rsid w:val="007B58CB"/>
    <w:rsid w:val="007B6512"/>
    <w:rsid w:val="007B6C64"/>
    <w:rsid w:val="007C00EA"/>
    <w:rsid w:val="007C12A7"/>
    <w:rsid w:val="007C235B"/>
    <w:rsid w:val="007C667C"/>
    <w:rsid w:val="007C6FC3"/>
    <w:rsid w:val="007D450B"/>
    <w:rsid w:val="007D5E4B"/>
    <w:rsid w:val="007D7F12"/>
    <w:rsid w:val="007E0D51"/>
    <w:rsid w:val="007E275C"/>
    <w:rsid w:val="007E3B0B"/>
    <w:rsid w:val="007E6073"/>
    <w:rsid w:val="007E7C8C"/>
    <w:rsid w:val="007F0B8B"/>
    <w:rsid w:val="007F0ED4"/>
    <w:rsid w:val="007F39BC"/>
    <w:rsid w:val="00801648"/>
    <w:rsid w:val="008026CA"/>
    <w:rsid w:val="0080297F"/>
    <w:rsid w:val="00802A29"/>
    <w:rsid w:val="00803CC8"/>
    <w:rsid w:val="00803FA9"/>
    <w:rsid w:val="00806552"/>
    <w:rsid w:val="00807154"/>
    <w:rsid w:val="0080789D"/>
    <w:rsid w:val="008121B6"/>
    <w:rsid w:val="00813AF1"/>
    <w:rsid w:val="00813E8D"/>
    <w:rsid w:val="008149FC"/>
    <w:rsid w:val="00814AB0"/>
    <w:rsid w:val="008163D5"/>
    <w:rsid w:val="00817069"/>
    <w:rsid w:val="008177CB"/>
    <w:rsid w:val="008210FE"/>
    <w:rsid w:val="00821BDA"/>
    <w:rsid w:val="00822F9D"/>
    <w:rsid w:val="00822FBD"/>
    <w:rsid w:val="00824879"/>
    <w:rsid w:val="0082704A"/>
    <w:rsid w:val="008274CD"/>
    <w:rsid w:val="00827A31"/>
    <w:rsid w:val="00831EB8"/>
    <w:rsid w:val="00832617"/>
    <w:rsid w:val="00835C1A"/>
    <w:rsid w:val="008360CB"/>
    <w:rsid w:val="008406D6"/>
    <w:rsid w:val="00844996"/>
    <w:rsid w:val="00845BDA"/>
    <w:rsid w:val="00845FD2"/>
    <w:rsid w:val="00846654"/>
    <w:rsid w:val="00850B55"/>
    <w:rsid w:val="00851B88"/>
    <w:rsid w:val="00851CCD"/>
    <w:rsid w:val="00853298"/>
    <w:rsid w:val="008533E3"/>
    <w:rsid w:val="00854D97"/>
    <w:rsid w:val="00857220"/>
    <w:rsid w:val="0086199C"/>
    <w:rsid w:val="008642C1"/>
    <w:rsid w:val="0086485E"/>
    <w:rsid w:val="0086595F"/>
    <w:rsid w:val="00865ACA"/>
    <w:rsid w:val="00866E88"/>
    <w:rsid w:val="008701A5"/>
    <w:rsid w:val="00870BB8"/>
    <w:rsid w:val="008724EF"/>
    <w:rsid w:val="0087366D"/>
    <w:rsid w:val="008765E1"/>
    <w:rsid w:val="008811FE"/>
    <w:rsid w:val="008822C1"/>
    <w:rsid w:val="008907B9"/>
    <w:rsid w:val="00897CE8"/>
    <w:rsid w:val="008A0533"/>
    <w:rsid w:val="008A3603"/>
    <w:rsid w:val="008A5413"/>
    <w:rsid w:val="008A54FE"/>
    <w:rsid w:val="008A79BA"/>
    <w:rsid w:val="008B0062"/>
    <w:rsid w:val="008B09AF"/>
    <w:rsid w:val="008B1276"/>
    <w:rsid w:val="008B17D2"/>
    <w:rsid w:val="008B2EA7"/>
    <w:rsid w:val="008B3917"/>
    <w:rsid w:val="008B567C"/>
    <w:rsid w:val="008B6528"/>
    <w:rsid w:val="008B6712"/>
    <w:rsid w:val="008B69BD"/>
    <w:rsid w:val="008B6B6B"/>
    <w:rsid w:val="008C0014"/>
    <w:rsid w:val="008C1A77"/>
    <w:rsid w:val="008C1DA1"/>
    <w:rsid w:val="008C1FA3"/>
    <w:rsid w:val="008C27CF"/>
    <w:rsid w:val="008C2DEA"/>
    <w:rsid w:val="008C3B1C"/>
    <w:rsid w:val="008C3FFD"/>
    <w:rsid w:val="008C707F"/>
    <w:rsid w:val="008C7616"/>
    <w:rsid w:val="008D1D4E"/>
    <w:rsid w:val="008D2B11"/>
    <w:rsid w:val="008D3831"/>
    <w:rsid w:val="008D3C3C"/>
    <w:rsid w:val="008D5169"/>
    <w:rsid w:val="008D5811"/>
    <w:rsid w:val="008D69F9"/>
    <w:rsid w:val="008E0AFA"/>
    <w:rsid w:val="008E0EA3"/>
    <w:rsid w:val="008E18ED"/>
    <w:rsid w:val="008E4C6E"/>
    <w:rsid w:val="008E6A2D"/>
    <w:rsid w:val="008E6E77"/>
    <w:rsid w:val="008F2106"/>
    <w:rsid w:val="008F523A"/>
    <w:rsid w:val="008F5DA7"/>
    <w:rsid w:val="00901337"/>
    <w:rsid w:val="009019F3"/>
    <w:rsid w:val="00901C63"/>
    <w:rsid w:val="009059A1"/>
    <w:rsid w:val="00914D93"/>
    <w:rsid w:val="00916040"/>
    <w:rsid w:val="009175BE"/>
    <w:rsid w:val="00917D32"/>
    <w:rsid w:val="009203BB"/>
    <w:rsid w:val="00922ECD"/>
    <w:rsid w:val="009235A9"/>
    <w:rsid w:val="00923FD5"/>
    <w:rsid w:val="00926891"/>
    <w:rsid w:val="009301E3"/>
    <w:rsid w:val="00930CAA"/>
    <w:rsid w:val="00931938"/>
    <w:rsid w:val="00933D5F"/>
    <w:rsid w:val="00934CFE"/>
    <w:rsid w:val="00936831"/>
    <w:rsid w:val="0094139B"/>
    <w:rsid w:val="009445D3"/>
    <w:rsid w:val="009449D2"/>
    <w:rsid w:val="00951092"/>
    <w:rsid w:val="00951E78"/>
    <w:rsid w:val="009522A3"/>
    <w:rsid w:val="00953527"/>
    <w:rsid w:val="00954BF4"/>
    <w:rsid w:val="00955CA3"/>
    <w:rsid w:val="00956BC7"/>
    <w:rsid w:val="00957C72"/>
    <w:rsid w:val="00957DE6"/>
    <w:rsid w:val="00960237"/>
    <w:rsid w:val="00961284"/>
    <w:rsid w:val="009633AC"/>
    <w:rsid w:val="00963D5A"/>
    <w:rsid w:val="00965828"/>
    <w:rsid w:val="00965B07"/>
    <w:rsid w:val="009703F6"/>
    <w:rsid w:val="00970625"/>
    <w:rsid w:val="00975391"/>
    <w:rsid w:val="0097637E"/>
    <w:rsid w:val="0098010E"/>
    <w:rsid w:val="00983884"/>
    <w:rsid w:val="00984ECC"/>
    <w:rsid w:val="00985EA9"/>
    <w:rsid w:val="009869A3"/>
    <w:rsid w:val="009873B0"/>
    <w:rsid w:val="00992545"/>
    <w:rsid w:val="00992ED0"/>
    <w:rsid w:val="00993DB9"/>
    <w:rsid w:val="00994460"/>
    <w:rsid w:val="00995020"/>
    <w:rsid w:val="0099631F"/>
    <w:rsid w:val="0099705B"/>
    <w:rsid w:val="00997507"/>
    <w:rsid w:val="009977F2"/>
    <w:rsid w:val="009A099C"/>
    <w:rsid w:val="009A2865"/>
    <w:rsid w:val="009A37BF"/>
    <w:rsid w:val="009A3897"/>
    <w:rsid w:val="009A403C"/>
    <w:rsid w:val="009A42BD"/>
    <w:rsid w:val="009A7177"/>
    <w:rsid w:val="009B4CDA"/>
    <w:rsid w:val="009B56CB"/>
    <w:rsid w:val="009B5732"/>
    <w:rsid w:val="009B66E0"/>
    <w:rsid w:val="009C09F8"/>
    <w:rsid w:val="009C1FED"/>
    <w:rsid w:val="009C3CED"/>
    <w:rsid w:val="009C5236"/>
    <w:rsid w:val="009C5F6A"/>
    <w:rsid w:val="009C7849"/>
    <w:rsid w:val="009C79F4"/>
    <w:rsid w:val="009C7F10"/>
    <w:rsid w:val="009D2EDE"/>
    <w:rsid w:val="009D2F1B"/>
    <w:rsid w:val="009D4210"/>
    <w:rsid w:val="009D4AC4"/>
    <w:rsid w:val="009D7FB0"/>
    <w:rsid w:val="009E1FF3"/>
    <w:rsid w:val="009E2072"/>
    <w:rsid w:val="009E2DA6"/>
    <w:rsid w:val="009E2FDE"/>
    <w:rsid w:val="009E5728"/>
    <w:rsid w:val="009E6AAA"/>
    <w:rsid w:val="009E72BA"/>
    <w:rsid w:val="009E7950"/>
    <w:rsid w:val="009F355B"/>
    <w:rsid w:val="009F41F0"/>
    <w:rsid w:val="009F4391"/>
    <w:rsid w:val="009F5A77"/>
    <w:rsid w:val="009F6A39"/>
    <w:rsid w:val="009F71C4"/>
    <w:rsid w:val="00A00D72"/>
    <w:rsid w:val="00A01F9D"/>
    <w:rsid w:val="00A02D24"/>
    <w:rsid w:val="00A05AB5"/>
    <w:rsid w:val="00A13206"/>
    <w:rsid w:val="00A1375C"/>
    <w:rsid w:val="00A143D3"/>
    <w:rsid w:val="00A14B51"/>
    <w:rsid w:val="00A157D0"/>
    <w:rsid w:val="00A172F2"/>
    <w:rsid w:val="00A1784A"/>
    <w:rsid w:val="00A17FFC"/>
    <w:rsid w:val="00A22124"/>
    <w:rsid w:val="00A24BEA"/>
    <w:rsid w:val="00A25DA0"/>
    <w:rsid w:val="00A26F22"/>
    <w:rsid w:val="00A27A89"/>
    <w:rsid w:val="00A3043A"/>
    <w:rsid w:val="00A3330F"/>
    <w:rsid w:val="00A338B9"/>
    <w:rsid w:val="00A33933"/>
    <w:rsid w:val="00A354D3"/>
    <w:rsid w:val="00A3580F"/>
    <w:rsid w:val="00A36126"/>
    <w:rsid w:val="00A3672B"/>
    <w:rsid w:val="00A406AD"/>
    <w:rsid w:val="00A420CD"/>
    <w:rsid w:val="00A4469D"/>
    <w:rsid w:val="00A453B6"/>
    <w:rsid w:val="00A526E0"/>
    <w:rsid w:val="00A52ED7"/>
    <w:rsid w:val="00A55F00"/>
    <w:rsid w:val="00A611D1"/>
    <w:rsid w:val="00A66C10"/>
    <w:rsid w:val="00A713B2"/>
    <w:rsid w:val="00A716A3"/>
    <w:rsid w:val="00A71E99"/>
    <w:rsid w:val="00A722FC"/>
    <w:rsid w:val="00A72706"/>
    <w:rsid w:val="00A80A32"/>
    <w:rsid w:val="00A84259"/>
    <w:rsid w:val="00A85F3E"/>
    <w:rsid w:val="00A8709D"/>
    <w:rsid w:val="00A87709"/>
    <w:rsid w:val="00A90900"/>
    <w:rsid w:val="00A92B42"/>
    <w:rsid w:val="00A92F37"/>
    <w:rsid w:val="00A93D1E"/>
    <w:rsid w:val="00A9577C"/>
    <w:rsid w:val="00A96DFB"/>
    <w:rsid w:val="00AA267D"/>
    <w:rsid w:val="00AA27C6"/>
    <w:rsid w:val="00AA3829"/>
    <w:rsid w:val="00AA4B5A"/>
    <w:rsid w:val="00AA50EF"/>
    <w:rsid w:val="00AA6118"/>
    <w:rsid w:val="00AA7A7C"/>
    <w:rsid w:val="00AB1E6B"/>
    <w:rsid w:val="00AB439F"/>
    <w:rsid w:val="00AB48EA"/>
    <w:rsid w:val="00AB4D1D"/>
    <w:rsid w:val="00AB539B"/>
    <w:rsid w:val="00AB5F4A"/>
    <w:rsid w:val="00AB6D67"/>
    <w:rsid w:val="00AB6F8B"/>
    <w:rsid w:val="00AC04ED"/>
    <w:rsid w:val="00AC067E"/>
    <w:rsid w:val="00AC06D9"/>
    <w:rsid w:val="00AC0A33"/>
    <w:rsid w:val="00AC0D3B"/>
    <w:rsid w:val="00AC2A1C"/>
    <w:rsid w:val="00AD1528"/>
    <w:rsid w:val="00AD5857"/>
    <w:rsid w:val="00AD5A3F"/>
    <w:rsid w:val="00AD6158"/>
    <w:rsid w:val="00AE25AC"/>
    <w:rsid w:val="00AE3016"/>
    <w:rsid w:val="00AE57E0"/>
    <w:rsid w:val="00AE6740"/>
    <w:rsid w:val="00AF04B6"/>
    <w:rsid w:val="00AF3549"/>
    <w:rsid w:val="00AF488C"/>
    <w:rsid w:val="00AF5424"/>
    <w:rsid w:val="00AF7101"/>
    <w:rsid w:val="00B00776"/>
    <w:rsid w:val="00B01082"/>
    <w:rsid w:val="00B027D5"/>
    <w:rsid w:val="00B070A9"/>
    <w:rsid w:val="00B12A34"/>
    <w:rsid w:val="00B14BAA"/>
    <w:rsid w:val="00B1568A"/>
    <w:rsid w:val="00B16881"/>
    <w:rsid w:val="00B170C0"/>
    <w:rsid w:val="00B17B66"/>
    <w:rsid w:val="00B20D14"/>
    <w:rsid w:val="00B21E2A"/>
    <w:rsid w:val="00B22679"/>
    <w:rsid w:val="00B231DD"/>
    <w:rsid w:val="00B23B0E"/>
    <w:rsid w:val="00B2459F"/>
    <w:rsid w:val="00B25BB0"/>
    <w:rsid w:val="00B27496"/>
    <w:rsid w:val="00B30B20"/>
    <w:rsid w:val="00B313CB"/>
    <w:rsid w:val="00B319CC"/>
    <w:rsid w:val="00B326FF"/>
    <w:rsid w:val="00B32B69"/>
    <w:rsid w:val="00B32DCC"/>
    <w:rsid w:val="00B32FB6"/>
    <w:rsid w:val="00B35610"/>
    <w:rsid w:val="00B36CCB"/>
    <w:rsid w:val="00B37519"/>
    <w:rsid w:val="00B4126E"/>
    <w:rsid w:val="00B420A9"/>
    <w:rsid w:val="00B423FF"/>
    <w:rsid w:val="00B42C48"/>
    <w:rsid w:val="00B42F0F"/>
    <w:rsid w:val="00B51184"/>
    <w:rsid w:val="00B5406D"/>
    <w:rsid w:val="00B54C69"/>
    <w:rsid w:val="00B56660"/>
    <w:rsid w:val="00B56DC0"/>
    <w:rsid w:val="00B61AAF"/>
    <w:rsid w:val="00B64CBB"/>
    <w:rsid w:val="00B65331"/>
    <w:rsid w:val="00B65A85"/>
    <w:rsid w:val="00B671A3"/>
    <w:rsid w:val="00B67E8C"/>
    <w:rsid w:val="00B70050"/>
    <w:rsid w:val="00B702D2"/>
    <w:rsid w:val="00B71433"/>
    <w:rsid w:val="00B72C22"/>
    <w:rsid w:val="00B735A2"/>
    <w:rsid w:val="00B74BD9"/>
    <w:rsid w:val="00B751A2"/>
    <w:rsid w:val="00B761A3"/>
    <w:rsid w:val="00B76A0E"/>
    <w:rsid w:val="00B77D58"/>
    <w:rsid w:val="00B835AB"/>
    <w:rsid w:val="00B844EB"/>
    <w:rsid w:val="00B86789"/>
    <w:rsid w:val="00B877BA"/>
    <w:rsid w:val="00B87FE6"/>
    <w:rsid w:val="00B90D9B"/>
    <w:rsid w:val="00B91293"/>
    <w:rsid w:val="00B94442"/>
    <w:rsid w:val="00B96E81"/>
    <w:rsid w:val="00BA0F9D"/>
    <w:rsid w:val="00BA4E2B"/>
    <w:rsid w:val="00BA5AE7"/>
    <w:rsid w:val="00BB0017"/>
    <w:rsid w:val="00BB00D1"/>
    <w:rsid w:val="00BB0A3F"/>
    <w:rsid w:val="00BB2741"/>
    <w:rsid w:val="00BB3342"/>
    <w:rsid w:val="00BB405E"/>
    <w:rsid w:val="00BB49AA"/>
    <w:rsid w:val="00BB514B"/>
    <w:rsid w:val="00BB6825"/>
    <w:rsid w:val="00BB6C9B"/>
    <w:rsid w:val="00BB78AD"/>
    <w:rsid w:val="00BC1485"/>
    <w:rsid w:val="00BC3B21"/>
    <w:rsid w:val="00BC58D3"/>
    <w:rsid w:val="00BC66AF"/>
    <w:rsid w:val="00BC7CBA"/>
    <w:rsid w:val="00BD0CA7"/>
    <w:rsid w:val="00BD2115"/>
    <w:rsid w:val="00BD49F5"/>
    <w:rsid w:val="00BE18DD"/>
    <w:rsid w:val="00BE1984"/>
    <w:rsid w:val="00BE1D5B"/>
    <w:rsid w:val="00BE3C4B"/>
    <w:rsid w:val="00BE4076"/>
    <w:rsid w:val="00BE4984"/>
    <w:rsid w:val="00BF054A"/>
    <w:rsid w:val="00BF262F"/>
    <w:rsid w:val="00BF4E19"/>
    <w:rsid w:val="00BF558F"/>
    <w:rsid w:val="00C00412"/>
    <w:rsid w:val="00C00895"/>
    <w:rsid w:val="00C0092F"/>
    <w:rsid w:val="00C01A05"/>
    <w:rsid w:val="00C01B3E"/>
    <w:rsid w:val="00C027BC"/>
    <w:rsid w:val="00C032C2"/>
    <w:rsid w:val="00C033E2"/>
    <w:rsid w:val="00C03A95"/>
    <w:rsid w:val="00C05ECC"/>
    <w:rsid w:val="00C0644E"/>
    <w:rsid w:val="00C06F6F"/>
    <w:rsid w:val="00C07171"/>
    <w:rsid w:val="00C07B05"/>
    <w:rsid w:val="00C07C14"/>
    <w:rsid w:val="00C103E4"/>
    <w:rsid w:val="00C10EA1"/>
    <w:rsid w:val="00C12147"/>
    <w:rsid w:val="00C145BC"/>
    <w:rsid w:val="00C14E88"/>
    <w:rsid w:val="00C15975"/>
    <w:rsid w:val="00C212D8"/>
    <w:rsid w:val="00C255CD"/>
    <w:rsid w:val="00C25B4D"/>
    <w:rsid w:val="00C31249"/>
    <w:rsid w:val="00C31422"/>
    <w:rsid w:val="00C31A45"/>
    <w:rsid w:val="00C32719"/>
    <w:rsid w:val="00C327B4"/>
    <w:rsid w:val="00C34075"/>
    <w:rsid w:val="00C34A32"/>
    <w:rsid w:val="00C35035"/>
    <w:rsid w:val="00C35EEA"/>
    <w:rsid w:val="00C36C22"/>
    <w:rsid w:val="00C373B6"/>
    <w:rsid w:val="00C37DF6"/>
    <w:rsid w:val="00C409A3"/>
    <w:rsid w:val="00C419D3"/>
    <w:rsid w:val="00C41AEF"/>
    <w:rsid w:val="00C44136"/>
    <w:rsid w:val="00C453DF"/>
    <w:rsid w:val="00C55440"/>
    <w:rsid w:val="00C57A48"/>
    <w:rsid w:val="00C61DF8"/>
    <w:rsid w:val="00C62DC8"/>
    <w:rsid w:val="00C635EC"/>
    <w:rsid w:val="00C666A4"/>
    <w:rsid w:val="00C72009"/>
    <w:rsid w:val="00C7401B"/>
    <w:rsid w:val="00C74A0D"/>
    <w:rsid w:val="00C74FB3"/>
    <w:rsid w:val="00C76147"/>
    <w:rsid w:val="00C76608"/>
    <w:rsid w:val="00C76F5B"/>
    <w:rsid w:val="00C80BBE"/>
    <w:rsid w:val="00C82368"/>
    <w:rsid w:val="00C83B70"/>
    <w:rsid w:val="00C86AB1"/>
    <w:rsid w:val="00C902EC"/>
    <w:rsid w:val="00C92B28"/>
    <w:rsid w:val="00C93235"/>
    <w:rsid w:val="00C94263"/>
    <w:rsid w:val="00C951B9"/>
    <w:rsid w:val="00C96AB9"/>
    <w:rsid w:val="00C96E65"/>
    <w:rsid w:val="00C978CD"/>
    <w:rsid w:val="00CA0446"/>
    <w:rsid w:val="00CA0D5D"/>
    <w:rsid w:val="00CA1E6E"/>
    <w:rsid w:val="00CA2F51"/>
    <w:rsid w:val="00CA3463"/>
    <w:rsid w:val="00CA37DF"/>
    <w:rsid w:val="00CA5B2D"/>
    <w:rsid w:val="00CA5C42"/>
    <w:rsid w:val="00CA6680"/>
    <w:rsid w:val="00CB047E"/>
    <w:rsid w:val="00CB0EDE"/>
    <w:rsid w:val="00CB1114"/>
    <w:rsid w:val="00CC0E70"/>
    <w:rsid w:val="00CC58F3"/>
    <w:rsid w:val="00CD09AB"/>
    <w:rsid w:val="00CD3B98"/>
    <w:rsid w:val="00CD43F9"/>
    <w:rsid w:val="00CD6175"/>
    <w:rsid w:val="00CD68E5"/>
    <w:rsid w:val="00CD7294"/>
    <w:rsid w:val="00CD74C4"/>
    <w:rsid w:val="00CD7C74"/>
    <w:rsid w:val="00CD7E64"/>
    <w:rsid w:val="00CE38D9"/>
    <w:rsid w:val="00CE71FC"/>
    <w:rsid w:val="00CE73A2"/>
    <w:rsid w:val="00CF0D90"/>
    <w:rsid w:val="00CF37DA"/>
    <w:rsid w:val="00CF569B"/>
    <w:rsid w:val="00CF5E83"/>
    <w:rsid w:val="00CF7426"/>
    <w:rsid w:val="00D00D1E"/>
    <w:rsid w:val="00D01F17"/>
    <w:rsid w:val="00D02561"/>
    <w:rsid w:val="00D04834"/>
    <w:rsid w:val="00D05F8F"/>
    <w:rsid w:val="00D06D13"/>
    <w:rsid w:val="00D11511"/>
    <w:rsid w:val="00D11A95"/>
    <w:rsid w:val="00D1311D"/>
    <w:rsid w:val="00D140C1"/>
    <w:rsid w:val="00D17FB5"/>
    <w:rsid w:val="00D203E6"/>
    <w:rsid w:val="00D20675"/>
    <w:rsid w:val="00D20A6B"/>
    <w:rsid w:val="00D2502E"/>
    <w:rsid w:val="00D25268"/>
    <w:rsid w:val="00D253A4"/>
    <w:rsid w:val="00D30451"/>
    <w:rsid w:val="00D31089"/>
    <w:rsid w:val="00D310B4"/>
    <w:rsid w:val="00D32CA2"/>
    <w:rsid w:val="00D3472F"/>
    <w:rsid w:val="00D37CB8"/>
    <w:rsid w:val="00D40172"/>
    <w:rsid w:val="00D40A47"/>
    <w:rsid w:val="00D413C0"/>
    <w:rsid w:val="00D42EE5"/>
    <w:rsid w:val="00D45207"/>
    <w:rsid w:val="00D46F6F"/>
    <w:rsid w:val="00D4791D"/>
    <w:rsid w:val="00D52475"/>
    <w:rsid w:val="00D52BFE"/>
    <w:rsid w:val="00D53515"/>
    <w:rsid w:val="00D5414D"/>
    <w:rsid w:val="00D57385"/>
    <w:rsid w:val="00D574FD"/>
    <w:rsid w:val="00D604CD"/>
    <w:rsid w:val="00D611E5"/>
    <w:rsid w:val="00D63764"/>
    <w:rsid w:val="00D643A7"/>
    <w:rsid w:val="00D64F28"/>
    <w:rsid w:val="00D67213"/>
    <w:rsid w:val="00D67854"/>
    <w:rsid w:val="00D71B9E"/>
    <w:rsid w:val="00D72646"/>
    <w:rsid w:val="00D729DF"/>
    <w:rsid w:val="00D73085"/>
    <w:rsid w:val="00D74D85"/>
    <w:rsid w:val="00D7595E"/>
    <w:rsid w:val="00D76C7A"/>
    <w:rsid w:val="00D800D2"/>
    <w:rsid w:val="00D8271D"/>
    <w:rsid w:val="00D84C89"/>
    <w:rsid w:val="00D8621D"/>
    <w:rsid w:val="00D905EA"/>
    <w:rsid w:val="00D924FC"/>
    <w:rsid w:val="00D93378"/>
    <w:rsid w:val="00D9714C"/>
    <w:rsid w:val="00D97454"/>
    <w:rsid w:val="00DA0436"/>
    <w:rsid w:val="00DA0CEE"/>
    <w:rsid w:val="00DA22A9"/>
    <w:rsid w:val="00DA2C8D"/>
    <w:rsid w:val="00DB1AA6"/>
    <w:rsid w:val="00DB1FA5"/>
    <w:rsid w:val="00DB24D0"/>
    <w:rsid w:val="00DB7F33"/>
    <w:rsid w:val="00DC312D"/>
    <w:rsid w:val="00DC48A9"/>
    <w:rsid w:val="00DC7272"/>
    <w:rsid w:val="00DC7DB8"/>
    <w:rsid w:val="00DD0CE1"/>
    <w:rsid w:val="00DD2506"/>
    <w:rsid w:val="00DD2EA2"/>
    <w:rsid w:val="00DD2F66"/>
    <w:rsid w:val="00DD33EC"/>
    <w:rsid w:val="00DD3719"/>
    <w:rsid w:val="00DD3809"/>
    <w:rsid w:val="00DD54CD"/>
    <w:rsid w:val="00DD7095"/>
    <w:rsid w:val="00DE0E10"/>
    <w:rsid w:val="00DE11CB"/>
    <w:rsid w:val="00DE1E42"/>
    <w:rsid w:val="00DE366A"/>
    <w:rsid w:val="00DE788F"/>
    <w:rsid w:val="00DF05E6"/>
    <w:rsid w:val="00DF2034"/>
    <w:rsid w:val="00DF45C0"/>
    <w:rsid w:val="00DF77DE"/>
    <w:rsid w:val="00E0126D"/>
    <w:rsid w:val="00E07CC0"/>
    <w:rsid w:val="00E10FA5"/>
    <w:rsid w:val="00E112B8"/>
    <w:rsid w:val="00E12532"/>
    <w:rsid w:val="00E12FE6"/>
    <w:rsid w:val="00E1402A"/>
    <w:rsid w:val="00E141D8"/>
    <w:rsid w:val="00E16312"/>
    <w:rsid w:val="00E201B8"/>
    <w:rsid w:val="00E21163"/>
    <w:rsid w:val="00E21184"/>
    <w:rsid w:val="00E2281B"/>
    <w:rsid w:val="00E246FC"/>
    <w:rsid w:val="00E24DE2"/>
    <w:rsid w:val="00E3253A"/>
    <w:rsid w:val="00E3555E"/>
    <w:rsid w:val="00E3614F"/>
    <w:rsid w:val="00E43437"/>
    <w:rsid w:val="00E43AB1"/>
    <w:rsid w:val="00E50EC6"/>
    <w:rsid w:val="00E54DA8"/>
    <w:rsid w:val="00E56506"/>
    <w:rsid w:val="00E56BA9"/>
    <w:rsid w:val="00E57E03"/>
    <w:rsid w:val="00E60472"/>
    <w:rsid w:val="00E60B12"/>
    <w:rsid w:val="00E615E1"/>
    <w:rsid w:val="00E63C31"/>
    <w:rsid w:val="00E64FAB"/>
    <w:rsid w:val="00E650B9"/>
    <w:rsid w:val="00E658CA"/>
    <w:rsid w:val="00E66AED"/>
    <w:rsid w:val="00E67722"/>
    <w:rsid w:val="00E67CD9"/>
    <w:rsid w:val="00E7122A"/>
    <w:rsid w:val="00E73331"/>
    <w:rsid w:val="00E751E3"/>
    <w:rsid w:val="00E82C47"/>
    <w:rsid w:val="00E832B7"/>
    <w:rsid w:val="00E83B3B"/>
    <w:rsid w:val="00E86E3F"/>
    <w:rsid w:val="00E871C8"/>
    <w:rsid w:val="00E908B8"/>
    <w:rsid w:val="00E93EE6"/>
    <w:rsid w:val="00E95971"/>
    <w:rsid w:val="00E96572"/>
    <w:rsid w:val="00EA5631"/>
    <w:rsid w:val="00EA73FC"/>
    <w:rsid w:val="00EB1880"/>
    <w:rsid w:val="00EB245F"/>
    <w:rsid w:val="00EB247C"/>
    <w:rsid w:val="00EB74FC"/>
    <w:rsid w:val="00EC40F0"/>
    <w:rsid w:val="00EC7C14"/>
    <w:rsid w:val="00ED0AD1"/>
    <w:rsid w:val="00ED1DCB"/>
    <w:rsid w:val="00ED23B2"/>
    <w:rsid w:val="00ED2447"/>
    <w:rsid w:val="00ED5B6F"/>
    <w:rsid w:val="00ED5CBA"/>
    <w:rsid w:val="00ED7217"/>
    <w:rsid w:val="00EE08CB"/>
    <w:rsid w:val="00EE124F"/>
    <w:rsid w:val="00EE5877"/>
    <w:rsid w:val="00EE62B0"/>
    <w:rsid w:val="00EF27FA"/>
    <w:rsid w:val="00EF2DED"/>
    <w:rsid w:val="00EF7212"/>
    <w:rsid w:val="00EF7BCB"/>
    <w:rsid w:val="00F011EC"/>
    <w:rsid w:val="00F03056"/>
    <w:rsid w:val="00F033DA"/>
    <w:rsid w:val="00F0356E"/>
    <w:rsid w:val="00F03B88"/>
    <w:rsid w:val="00F074F3"/>
    <w:rsid w:val="00F12587"/>
    <w:rsid w:val="00F1378F"/>
    <w:rsid w:val="00F13A48"/>
    <w:rsid w:val="00F15F7A"/>
    <w:rsid w:val="00F200E9"/>
    <w:rsid w:val="00F22707"/>
    <w:rsid w:val="00F23468"/>
    <w:rsid w:val="00F3045E"/>
    <w:rsid w:val="00F32791"/>
    <w:rsid w:val="00F32FAC"/>
    <w:rsid w:val="00F342FA"/>
    <w:rsid w:val="00F35E72"/>
    <w:rsid w:val="00F36F6B"/>
    <w:rsid w:val="00F4035C"/>
    <w:rsid w:val="00F4102C"/>
    <w:rsid w:val="00F415A4"/>
    <w:rsid w:val="00F416C3"/>
    <w:rsid w:val="00F428A9"/>
    <w:rsid w:val="00F540EB"/>
    <w:rsid w:val="00F54F6C"/>
    <w:rsid w:val="00F55A62"/>
    <w:rsid w:val="00F57231"/>
    <w:rsid w:val="00F60070"/>
    <w:rsid w:val="00F60574"/>
    <w:rsid w:val="00F61F0F"/>
    <w:rsid w:val="00F63BDD"/>
    <w:rsid w:val="00F64FA8"/>
    <w:rsid w:val="00F65DBF"/>
    <w:rsid w:val="00F678FE"/>
    <w:rsid w:val="00F7129C"/>
    <w:rsid w:val="00F71BC1"/>
    <w:rsid w:val="00F72087"/>
    <w:rsid w:val="00F72513"/>
    <w:rsid w:val="00F75EC2"/>
    <w:rsid w:val="00F776AC"/>
    <w:rsid w:val="00F7778A"/>
    <w:rsid w:val="00F800F8"/>
    <w:rsid w:val="00F81992"/>
    <w:rsid w:val="00F820D9"/>
    <w:rsid w:val="00F82E00"/>
    <w:rsid w:val="00F84D72"/>
    <w:rsid w:val="00F852DD"/>
    <w:rsid w:val="00F8648D"/>
    <w:rsid w:val="00F90D5F"/>
    <w:rsid w:val="00F924D1"/>
    <w:rsid w:val="00F92E93"/>
    <w:rsid w:val="00F9481D"/>
    <w:rsid w:val="00F94D15"/>
    <w:rsid w:val="00F9533D"/>
    <w:rsid w:val="00F95AE4"/>
    <w:rsid w:val="00F96D14"/>
    <w:rsid w:val="00F97024"/>
    <w:rsid w:val="00F978B2"/>
    <w:rsid w:val="00FA16CE"/>
    <w:rsid w:val="00FA29D1"/>
    <w:rsid w:val="00FA392C"/>
    <w:rsid w:val="00FA447F"/>
    <w:rsid w:val="00FA56FC"/>
    <w:rsid w:val="00FA6273"/>
    <w:rsid w:val="00FA71F5"/>
    <w:rsid w:val="00FB2956"/>
    <w:rsid w:val="00FB3385"/>
    <w:rsid w:val="00FB4714"/>
    <w:rsid w:val="00FB4B90"/>
    <w:rsid w:val="00FB5F03"/>
    <w:rsid w:val="00FC159F"/>
    <w:rsid w:val="00FC18E4"/>
    <w:rsid w:val="00FC30DB"/>
    <w:rsid w:val="00FC4475"/>
    <w:rsid w:val="00FC4652"/>
    <w:rsid w:val="00FD1061"/>
    <w:rsid w:val="00FD1753"/>
    <w:rsid w:val="00FD2CCF"/>
    <w:rsid w:val="00FD37C9"/>
    <w:rsid w:val="00FD3D07"/>
    <w:rsid w:val="00FD3E0D"/>
    <w:rsid w:val="00FD6272"/>
    <w:rsid w:val="00FE1334"/>
    <w:rsid w:val="00FE25ED"/>
    <w:rsid w:val="00FE54EC"/>
    <w:rsid w:val="00FE58C1"/>
    <w:rsid w:val="00FE603A"/>
    <w:rsid w:val="00FF092C"/>
    <w:rsid w:val="00FF2DDD"/>
    <w:rsid w:val="00FF387A"/>
    <w:rsid w:val="00FF3DC0"/>
    <w:rsid w:val="00FF4AF3"/>
    <w:rsid w:val="00FF5FA3"/>
    <w:rsid w:val="00FF772E"/>
    <w:rsid w:val="00FF7A9A"/>
    <w:rsid w:val="00FF7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7185"/>
    <o:shapelayout v:ext="edit">
      <o:idmap v:ext="edit" data="1"/>
    </o:shapelayout>
  </w:shapeDefaults>
  <w:decimalSymbol w:val=","/>
  <w:listSeparator w:val=";"/>
  <w14:docId w14:val="04D1F0A3"/>
  <w15:docId w15:val="{DA2D38CE-0E96-4693-BB55-1D2700A5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E4"/>
    <w:rPr>
      <w:rFonts w:ascii="Arial" w:hAnsi="Arial"/>
      <w:sz w:val="18"/>
    </w:rPr>
  </w:style>
  <w:style w:type="paragraph" w:styleId="Ttulo1">
    <w:name w:val="heading 1"/>
    <w:basedOn w:val="Normal"/>
    <w:next w:val="Normal"/>
    <w:link w:val="Ttulo1Char"/>
    <w:autoRedefine/>
    <w:uiPriority w:val="9"/>
    <w:qFormat/>
    <w:rsid w:val="00FC4475"/>
    <w:pPr>
      <w:spacing w:before="120" w:after="120"/>
      <w:outlineLvl w:val="0"/>
    </w:pPr>
    <w:rPr>
      <w:rFonts w:eastAsia="Times New Roman" w:cs="Arial"/>
      <w:b/>
      <w:bCs/>
      <w:color w:val="1F4E79" w:themeColor="accent1" w:themeShade="80"/>
      <w:sz w:val="20"/>
      <w:szCs w:val="20"/>
      <w:lang w:val="en-US" w:eastAsia="pt-BR"/>
    </w:rPr>
  </w:style>
  <w:style w:type="paragraph" w:styleId="Ttulo2">
    <w:name w:val="heading 2"/>
    <w:basedOn w:val="Normal"/>
    <w:next w:val="Normal"/>
    <w:link w:val="Ttulo2Char"/>
    <w:uiPriority w:val="9"/>
    <w:unhideWhenUsed/>
    <w:qFormat/>
    <w:rsid w:val="007E60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C74A0D"/>
    <w:pPr>
      <w:keepNext/>
      <w:spacing w:after="0" w:line="240" w:lineRule="auto"/>
      <w:ind w:right="418"/>
      <w:jc w:val="both"/>
      <w:outlineLvl w:val="2"/>
    </w:pPr>
    <w:rPr>
      <w:rFonts w:ascii="Times New Roman" w:eastAsia="Times New Roman" w:hAnsi="Times New Roman" w:cs="Times New Roman"/>
      <w:sz w:val="24"/>
      <w:szCs w:val="20"/>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BBSEGURIDADE">
    <w:name w:val="BB SEGURIDADE"/>
    <w:basedOn w:val="Tabelanormal"/>
    <w:uiPriority w:val="99"/>
    <w:rsid w:val="00B25BB0"/>
    <w:pPr>
      <w:spacing w:after="0" w:line="240" w:lineRule="auto"/>
    </w:pPr>
    <w:rPr>
      <w:rFonts w:ascii="Arial" w:eastAsia="MS Mincho" w:hAnsi="Arial"/>
      <w:color w:val="000000" w:themeColor="text1"/>
      <w:sz w:val="14"/>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character" w:customStyle="1" w:styleId="Ttulo1Char">
    <w:name w:val="Título 1 Char"/>
    <w:basedOn w:val="Fontepargpadro"/>
    <w:link w:val="Ttulo1"/>
    <w:uiPriority w:val="9"/>
    <w:rsid w:val="00FC4475"/>
    <w:rPr>
      <w:rFonts w:ascii="Arial" w:eastAsia="Times New Roman" w:hAnsi="Arial" w:cs="Arial"/>
      <w:b/>
      <w:bCs/>
      <w:color w:val="1F4E79" w:themeColor="accent1" w:themeShade="80"/>
      <w:sz w:val="20"/>
      <w:szCs w:val="20"/>
      <w:lang w:val="en-US" w:eastAsia="pt-BR"/>
    </w:rPr>
  </w:style>
  <w:style w:type="paragraph" w:customStyle="1" w:styleId="05-Textonormal">
    <w:name w:val="05-Texto normal"/>
    <w:basedOn w:val="Normal"/>
    <w:qFormat/>
    <w:rsid w:val="0086595F"/>
    <w:pPr>
      <w:spacing w:before="120" w:after="120" w:line="276" w:lineRule="auto"/>
      <w:jc w:val="both"/>
    </w:pPr>
    <w:rPr>
      <w:rFonts w:eastAsia="Times New Roman" w:cs="Times New Roman"/>
      <w:spacing w:val="-2"/>
      <w:szCs w:val="18"/>
      <w:lang w:eastAsia="pt-BR"/>
    </w:rPr>
  </w:style>
  <w:style w:type="paragraph" w:customStyle="1" w:styleId="01-TtulodeNota">
    <w:name w:val="01-Título de Nota"/>
    <w:basedOn w:val="05-Textonormal"/>
    <w:next w:val="Normal"/>
    <w:uiPriority w:val="99"/>
    <w:qFormat/>
    <w:rsid w:val="0086595F"/>
    <w:pPr>
      <w:spacing w:line="240" w:lineRule="auto"/>
    </w:pPr>
    <w:rPr>
      <w:b/>
      <w:sz w:val="20"/>
      <w:szCs w:val="20"/>
    </w:rPr>
  </w:style>
  <w:style w:type="paragraph" w:customStyle="1" w:styleId="05-Textonormal2">
    <w:name w:val="05-Texto normal2"/>
    <w:basedOn w:val="Normal"/>
    <w:qFormat/>
    <w:rsid w:val="0086595F"/>
    <w:pPr>
      <w:spacing w:before="120" w:after="120" w:line="276" w:lineRule="auto"/>
      <w:jc w:val="both"/>
    </w:pPr>
    <w:rPr>
      <w:rFonts w:eastAsia="Times New Roman" w:cs="Times New Roman"/>
      <w:spacing w:val="-2"/>
      <w:szCs w:val="18"/>
      <w:lang w:eastAsia="pt-BR"/>
    </w:rPr>
  </w:style>
  <w:style w:type="paragraph" w:customStyle="1" w:styleId="08-Tabelageral">
    <w:name w:val="08-Tabela geral"/>
    <w:basedOn w:val="Normal"/>
    <w:qFormat/>
    <w:rsid w:val="0086595F"/>
    <w:pPr>
      <w:keepNext/>
      <w:keepLines/>
      <w:spacing w:before="40" w:after="40" w:line="240" w:lineRule="auto"/>
      <w:jc w:val="right"/>
    </w:pPr>
    <w:rPr>
      <w:rFonts w:eastAsia="Times New Roman" w:cs="Times New Roman"/>
      <w:spacing w:val="-2"/>
      <w:sz w:val="14"/>
      <w:szCs w:val="18"/>
      <w:lang w:eastAsia="pt-BR"/>
    </w:rPr>
  </w:style>
  <w:style w:type="table" w:customStyle="1" w:styleId="TabeladeLista6Colorida-nfase51">
    <w:name w:val="Tabela de Lista 6 Colorida - Ênfase 51"/>
    <w:basedOn w:val="Tabelanormal"/>
    <w:uiPriority w:val="51"/>
    <w:rsid w:val="00B25BB0"/>
    <w:pPr>
      <w:spacing w:after="0" w:line="240" w:lineRule="auto"/>
    </w:pPr>
    <w:rPr>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07-Legenda">
    <w:name w:val="07-Legenda"/>
    <w:basedOn w:val="Normal"/>
    <w:qFormat/>
    <w:rsid w:val="0086595F"/>
    <w:pPr>
      <w:keepLines/>
      <w:tabs>
        <w:tab w:val="left" w:pos="284"/>
      </w:tabs>
      <w:spacing w:before="40" w:after="0" w:line="240" w:lineRule="auto"/>
      <w:ind w:left="284" w:hanging="284"/>
      <w:jc w:val="both"/>
    </w:pPr>
    <w:rPr>
      <w:rFonts w:eastAsia="Times New Roman" w:cs="Times New Roman"/>
      <w:spacing w:val="-2"/>
      <w:sz w:val="14"/>
      <w:szCs w:val="18"/>
      <w:lang w:eastAsia="pt-BR"/>
    </w:rPr>
  </w:style>
  <w:style w:type="table" w:customStyle="1" w:styleId="TabeladeLista6Colorida-nfase510">
    <w:name w:val="Tabela de Lista 6 Colorida - Ênfase 51"/>
    <w:basedOn w:val="Tabelanormal"/>
    <w:uiPriority w:val="51"/>
    <w:rsid w:val="004E230D"/>
    <w:pPr>
      <w:spacing w:after="0" w:line="240" w:lineRule="auto"/>
    </w:pPr>
    <w:rPr>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top w:val="single" w:sz="4" w:space="0" w:color="8EAADB" w:themeColor="accent5" w:themeTint="99"/>
          <w:left w:val="nil"/>
          <w:bottom w:val="single" w:sz="4" w:space="0" w:color="8EAADB" w:themeColor="accent5" w:themeTint="99"/>
          <w:right w:val="nil"/>
          <w:insideH w:val="nil"/>
          <w:insideV w:val="nil"/>
          <w:tl2br w:val="nil"/>
          <w:tr2bl w:val="nil"/>
        </w:tcBorders>
        <w:shd w:val="clear" w:color="auto" w:fill="D9E2F3" w:themeFill="accent5" w:themeFillTint="33"/>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paragraph" w:styleId="Cabealho">
    <w:name w:val="header"/>
    <w:aliases w:val="Heading 1a,Appendix,encabezado,Header Char,Heading 1a Char Char Char Char,Draft,Table header,Draft1,Draft2,Guideline,encabezado Char Char Char Char Char,Car4,Header Char Char Char,even"/>
    <w:basedOn w:val="Normal"/>
    <w:link w:val="CabealhoChar"/>
    <w:uiPriority w:val="99"/>
    <w:unhideWhenUsed/>
    <w:rsid w:val="001170F1"/>
    <w:pPr>
      <w:tabs>
        <w:tab w:val="center" w:pos="4252"/>
        <w:tab w:val="right" w:pos="8504"/>
      </w:tabs>
      <w:spacing w:after="0" w:line="240" w:lineRule="auto"/>
    </w:pPr>
  </w:style>
  <w:style w:type="character" w:customStyle="1" w:styleId="CabealhoChar">
    <w:name w:val="Cabeçalho Char"/>
    <w:aliases w:val="Heading 1a Char,Appendix Char,encabezado Char,Header Char Char,Heading 1a Char Char Char Char Char,Draft Char,Table header Char,Draft1 Char,Draft2 Char,Guideline Char,encabezado Char Char Char Char Char Char,Car4 Char,even Char"/>
    <w:basedOn w:val="Fontepargpadro"/>
    <w:link w:val="Cabealho"/>
    <w:uiPriority w:val="99"/>
    <w:rsid w:val="001170F1"/>
    <w:rPr>
      <w:rFonts w:ascii="Arial" w:hAnsi="Arial"/>
      <w:sz w:val="18"/>
    </w:rPr>
  </w:style>
  <w:style w:type="paragraph" w:styleId="Rodap">
    <w:name w:val="footer"/>
    <w:basedOn w:val="Normal"/>
    <w:link w:val="RodapChar"/>
    <w:uiPriority w:val="99"/>
    <w:unhideWhenUsed/>
    <w:rsid w:val="001170F1"/>
    <w:pPr>
      <w:tabs>
        <w:tab w:val="center" w:pos="4252"/>
        <w:tab w:val="right" w:pos="8504"/>
      </w:tabs>
      <w:spacing w:after="0" w:line="240" w:lineRule="auto"/>
    </w:pPr>
  </w:style>
  <w:style w:type="character" w:customStyle="1" w:styleId="RodapChar">
    <w:name w:val="Rodapé Char"/>
    <w:basedOn w:val="Fontepargpadro"/>
    <w:link w:val="Rodap"/>
    <w:uiPriority w:val="99"/>
    <w:rsid w:val="001170F1"/>
    <w:rPr>
      <w:rFonts w:ascii="Arial" w:hAnsi="Arial"/>
      <w:sz w:val="18"/>
    </w:rPr>
  </w:style>
  <w:style w:type="table" w:customStyle="1" w:styleId="TabeladeLista6Colorida-nfase512">
    <w:name w:val="Tabela de Lista 6 Colorida - Ênfase 512"/>
    <w:basedOn w:val="Tabelanormal"/>
    <w:uiPriority w:val="51"/>
    <w:rsid w:val="00C82368"/>
    <w:pPr>
      <w:spacing w:after="0" w:line="240" w:lineRule="auto"/>
    </w:pPr>
    <w:rPr>
      <w:color w:val="000000" w:themeColor="text1"/>
    </w:rPr>
    <w:tblPr>
      <w:tblStyleRowBandSize w:val="1"/>
      <w:tblStyleColBandSize w:val="1"/>
      <w:tblInd w:w="0" w:type="nil"/>
      <w:tblBorders>
        <w:top w:val="single" w:sz="4" w:space="0" w:color="8EAADB" w:themeColor="accent5" w:themeTint="99"/>
        <w:bottom w:val="single" w:sz="4" w:space="0" w:color="8EAADB" w:themeColor="accent5" w:themeTint="99"/>
      </w:tblBorders>
    </w:tblPr>
    <w:tblStylePr w:type="firstRow">
      <w:rPr>
        <w:b/>
        <w:bCs/>
      </w:rPr>
      <w:tblPr/>
      <w:tcPr>
        <w:shd w:val="clear" w:color="auto" w:fill="D9E2F3"/>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band2Horz">
      <w:tblPr/>
      <w:tcPr>
        <w:shd w:val="clear" w:color="auto" w:fill="FFFFFF" w:themeFill="background1"/>
      </w:tcPr>
    </w:tblStylePr>
  </w:style>
  <w:style w:type="paragraph" w:customStyle="1" w:styleId="04-TtuloNegrito">
    <w:name w:val="04-Título Negrito"/>
    <w:basedOn w:val="Normal"/>
    <w:next w:val="Normal"/>
    <w:qFormat/>
    <w:rsid w:val="00FE58C1"/>
    <w:pPr>
      <w:spacing w:before="120" w:after="120" w:line="240" w:lineRule="auto"/>
      <w:jc w:val="both"/>
      <w:outlineLvl w:val="1"/>
    </w:pPr>
    <w:rPr>
      <w:rFonts w:eastAsia="Times New Roman" w:cs="Times New Roman"/>
      <w:b/>
      <w:spacing w:val="-2"/>
      <w:sz w:val="20"/>
      <w:szCs w:val="20"/>
      <w:lang w:eastAsia="pt-BR"/>
    </w:rPr>
  </w:style>
  <w:style w:type="character" w:customStyle="1" w:styleId="01-TextonormalChar1">
    <w:name w:val="01-Texto normal Char1"/>
    <w:basedOn w:val="Fontepargpadro"/>
    <w:link w:val="01-Textonormal"/>
    <w:locked/>
    <w:rsid w:val="00FE58C1"/>
    <w:rPr>
      <w:rFonts w:ascii="Arial" w:eastAsia="Times New Roman" w:hAnsi="Arial" w:cs="Times New Roman"/>
      <w:spacing w:val="-2"/>
      <w:sz w:val="18"/>
      <w:szCs w:val="18"/>
      <w:lang w:eastAsia="pt-BR"/>
    </w:rPr>
  </w:style>
  <w:style w:type="paragraph" w:customStyle="1" w:styleId="01-Textonormal">
    <w:name w:val="01-Texto normal"/>
    <w:basedOn w:val="05-Textonormal"/>
    <w:link w:val="01-TextonormalChar1"/>
    <w:qFormat/>
    <w:rsid w:val="00FE58C1"/>
  </w:style>
  <w:style w:type="character" w:customStyle="1" w:styleId="06-RmilChar">
    <w:name w:val="06-R$ mil Char"/>
    <w:link w:val="06-Rmil"/>
    <w:locked/>
    <w:rsid w:val="00FE58C1"/>
    <w:rPr>
      <w:rFonts w:ascii="Arial" w:eastAsia="Times New Roman" w:hAnsi="Arial" w:cs="Times New Roman"/>
      <w:b/>
      <w:spacing w:val="-2"/>
      <w:sz w:val="14"/>
      <w:szCs w:val="18"/>
      <w:lang w:eastAsia="pt-BR"/>
    </w:rPr>
  </w:style>
  <w:style w:type="paragraph" w:customStyle="1" w:styleId="06-Rmil">
    <w:name w:val="06-R$ mil"/>
    <w:basedOn w:val="Normal"/>
    <w:next w:val="Normal"/>
    <w:link w:val="06-RmilChar"/>
    <w:qFormat/>
    <w:rsid w:val="00FE58C1"/>
    <w:pPr>
      <w:keepNext/>
      <w:keepLines/>
      <w:spacing w:after="0" w:line="240" w:lineRule="auto"/>
      <w:jc w:val="right"/>
    </w:pPr>
    <w:rPr>
      <w:rFonts w:eastAsia="Times New Roman" w:cs="Times New Roman"/>
      <w:b/>
      <w:spacing w:val="-2"/>
      <w:sz w:val="14"/>
      <w:szCs w:val="18"/>
      <w:lang w:eastAsia="pt-BR"/>
    </w:rPr>
  </w:style>
  <w:style w:type="paragraph" w:styleId="PargrafodaLista">
    <w:name w:val="List Paragraph"/>
    <w:basedOn w:val="Normal"/>
    <w:uiPriority w:val="34"/>
    <w:qFormat/>
    <w:rsid w:val="00B070A9"/>
    <w:pPr>
      <w:spacing w:after="200" w:line="276" w:lineRule="auto"/>
      <w:ind w:left="720"/>
      <w:contextualSpacing/>
    </w:pPr>
    <w:rPr>
      <w:rFonts w:asciiTheme="minorHAnsi" w:eastAsia="MS Mincho" w:hAnsiTheme="minorHAnsi"/>
      <w:sz w:val="22"/>
    </w:rPr>
  </w:style>
  <w:style w:type="paragraph" w:styleId="CabealhodoSumrio">
    <w:name w:val="TOC Heading"/>
    <w:basedOn w:val="Ttulo1"/>
    <w:next w:val="Normal"/>
    <w:uiPriority w:val="39"/>
    <w:unhideWhenUsed/>
    <w:qFormat/>
    <w:rsid w:val="001521B5"/>
    <w:pPr>
      <w:outlineLvl w:val="9"/>
    </w:pPr>
    <w:rPr>
      <w:rFonts w:asciiTheme="majorHAnsi" w:hAnsiTheme="majorHAnsi"/>
      <w:b w:val="0"/>
      <w:sz w:val="32"/>
    </w:rPr>
  </w:style>
  <w:style w:type="paragraph" w:styleId="Sumrio2">
    <w:name w:val="toc 2"/>
    <w:basedOn w:val="Normal"/>
    <w:next w:val="Normal"/>
    <w:autoRedefine/>
    <w:uiPriority w:val="39"/>
    <w:unhideWhenUsed/>
    <w:rsid w:val="001521B5"/>
    <w:pPr>
      <w:spacing w:after="100"/>
      <w:ind w:left="180"/>
    </w:pPr>
  </w:style>
  <w:style w:type="paragraph" w:styleId="Sumrio1">
    <w:name w:val="toc 1"/>
    <w:basedOn w:val="Normal"/>
    <w:next w:val="Normal"/>
    <w:autoRedefine/>
    <w:uiPriority w:val="39"/>
    <w:unhideWhenUsed/>
    <w:rsid w:val="00FD2CCF"/>
    <w:pPr>
      <w:tabs>
        <w:tab w:val="right" w:leader="dot" w:pos="9628"/>
      </w:tabs>
      <w:spacing w:after="100" w:line="264" w:lineRule="auto"/>
    </w:pPr>
    <w:rPr>
      <w:rFonts w:cs="Arial"/>
      <w:b/>
      <w:bCs/>
      <w:caps/>
      <w:noProof/>
      <w:color w:val="1F4E79"/>
      <w:szCs w:val="18"/>
    </w:rPr>
  </w:style>
  <w:style w:type="character" w:styleId="Hyperlink">
    <w:name w:val="Hyperlink"/>
    <w:basedOn w:val="Fontepargpadro"/>
    <w:uiPriority w:val="99"/>
    <w:unhideWhenUsed/>
    <w:rsid w:val="001521B5"/>
    <w:rPr>
      <w:color w:val="0563C1" w:themeColor="hyperlink"/>
      <w:u w:val="single"/>
    </w:rPr>
  </w:style>
  <w:style w:type="paragraph" w:customStyle="1" w:styleId="03-SubttulodeNota">
    <w:name w:val="03-Subtítulo de Nota"/>
    <w:basedOn w:val="05-Textonormal"/>
    <w:next w:val="01-Textonormal"/>
    <w:qFormat/>
    <w:rsid w:val="00E832B7"/>
    <w:pPr>
      <w:spacing w:line="240" w:lineRule="auto"/>
      <w:outlineLvl w:val="1"/>
    </w:pPr>
    <w:rPr>
      <w:b/>
      <w:sz w:val="20"/>
      <w:szCs w:val="20"/>
    </w:rPr>
  </w:style>
  <w:style w:type="character" w:customStyle="1" w:styleId="Ttulo2Char">
    <w:name w:val="Título 2 Char"/>
    <w:basedOn w:val="Fontepargpadro"/>
    <w:link w:val="Ttulo2"/>
    <w:uiPriority w:val="9"/>
    <w:rsid w:val="007E6073"/>
    <w:rPr>
      <w:rFonts w:asciiTheme="majorHAnsi" w:eastAsiaTheme="majorEastAsia" w:hAnsiTheme="majorHAnsi" w:cstheme="majorBidi"/>
      <w:color w:val="2E74B5" w:themeColor="accent1" w:themeShade="BF"/>
      <w:sz w:val="26"/>
      <w:szCs w:val="26"/>
    </w:rPr>
  </w:style>
  <w:style w:type="table" w:styleId="Tabelacomgrade">
    <w:name w:val="Table Grid"/>
    <w:basedOn w:val="Tabelanormal"/>
    <w:uiPriority w:val="39"/>
    <w:rsid w:val="005D16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tulodeNota">
    <w:name w:val="02-Título de Nota"/>
    <w:basedOn w:val="05-Textonormal"/>
    <w:next w:val="Normal"/>
    <w:qFormat/>
    <w:rsid w:val="0015348F"/>
    <w:pPr>
      <w:spacing w:line="240" w:lineRule="auto"/>
      <w:outlineLvl w:val="0"/>
    </w:pPr>
    <w:rPr>
      <w:b/>
      <w:sz w:val="20"/>
      <w:szCs w:val="20"/>
    </w:rPr>
  </w:style>
  <w:style w:type="paragraph" w:styleId="Textodebalo">
    <w:name w:val="Balloon Text"/>
    <w:basedOn w:val="Normal"/>
    <w:link w:val="TextodebaloChar"/>
    <w:uiPriority w:val="99"/>
    <w:semiHidden/>
    <w:unhideWhenUsed/>
    <w:rsid w:val="000F2546"/>
    <w:pPr>
      <w:spacing w:after="0" w:line="240" w:lineRule="auto"/>
    </w:pPr>
    <w:rPr>
      <w:rFonts w:ascii="Segoe UI" w:hAnsi="Segoe UI" w:cs="Segoe UI"/>
      <w:szCs w:val="18"/>
    </w:rPr>
  </w:style>
  <w:style w:type="character" w:customStyle="1" w:styleId="TextodebaloChar">
    <w:name w:val="Texto de balão Char"/>
    <w:basedOn w:val="Fontepargpadro"/>
    <w:link w:val="Textodebalo"/>
    <w:uiPriority w:val="99"/>
    <w:semiHidden/>
    <w:rsid w:val="000F2546"/>
    <w:rPr>
      <w:rFonts w:ascii="Segoe UI" w:hAnsi="Segoe UI" w:cs="Segoe UI"/>
      <w:sz w:val="18"/>
      <w:szCs w:val="18"/>
    </w:rPr>
  </w:style>
  <w:style w:type="paragraph" w:customStyle="1" w:styleId="08-Tabelageral1">
    <w:name w:val="08-Tabela geral1"/>
    <w:basedOn w:val="Normal"/>
    <w:qFormat/>
    <w:rsid w:val="00BA0F9D"/>
    <w:pPr>
      <w:keepNext/>
      <w:keepLines/>
      <w:suppressAutoHyphens/>
      <w:spacing w:before="40" w:after="40" w:line="276" w:lineRule="auto"/>
      <w:jc w:val="right"/>
    </w:pPr>
    <w:rPr>
      <w:rFonts w:eastAsia="Times New Roman" w:cs="Times New Roman"/>
      <w:kern w:val="20"/>
      <w:sz w:val="14"/>
      <w:szCs w:val="20"/>
      <w:lang w:eastAsia="pt-BR"/>
    </w:rPr>
  </w:style>
  <w:style w:type="table" w:customStyle="1" w:styleId="TabeladeLista6Colorida-nfase52">
    <w:name w:val="Tabela de Lista 6 Colorida - Ênfase 52"/>
    <w:basedOn w:val="Tabelanormal"/>
    <w:next w:val="TabeladeLista6Colorida-nfase51"/>
    <w:uiPriority w:val="51"/>
    <w:rsid w:val="005061D2"/>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1Clara-nfase11">
    <w:name w:val="Tabela de Grade 1 Clara - Ênfase 11"/>
    <w:basedOn w:val="Tabelanormal"/>
    <w:uiPriority w:val="46"/>
    <w:rsid w:val="009F41F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9F41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
    <w:name w:val="Tabela de Lista 7 Colorida - Ênfase 11"/>
    <w:basedOn w:val="Tabelanormal"/>
    <w:uiPriority w:val="52"/>
    <w:rsid w:val="009F41F0"/>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9F41F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
    <w:name w:val="Tabela de Grade 2 - Ênfase 51"/>
    <w:basedOn w:val="Tabelanormal"/>
    <w:uiPriority w:val="47"/>
    <w:rsid w:val="009F41F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
    <w:name w:val="Tabela de Grade 6 Colorida - Ênfase 51"/>
    <w:basedOn w:val="Tabelanormal"/>
    <w:uiPriority w:val="51"/>
    <w:rsid w:val="009F41F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
    <w:name w:val="Tabela de Lista 2 - Ênfase 51"/>
    <w:basedOn w:val="Tabelanormal"/>
    <w:uiPriority w:val="47"/>
    <w:rsid w:val="009F41F0"/>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
    <w:name w:val="Tabela de Lista 4 - Ênfase 51"/>
    <w:basedOn w:val="Tabelanormal"/>
    <w:uiPriority w:val="49"/>
    <w:rsid w:val="009F41F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
    <w:name w:val="Tabela de Lista 2 - Ênfase 11"/>
    <w:basedOn w:val="Tabelanormal"/>
    <w:uiPriority w:val="47"/>
    <w:rsid w:val="009F41F0"/>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5-Textonormal1">
    <w:name w:val="05-Texto normal1"/>
    <w:basedOn w:val="Normal"/>
    <w:qFormat/>
    <w:rsid w:val="00300419"/>
    <w:pPr>
      <w:spacing w:before="120" w:after="120" w:line="276" w:lineRule="auto"/>
      <w:jc w:val="both"/>
    </w:pPr>
    <w:rPr>
      <w:rFonts w:eastAsia="Times New Roman" w:cs="Times New Roman"/>
      <w:spacing w:val="-2"/>
      <w:szCs w:val="18"/>
      <w:lang w:eastAsia="pt-BR"/>
    </w:rPr>
  </w:style>
  <w:style w:type="paragraph" w:customStyle="1" w:styleId="01-Textonormal2">
    <w:name w:val="01-Texto normal2"/>
    <w:basedOn w:val="Normal"/>
    <w:uiPriority w:val="99"/>
    <w:qFormat/>
    <w:rsid w:val="00300419"/>
    <w:pPr>
      <w:suppressAutoHyphens/>
      <w:spacing w:before="120" w:after="120" w:line="276" w:lineRule="auto"/>
      <w:jc w:val="both"/>
    </w:pPr>
    <w:rPr>
      <w:rFonts w:eastAsia="Times New Roman" w:cs="Times New Roman"/>
      <w:kern w:val="20"/>
      <w:szCs w:val="20"/>
      <w:lang w:eastAsia="pt-BR"/>
    </w:rPr>
  </w:style>
  <w:style w:type="table" w:customStyle="1" w:styleId="TabeladeGrade1Clara-nfase110">
    <w:name w:val="Tabela de Grade 1 Clara - Ênfase 11"/>
    <w:basedOn w:val="Tabelanormal"/>
    <w:uiPriority w:val="46"/>
    <w:rsid w:val="0076304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0">
    <w:name w:val="Tabela de Lista 4 - Ênfase 11"/>
    <w:basedOn w:val="Tabelanormal"/>
    <w:uiPriority w:val="49"/>
    <w:rsid w:val="007630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0">
    <w:name w:val="Tabela de Lista 7 Colorida - Ênfase 11"/>
    <w:basedOn w:val="Tabelanormal"/>
    <w:uiPriority w:val="52"/>
    <w:rsid w:val="0076304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
    <w:name w:val="Tabela de Grade 2 - Ênfase 11"/>
    <w:basedOn w:val="Tabelanormal"/>
    <w:uiPriority w:val="47"/>
    <w:rsid w:val="0076304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0">
    <w:name w:val="Tabela de Grade 2 - Ênfase 51"/>
    <w:basedOn w:val="Tabelanormal"/>
    <w:uiPriority w:val="47"/>
    <w:rsid w:val="0076304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0">
    <w:name w:val="Tabela de Grade 6 Colorida - Ênfase 51"/>
    <w:basedOn w:val="Tabelanormal"/>
    <w:uiPriority w:val="51"/>
    <w:rsid w:val="0076304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0">
    <w:name w:val="Tabela de Lista 2 - Ênfase 51"/>
    <w:basedOn w:val="Tabelanormal"/>
    <w:uiPriority w:val="47"/>
    <w:rsid w:val="0076304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0">
    <w:name w:val="Tabela de Lista 4 - Ênfase 51"/>
    <w:basedOn w:val="Tabelanormal"/>
    <w:uiPriority w:val="49"/>
    <w:rsid w:val="0076304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0">
    <w:name w:val="Tabela de Lista 2 - Ênfase 11"/>
    <w:basedOn w:val="Tabelanormal"/>
    <w:uiPriority w:val="47"/>
    <w:rsid w:val="0076304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emlista1">
    <w:name w:val="Sem lista1"/>
    <w:next w:val="Semlista"/>
    <w:uiPriority w:val="99"/>
    <w:semiHidden/>
    <w:unhideWhenUsed/>
    <w:rsid w:val="00763042"/>
  </w:style>
  <w:style w:type="character" w:styleId="HiperlinkVisitado">
    <w:name w:val="FollowedHyperlink"/>
    <w:basedOn w:val="Fontepargpadro"/>
    <w:uiPriority w:val="99"/>
    <w:semiHidden/>
    <w:unhideWhenUsed/>
    <w:rsid w:val="00763042"/>
    <w:rPr>
      <w:color w:val="954F72" w:themeColor="followedHyperlink"/>
      <w:u w:val="single"/>
    </w:rPr>
  </w:style>
  <w:style w:type="paragraph" w:customStyle="1" w:styleId="msonormal0">
    <w:name w:val="msonormal"/>
    <w:basedOn w:val="Normal"/>
    <w:rsid w:val="007630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7630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0-TabelaPadro">
    <w:name w:val="070 - Tabela Padrão"/>
    <w:basedOn w:val="Normal"/>
    <w:link w:val="070-TabelaPadroChar"/>
    <w:qFormat/>
    <w:rsid w:val="006B46BB"/>
    <w:pPr>
      <w:keepNext/>
      <w:keepLines/>
      <w:spacing w:before="40" w:after="40" w:line="240" w:lineRule="auto"/>
      <w:jc w:val="right"/>
    </w:pPr>
    <w:rPr>
      <w:rFonts w:eastAsia="Times New Roman" w:cs="Times New Roman"/>
      <w:sz w:val="14"/>
      <w:szCs w:val="18"/>
      <w:lang w:eastAsia="pt-BR"/>
    </w:rPr>
  </w:style>
  <w:style w:type="character" w:customStyle="1" w:styleId="070-TabelaPadroChar">
    <w:name w:val="070 - Tabela Padrão Char"/>
    <w:basedOn w:val="Fontepargpadro"/>
    <w:link w:val="070-TabelaPadro"/>
    <w:rsid w:val="006B46BB"/>
    <w:rPr>
      <w:rFonts w:ascii="Arial" w:eastAsia="Times New Roman" w:hAnsi="Arial" w:cs="Times New Roman"/>
      <w:sz w:val="14"/>
      <w:szCs w:val="18"/>
      <w:lang w:eastAsia="pt-BR"/>
    </w:rPr>
  </w:style>
  <w:style w:type="table" w:customStyle="1" w:styleId="TabeladeLista6Colorida-nfase531">
    <w:name w:val="Tabela de Lista 6 Colorida - Ênfase 531"/>
    <w:basedOn w:val="Tabelanormal"/>
    <w:next w:val="TabeladeLista6Colorida-nfase51"/>
    <w:uiPriority w:val="51"/>
    <w:rsid w:val="00E66AED"/>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oPendente1">
    <w:name w:val="Menção Pendente1"/>
    <w:basedOn w:val="Fontepargpadro"/>
    <w:uiPriority w:val="99"/>
    <w:semiHidden/>
    <w:unhideWhenUsed/>
    <w:rsid w:val="00870BB8"/>
    <w:rPr>
      <w:color w:val="605E5C"/>
      <w:shd w:val="clear" w:color="auto" w:fill="E1DFDD"/>
    </w:rPr>
  </w:style>
  <w:style w:type="paragraph" w:customStyle="1" w:styleId="05-TtuloSublinhado">
    <w:name w:val="05-Título Sublinhado"/>
    <w:basedOn w:val="03-SubttulodeNota"/>
    <w:next w:val="01-Textonormal"/>
    <w:qFormat/>
    <w:rsid w:val="00EE62B0"/>
    <w:pPr>
      <w:keepNext/>
    </w:pPr>
    <w:rPr>
      <w:rFonts w:cs="Arial"/>
      <w:sz w:val="18"/>
    </w:rPr>
  </w:style>
  <w:style w:type="paragraph" w:customStyle="1" w:styleId="07-Legenda1">
    <w:name w:val="07-Legenda1"/>
    <w:basedOn w:val="01-Textonormal"/>
    <w:qFormat/>
    <w:rsid w:val="00EE62B0"/>
    <w:pPr>
      <w:keepLines/>
      <w:tabs>
        <w:tab w:val="left" w:pos="284"/>
      </w:tabs>
      <w:suppressAutoHyphens/>
      <w:spacing w:before="40" w:after="0"/>
      <w:ind w:left="284" w:hanging="284"/>
    </w:pPr>
    <w:rPr>
      <w:rFonts w:ascii="Arial (W1)" w:hAnsi="Arial (W1)"/>
      <w:spacing w:val="0"/>
      <w:kern w:val="20"/>
      <w:sz w:val="14"/>
      <w:szCs w:val="20"/>
    </w:rPr>
  </w:style>
  <w:style w:type="character" w:styleId="Refdecomentrio">
    <w:name w:val="annotation reference"/>
    <w:basedOn w:val="Fontepargpadro"/>
    <w:uiPriority w:val="99"/>
    <w:semiHidden/>
    <w:unhideWhenUsed/>
    <w:rsid w:val="00EE62B0"/>
    <w:rPr>
      <w:sz w:val="16"/>
      <w:szCs w:val="16"/>
    </w:rPr>
  </w:style>
  <w:style w:type="paragraph" w:styleId="Textodecomentrio">
    <w:name w:val="annotation text"/>
    <w:basedOn w:val="Normal"/>
    <w:link w:val="TextodecomentrioChar"/>
    <w:uiPriority w:val="99"/>
    <w:unhideWhenUsed/>
    <w:rsid w:val="00EE62B0"/>
    <w:pPr>
      <w:spacing w:after="200" w:line="240" w:lineRule="auto"/>
    </w:pPr>
    <w:rPr>
      <w:rFonts w:asciiTheme="minorHAnsi" w:eastAsia="MS Mincho" w:hAnsiTheme="minorHAnsi"/>
      <w:sz w:val="20"/>
      <w:szCs w:val="20"/>
    </w:rPr>
  </w:style>
  <w:style w:type="character" w:customStyle="1" w:styleId="TextodecomentrioChar">
    <w:name w:val="Texto de comentário Char"/>
    <w:basedOn w:val="Fontepargpadro"/>
    <w:link w:val="Textodecomentrio"/>
    <w:uiPriority w:val="99"/>
    <w:rsid w:val="00EE62B0"/>
    <w:rPr>
      <w:rFonts w:eastAsia="MS Mincho"/>
      <w:sz w:val="20"/>
      <w:szCs w:val="20"/>
    </w:rPr>
  </w:style>
  <w:style w:type="paragraph" w:styleId="Assuntodocomentrio">
    <w:name w:val="annotation subject"/>
    <w:basedOn w:val="Textodecomentrio"/>
    <w:next w:val="Textodecomentrio"/>
    <w:link w:val="AssuntodocomentrioChar"/>
    <w:uiPriority w:val="99"/>
    <w:semiHidden/>
    <w:unhideWhenUsed/>
    <w:rsid w:val="00EE62B0"/>
    <w:rPr>
      <w:b/>
      <w:bCs/>
    </w:rPr>
  </w:style>
  <w:style w:type="character" w:customStyle="1" w:styleId="AssuntodocomentrioChar">
    <w:name w:val="Assunto do comentário Char"/>
    <w:basedOn w:val="TextodecomentrioChar"/>
    <w:link w:val="Assuntodocomentrio"/>
    <w:uiPriority w:val="99"/>
    <w:semiHidden/>
    <w:rsid w:val="00EE62B0"/>
    <w:rPr>
      <w:rFonts w:eastAsia="MS Mincho"/>
      <w:b/>
      <w:bCs/>
      <w:sz w:val="20"/>
      <w:szCs w:val="20"/>
    </w:rPr>
  </w:style>
  <w:style w:type="paragraph" w:styleId="Reviso">
    <w:name w:val="Revision"/>
    <w:hidden/>
    <w:uiPriority w:val="99"/>
    <w:semiHidden/>
    <w:rsid w:val="00EE62B0"/>
    <w:pPr>
      <w:spacing w:after="0" w:line="240" w:lineRule="auto"/>
    </w:pPr>
    <w:rPr>
      <w:rFonts w:eastAsia="MS Mincho"/>
    </w:rPr>
  </w:style>
  <w:style w:type="paragraph" w:customStyle="1" w:styleId="09-Lista">
    <w:name w:val="09-Lista"/>
    <w:basedOn w:val="Normal"/>
    <w:qFormat/>
    <w:rsid w:val="00A13206"/>
    <w:pPr>
      <w:numPr>
        <w:numId w:val="4"/>
      </w:numPr>
      <w:spacing w:after="0" w:line="240" w:lineRule="auto"/>
      <w:jc w:val="both"/>
    </w:pPr>
    <w:rPr>
      <w:rFonts w:eastAsia="Times New Roman" w:cs="Times New Roman"/>
      <w:sz w:val="24"/>
      <w:szCs w:val="20"/>
      <w:lang w:eastAsia="pt-BR"/>
    </w:rPr>
  </w:style>
  <w:style w:type="paragraph" w:customStyle="1" w:styleId="Body">
    <w:name w:val="Body"/>
    <w:basedOn w:val="Normal"/>
    <w:link w:val="BodyChar"/>
    <w:qFormat/>
    <w:rsid w:val="00A13206"/>
    <w:pPr>
      <w:spacing w:after="140" w:line="288" w:lineRule="auto"/>
      <w:jc w:val="both"/>
    </w:pPr>
    <w:rPr>
      <w:rFonts w:eastAsia="Times New Roman" w:cs="Times New Roman"/>
      <w:kern w:val="20"/>
      <w:sz w:val="20"/>
      <w:szCs w:val="24"/>
      <w:lang w:eastAsia="en-GB"/>
    </w:rPr>
  </w:style>
  <w:style w:type="table" w:customStyle="1" w:styleId="TabeladeGrade1Clara-nfase12">
    <w:name w:val="Tabela de Grade 1 Clara - Ênfase 12"/>
    <w:basedOn w:val="Tabelanormal"/>
    <w:uiPriority w:val="46"/>
    <w:rsid w:val="00AA27C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AA27C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3">
    <w:name w:val="Tabela de Lista 6 Colorida - Ênfase 53"/>
    <w:basedOn w:val="Tabelanormal"/>
    <w:uiPriority w:val="51"/>
    <w:rsid w:val="00AA27C6"/>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7Colorida-nfase12">
    <w:name w:val="Tabela de Lista 7 Colorida - Ênfase 12"/>
    <w:basedOn w:val="Tabelanormal"/>
    <w:uiPriority w:val="52"/>
    <w:rsid w:val="00AA27C6"/>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AA27C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2">
    <w:name w:val="Tabela de Grade 2 - Ênfase 52"/>
    <w:basedOn w:val="Tabelanormal"/>
    <w:uiPriority w:val="47"/>
    <w:rsid w:val="00AA27C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2">
    <w:name w:val="Tabela de Grade 6 Colorida - Ênfase 52"/>
    <w:basedOn w:val="Tabelanormal"/>
    <w:uiPriority w:val="51"/>
    <w:rsid w:val="00AA27C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2">
    <w:name w:val="Tabela de Lista 2 - Ênfase 52"/>
    <w:basedOn w:val="Tabelanormal"/>
    <w:uiPriority w:val="47"/>
    <w:rsid w:val="00AA27C6"/>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2">
    <w:name w:val="Tabela de Lista 4 - Ênfase 52"/>
    <w:basedOn w:val="Tabelanormal"/>
    <w:uiPriority w:val="49"/>
    <w:rsid w:val="00AA27C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2">
    <w:name w:val="Tabela de Lista 2 - Ênfase 12"/>
    <w:basedOn w:val="Tabelanormal"/>
    <w:uiPriority w:val="47"/>
    <w:rsid w:val="00AA27C6"/>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1Clara-nfase1">
    <w:name w:val="Grid Table 1 Light Accent 1"/>
    <w:basedOn w:val="Tabelanormal"/>
    <w:uiPriority w:val="46"/>
    <w:rsid w:val="00E57E0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E57E0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Lista6Colorida-nfase5">
    <w:name w:val="List Table 6 Colorful Accent 5"/>
    <w:basedOn w:val="Tabelanormal"/>
    <w:uiPriority w:val="51"/>
    <w:rsid w:val="00E57E03"/>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7Colorida-nfase1">
    <w:name w:val="List Table 7 Colorful Accent 1"/>
    <w:basedOn w:val="Tabelanormal"/>
    <w:uiPriority w:val="52"/>
    <w:rsid w:val="00E57E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E57E0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2-nfase5">
    <w:name w:val="Grid Table 2 Accent 5"/>
    <w:basedOn w:val="Tabelanormal"/>
    <w:uiPriority w:val="47"/>
    <w:rsid w:val="00E57E0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6Colorida-nfase5">
    <w:name w:val="Grid Table 6 Colorful Accent 5"/>
    <w:basedOn w:val="Tabelanormal"/>
    <w:uiPriority w:val="51"/>
    <w:rsid w:val="00E57E0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2-nfase5">
    <w:name w:val="List Table 2 Accent 5"/>
    <w:basedOn w:val="Tabelanormal"/>
    <w:uiPriority w:val="47"/>
    <w:rsid w:val="00E57E0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4-nfase5">
    <w:name w:val="List Table 4 Accent 5"/>
    <w:basedOn w:val="Tabelanormal"/>
    <w:uiPriority w:val="49"/>
    <w:rsid w:val="00E57E0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2-nfase1">
    <w:name w:val="List Table 2 Accent 1"/>
    <w:basedOn w:val="Tabelanormal"/>
    <w:uiPriority w:val="47"/>
    <w:rsid w:val="00E57E0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6Char">
    <w:name w:val="Título 6 Char"/>
    <w:uiPriority w:val="99"/>
    <w:rsid w:val="00C145BC"/>
    <w:rPr>
      <w:rFonts w:ascii="Cambria" w:hAnsi="Cambria"/>
      <w:b/>
      <w:bCs/>
      <w:color w:val="595959"/>
      <w:spacing w:val="5"/>
      <w:shd w:val="clear" w:color="auto" w:fill="FFFFFF"/>
    </w:rPr>
  </w:style>
  <w:style w:type="paragraph" w:styleId="Corpodetexto">
    <w:name w:val="Body Text"/>
    <w:aliases w:val="bt"/>
    <w:basedOn w:val="Normal"/>
    <w:link w:val="CorpodetextoChar"/>
    <w:uiPriority w:val="99"/>
    <w:rsid w:val="00C145BC"/>
    <w:pPr>
      <w:suppressAutoHyphens/>
      <w:spacing w:after="120" w:line="240" w:lineRule="auto"/>
    </w:pPr>
    <w:rPr>
      <w:rFonts w:eastAsia="Times New Roman" w:cs="Times New Roman"/>
      <w:kern w:val="1"/>
      <w:sz w:val="20"/>
      <w:szCs w:val="20"/>
      <w:lang w:eastAsia="pt-BR"/>
    </w:rPr>
  </w:style>
  <w:style w:type="character" w:customStyle="1" w:styleId="CorpodetextoChar">
    <w:name w:val="Corpo de texto Char"/>
    <w:aliases w:val="bt Char"/>
    <w:basedOn w:val="Fontepargpadro"/>
    <w:link w:val="Corpodetexto"/>
    <w:uiPriority w:val="99"/>
    <w:rsid w:val="00C145BC"/>
    <w:rPr>
      <w:rFonts w:ascii="Arial" w:eastAsia="Times New Roman" w:hAnsi="Arial" w:cs="Times New Roman"/>
      <w:kern w:val="1"/>
      <w:sz w:val="20"/>
      <w:szCs w:val="20"/>
      <w:lang w:eastAsia="pt-BR"/>
    </w:rPr>
  </w:style>
  <w:style w:type="character" w:styleId="Refdenotaderodap">
    <w:name w:val="footnote reference"/>
    <w:basedOn w:val="Fontepargpadro"/>
    <w:uiPriority w:val="99"/>
    <w:semiHidden/>
    <w:unhideWhenUsed/>
    <w:rsid w:val="00753018"/>
    <w:rPr>
      <w:vertAlign w:val="superscript"/>
    </w:rPr>
  </w:style>
  <w:style w:type="paragraph" w:customStyle="1" w:styleId="ListaRecuadotabela">
    <w:name w:val="Lista_Recuado_tabela"/>
    <w:basedOn w:val="Normal"/>
    <w:next w:val="Normal"/>
    <w:link w:val="ListaRecuadotabelaChar"/>
    <w:autoRedefine/>
    <w:qFormat/>
    <w:rsid w:val="00056C09"/>
    <w:pPr>
      <w:numPr>
        <w:numId w:val="5"/>
      </w:numPr>
      <w:spacing w:before="100" w:after="100" w:line="240" w:lineRule="auto"/>
      <w:ind w:left="283" w:right="57" w:hanging="170"/>
      <w:jc w:val="both"/>
    </w:pPr>
    <w:rPr>
      <w:rFonts w:asciiTheme="minorHAnsi" w:hAnsiTheme="minorHAnsi"/>
      <w:szCs w:val="18"/>
    </w:rPr>
  </w:style>
  <w:style w:type="character" w:customStyle="1" w:styleId="ListaRecuadotabelaChar">
    <w:name w:val="Lista_Recuado_tabela Char"/>
    <w:basedOn w:val="Fontepargpadro"/>
    <w:link w:val="ListaRecuadotabela"/>
    <w:rsid w:val="00056C09"/>
    <w:rPr>
      <w:sz w:val="18"/>
      <w:szCs w:val="18"/>
    </w:rPr>
  </w:style>
  <w:style w:type="paragraph" w:customStyle="1" w:styleId="Recuado">
    <w:name w:val="Recuado"/>
    <w:basedOn w:val="Normal"/>
    <w:link w:val="RecuadoChar"/>
    <w:qFormat/>
    <w:rsid w:val="00F60574"/>
    <w:pPr>
      <w:spacing w:before="100" w:after="100" w:line="276" w:lineRule="auto"/>
      <w:ind w:right="3402"/>
      <w:jc w:val="both"/>
    </w:pPr>
    <w:rPr>
      <w:rFonts w:asciiTheme="minorHAnsi" w:hAnsiTheme="minorHAnsi"/>
    </w:rPr>
  </w:style>
  <w:style w:type="character" w:customStyle="1" w:styleId="RecuadoChar">
    <w:name w:val="Recuado Char"/>
    <w:basedOn w:val="Fontepargpadro"/>
    <w:link w:val="Recuado"/>
    <w:rsid w:val="00F60574"/>
    <w:rPr>
      <w:sz w:val="18"/>
    </w:rPr>
  </w:style>
  <w:style w:type="numbering" w:customStyle="1" w:styleId="Semlista2">
    <w:name w:val="Sem lista2"/>
    <w:next w:val="Semlista"/>
    <w:uiPriority w:val="99"/>
    <w:semiHidden/>
    <w:unhideWhenUsed/>
    <w:rsid w:val="006D5442"/>
  </w:style>
  <w:style w:type="table" w:customStyle="1" w:styleId="Tabelacomgrade2">
    <w:name w:val="Tabela com grade2"/>
    <w:basedOn w:val="Tabelanormal"/>
    <w:next w:val="Tabelacomgrade"/>
    <w:uiPriority w:val="39"/>
    <w:rsid w:val="006D5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6D544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6D54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11">
    <w:name w:val="Tabela de Lista 6 Colorida - Ênfase 511"/>
    <w:basedOn w:val="Tabelanormal"/>
    <w:uiPriority w:val="51"/>
    <w:rsid w:val="006D5442"/>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table" w:customStyle="1" w:styleId="TabeladeLista7Colorida-nfase111">
    <w:name w:val="Tabela de Lista 7 Colorida - Ênfase 111"/>
    <w:basedOn w:val="Tabelanormal"/>
    <w:uiPriority w:val="52"/>
    <w:rsid w:val="006D544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6D544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1">
    <w:name w:val="Tabela de Grade 2 - Ênfase 511"/>
    <w:basedOn w:val="Tabelanormal"/>
    <w:uiPriority w:val="47"/>
    <w:rsid w:val="006D544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1">
    <w:name w:val="Tabela de Grade 6 Colorida - Ênfase 511"/>
    <w:basedOn w:val="Tabelanormal"/>
    <w:uiPriority w:val="51"/>
    <w:rsid w:val="006D544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1">
    <w:name w:val="Tabela de Lista 2 - Ênfase 511"/>
    <w:basedOn w:val="Tabelanormal"/>
    <w:uiPriority w:val="47"/>
    <w:rsid w:val="006D544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1">
    <w:name w:val="Tabela de Lista 4 - Ênfase 511"/>
    <w:basedOn w:val="Tabelanormal"/>
    <w:uiPriority w:val="49"/>
    <w:rsid w:val="006D544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1">
    <w:name w:val="Tabela de Lista 2 - Ênfase 111"/>
    <w:basedOn w:val="Tabelanormal"/>
    <w:uiPriority w:val="47"/>
    <w:rsid w:val="006D544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emlista11">
    <w:name w:val="Sem lista11"/>
    <w:next w:val="Semlista"/>
    <w:uiPriority w:val="99"/>
    <w:semiHidden/>
    <w:unhideWhenUsed/>
    <w:rsid w:val="006D5442"/>
  </w:style>
  <w:style w:type="table" w:customStyle="1" w:styleId="Tabelacomgrade11">
    <w:name w:val="Tabela com grade11"/>
    <w:basedOn w:val="Tabelanormal"/>
    <w:next w:val="Tabelacomgrade"/>
    <w:uiPriority w:val="39"/>
    <w:rsid w:val="006D54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0"/>
    <w:uiPriority w:val="46"/>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0"/>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2">
    <w:name w:val="Tabela de Grade 2 - Ênfase 512"/>
    <w:basedOn w:val="Tabelanormal"/>
    <w:next w:val="TabeladeGrade2-nfase510"/>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2">
    <w:name w:val="Tabela de Grade 6 Colorida - Ênfase 512"/>
    <w:basedOn w:val="Tabelanormal"/>
    <w:next w:val="TabeladeGrade6Colorida-nfase510"/>
    <w:uiPriority w:val="51"/>
    <w:rsid w:val="006D5442"/>
    <w:pPr>
      <w:spacing w:after="0" w:line="240" w:lineRule="auto"/>
    </w:pPr>
    <w:rPr>
      <w:rFonts w:ascii="Calibri" w:eastAsia="Calibri" w:hAnsi="Calibri" w:cs="Times New Roman"/>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2">
    <w:name w:val="Tabela de Lista 2 - Ênfase 112"/>
    <w:basedOn w:val="Tabelanormal"/>
    <w:next w:val="TabeladeLista2-nfase110"/>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4-nfase112">
    <w:name w:val="Tabela de Lista 4 - Ênfase 112"/>
    <w:basedOn w:val="Tabelanormal"/>
    <w:next w:val="TabeladeLista4-nfase110"/>
    <w:uiPriority w:val="49"/>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2">
    <w:name w:val="Tabela de Lista 7 Colorida - Ênfase 112"/>
    <w:basedOn w:val="Tabelanormal"/>
    <w:next w:val="TabeladeLista7Colorida-nfase110"/>
    <w:uiPriority w:val="52"/>
    <w:rsid w:val="006D5442"/>
    <w:pPr>
      <w:spacing w:after="0" w:line="240" w:lineRule="auto"/>
    </w:pPr>
    <w:rPr>
      <w:rFonts w:ascii="Calibri" w:eastAsia="Calibri" w:hAnsi="Calibri" w:cs="Times New Roman"/>
      <w:color w:val="2E74B5"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5B9BD5"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0"/>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2">
    <w:name w:val="Tabela de Lista 4 - Ênfase 512"/>
    <w:basedOn w:val="Tabelanormal"/>
    <w:next w:val="TabeladeLista4-nfase510"/>
    <w:uiPriority w:val="49"/>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har"/>
    <w:uiPriority w:val="11"/>
    <w:qFormat/>
    <w:rsid w:val="00AC0A33"/>
    <w:pPr>
      <w:numPr>
        <w:ilvl w:val="1"/>
      </w:numPr>
    </w:pPr>
    <w:rPr>
      <w:rFonts w:asciiTheme="minorHAnsi" w:eastAsiaTheme="minorEastAsia" w:hAnsiTheme="minorHAnsi"/>
      <w:color w:val="5A5A5A" w:themeColor="text1" w:themeTint="A5"/>
      <w:spacing w:val="15"/>
      <w:sz w:val="22"/>
    </w:rPr>
  </w:style>
  <w:style w:type="character" w:customStyle="1" w:styleId="SubttuloChar">
    <w:name w:val="Subtítulo Char"/>
    <w:basedOn w:val="Fontepargpadro"/>
    <w:link w:val="Subttulo"/>
    <w:uiPriority w:val="11"/>
    <w:rsid w:val="00AC0A33"/>
    <w:rPr>
      <w:rFonts w:eastAsiaTheme="minorEastAsia"/>
      <w:color w:val="5A5A5A" w:themeColor="text1" w:themeTint="A5"/>
      <w:spacing w:val="15"/>
    </w:rPr>
  </w:style>
  <w:style w:type="character" w:customStyle="1" w:styleId="tlid-translation">
    <w:name w:val="tlid-translation"/>
    <w:basedOn w:val="Fontepargpadro"/>
    <w:rsid w:val="006D704B"/>
  </w:style>
  <w:style w:type="character" w:customStyle="1" w:styleId="shorttext">
    <w:name w:val="short_text"/>
    <w:basedOn w:val="Fontepargpadro"/>
    <w:rsid w:val="006D704B"/>
  </w:style>
  <w:style w:type="character" w:customStyle="1" w:styleId="hps">
    <w:name w:val="hps"/>
    <w:basedOn w:val="Fontepargpadro"/>
    <w:rsid w:val="00BE4984"/>
  </w:style>
  <w:style w:type="numbering" w:customStyle="1" w:styleId="Semlista3">
    <w:name w:val="Sem lista3"/>
    <w:next w:val="Semlista"/>
    <w:uiPriority w:val="99"/>
    <w:semiHidden/>
    <w:unhideWhenUsed/>
    <w:rsid w:val="000F60CC"/>
  </w:style>
  <w:style w:type="table" w:customStyle="1" w:styleId="Tabelacomgrade3">
    <w:name w:val="Tabela com grade3"/>
    <w:basedOn w:val="Tabelanormal"/>
    <w:next w:val="Tabelacomgrade"/>
    <w:uiPriority w:val="39"/>
    <w:rsid w:val="000F6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0F60C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0F60C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13">
    <w:name w:val="Tabela de Lista 6 Colorida - Ênfase 513"/>
    <w:basedOn w:val="Tabelanormal"/>
    <w:uiPriority w:val="51"/>
    <w:rsid w:val="000F60CC"/>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table" w:customStyle="1" w:styleId="TabeladeLista7Colorida-nfase113">
    <w:name w:val="Tabela de Lista 7 Colorida - Ênfase 113"/>
    <w:basedOn w:val="Tabelanormal"/>
    <w:uiPriority w:val="52"/>
    <w:rsid w:val="000F60C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0F60C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3">
    <w:name w:val="Tabela de Grade 2 - Ênfase 513"/>
    <w:basedOn w:val="Tabelanormal"/>
    <w:uiPriority w:val="47"/>
    <w:rsid w:val="000F60C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3">
    <w:name w:val="Tabela de Grade 6 Colorida - Ênfase 513"/>
    <w:basedOn w:val="Tabelanormal"/>
    <w:uiPriority w:val="51"/>
    <w:rsid w:val="000F60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3">
    <w:name w:val="Tabela de Lista 2 - Ênfase 513"/>
    <w:basedOn w:val="Tabelanormal"/>
    <w:uiPriority w:val="47"/>
    <w:rsid w:val="000F60CC"/>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3">
    <w:name w:val="Tabela de Lista 4 - Ênfase 513"/>
    <w:basedOn w:val="Tabelanormal"/>
    <w:uiPriority w:val="49"/>
    <w:rsid w:val="000F60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3">
    <w:name w:val="Tabela de Lista 2 - Ênfase 113"/>
    <w:basedOn w:val="Tabelanormal"/>
    <w:uiPriority w:val="47"/>
    <w:rsid w:val="000F60C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emlista12">
    <w:name w:val="Sem lista12"/>
    <w:next w:val="Semlista"/>
    <w:uiPriority w:val="99"/>
    <w:semiHidden/>
    <w:unhideWhenUsed/>
    <w:rsid w:val="000F60CC"/>
  </w:style>
  <w:style w:type="table" w:customStyle="1" w:styleId="Tabelacomgrade12">
    <w:name w:val="Tabela com grade12"/>
    <w:basedOn w:val="Tabelanormal"/>
    <w:next w:val="Tabelacomgrade"/>
    <w:uiPriority w:val="39"/>
    <w:rsid w:val="000F60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0"/>
    <w:uiPriority w:val="46"/>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4">
    <w:name w:val="Tabela de Grade 2 - Ênfase 514"/>
    <w:basedOn w:val="Tabelanormal"/>
    <w:next w:val="TabeladeGrade2-nfase5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4">
    <w:name w:val="Tabela de Grade 6 Colorida - Ênfase 514"/>
    <w:basedOn w:val="Tabelanormal"/>
    <w:next w:val="TabeladeGrade6Colorida-nfase510"/>
    <w:uiPriority w:val="51"/>
    <w:rsid w:val="000F60CC"/>
    <w:pPr>
      <w:spacing w:after="0" w:line="240" w:lineRule="auto"/>
    </w:pPr>
    <w:rPr>
      <w:rFonts w:ascii="Calibri" w:eastAsia="Calibri" w:hAnsi="Calibri" w:cs="Times New Roman"/>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4">
    <w:name w:val="Tabela de Lista 2 - Ênfase 114"/>
    <w:basedOn w:val="Tabelanormal"/>
    <w:next w:val="TabeladeLista2-nfase1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4-nfase114">
    <w:name w:val="Tabela de Lista 4 - Ênfase 114"/>
    <w:basedOn w:val="Tabelanormal"/>
    <w:next w:val="TabeladeLista4-nfase110"/>
    <w:uiPriority w:val="49"/>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4">
    <w:name w:val="Tabela de Lista 7 Colorida - Ênfase 114"/>
    <w:basedOn w:val="Tabelanormal"/>
    <w:next w:val="TabeladeLista7Colorida-nfase110"/>
    <w:uiPriority w:val="52"/>
    <w:rsid w:val="000F60CC"/>
    <w:pPr>
      <w:spacing w:after="0" w:line="240" w:lineRule="auto"/>
    </w:pPr>
    <w:rPr>
      <w:rFonts w:ascii="Calibri" w:eastAsia="Calibri" w:hAnsi="Calibri" w:cs="Times New Roman"/>
      <w:color w:val="2E74B5"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5B9BD5"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4">
    <w:name w:val="Tabela de Lista 4 - Ênfase 514"/>
    <w:basedOn w:val="Tabelanormal"/>
    <w:next w:val="TabeladeLista4-nfase510"/>
    <w:uiPriority w:val="49"/>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6Colorida-nfase514">
    <w:name w:val="Tabela de Lista 6 Colorida - Ênfase 514"/>
    <w:basedOn w:val="Tabelanormal"/>
    <w:next w:val="TabeladeLista6Colorida-nfase510"/>
    <w:uiPriority w:val="51"/>
    <w:rsid w:val="000F60CC"/>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numbering" w:customStyle="1" w:styleId="Semlista21">
    <w:name w:val="Sem lista21"/>
    <w:next w:val="Semlista"/>
    <w:uiPriority w:val="99"/>
    <w:semiHidden/>
    <w:unhideWhenUsed/>
    <w:rsid w:val="000F60CC"/>
  </w:style>
  <w:style w:type="table" w:customStyle="1" w:styleId="Tabelacomgrade21">
    <w:name w:val="Tabela com grade21"/>
    <w:basedOn w:val="Tabelanormal"/>
    <w:next w:val="Tabelacomgrade"/>
    <w:uiPriority w:val="39"/>
    <w:rsid w:val="000F6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0F60C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0F60C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111">
    <w:name w:val="Tabela de Lista 6 Colorida - Ênfase 5111"/>
    <w:basedOn w:val="Tabelanormal"/>
    <w:uiPriority w:val="51"/>
    <w:rsid w:val="000F60CC"/>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table" w:customStyle="1" w:styleId="TabeladeLista7Colorida-nfase1111">
    <w:name w:val="Tabela de Lista 7 Colorida - Ênfase 1111"/>
    <w:basedOn w:val="Tabelanormal"/>
    <w:uiPriority w:val="52"/>
    <w:rsid w:val="000F60C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0F60C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11">
    <w:name w:val="Tabela de Grade 2 - Ênfase 5111"/>
    <w:basedOn w:val="Tabelanormal"/>
    <w:uiPriority w:val="47"/>
    <w:rsid w:val="000F60C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11">
    <w:name w:val="Tabela de Grade 6 Colorida - Ênfase 5111"/>
    <w:basedOn w:val="Tabelanormal"/>
    <w:uiPriority w:val="51"/>
    <w:rsid w:val="000F60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11">
    <w:name w:val="Tabela de Lista 2 - Ênfase 5111"/>
    <w:basedOn w:val="Tabelanormal"/>
    <w:uiPriority w:val="47"/>
    <w:rsid w:val="000F60CC"/>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11">
    <w:name w:val="Tabela de Lista 4 - Ênfase 5111"/>
    <w:basedOn w:val="Tabelanormal"/>
    <w:uiPriority w:val="49"/>
    <w:rsid w:val="000F60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11">
    <w:name w:val="Tabela de Lista 2 - Ênfase 1111"/>
    <w:basedOn w:val="Tabelanormal"/>
    <w:uiPriority w:val="47"/>
    <w:rsid w:val="000F60C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emlista111">
    <w:name w:val="Sem lista111"/>
    <w:next w:val="Semlista"/>
    <w:uiPriority w:val="99"/>
    <w:semiHidden/>
    <w:unhideWhenUsed/>
    <w:rsid w:val="000F60CC"/>
  </w:style>
  <w:style w:type="table" w:customStyle="1" w:styleId="Tabelacomgrade111">
    <w:name w:val="Tabela com grade111"/>
    <w:basedOn w:val="Tabelanormal"/>
    <w:next w:val="Tabelacomgrade"/>
    <w:uiPriority w:val="39"/>
    <w:rsid w:val="000F60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0"/>
    <w:uiPriority w:val="46"/>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21">
    <w:name w:val="Tabela de Grade 2 - Ênfase 5121"/>
    <w:basedOn w:val="Tabelanormal"/>
    <w:next w:val="TabeladeGrade2-nfase5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21">
    <w:name w:val="Tabela de Grade 6 Colorida - Ênfase 5121"/>
    <w:basedOn w:val="Tabelanormal"/>
    <w:next w:val="TabeladeGrade6Colorida-nfase510"/>
    <w:uiPriority w:val="51"/>
    <w:rsid w:val="000F60CC"/>
    <w:pPr>
      <w:spacing w:after="0" w:line="240" w:lineRule="auto"/>
    </w:pPr>
    <w:rPr>
      <w:rFonts w:ascii="Calibri" w:eastAsia="Calibri" w:hAnsi="Calibri" w:cs="Times New Roman"/>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21">
    <w:name w:val="Tabela de Lista 2 - Ênfase 1121"/>
    <w:basedOn w:val="Tabelanormal"/>
    <w:next w:val="TabeladeLista2-nfase1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4-nfase1121">
    <w:name w:val="Tabela de Lista 4 - Ênfase 1121"/>
    <w:basedOn w:val="Tabelanormal"/>
    <w:next w:val="TabeladeLista4-nfase110"/>
    <w:uiPriority w:val="49"/>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21">
    <w:name w:val="Tabela de Lista 7 Colorida - Ênfase 1121"/>
    <w:basedOn w:val="Tabelanormal"/>
    <w:next w:val="TabeladeLista7Colorida-nfase110"/>
    <w:uiPriority w:val="52"/>
    <w:rsid w:val="000F60CC"/>
    <w:pPr>
      <w:spacing w:after="0" w:line="240" w:lineRule="auto"/>
    </w:pPr>
    <w:rPr>
      <w:rFonts w:ascii="Calibri" w:eastAsia="Calibri" w:hAnsi="Calibri" w:cs="Times New Roman"/>
      <w:color w:val="2E74B5"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5B9BD5"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0"/>
    <w:uiPriority w:val="47"/>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21">
    <w:name w:val="Tabela de Lista 4 - Ênfase 5121"/>
    <w:basedOn w:val="Tabelanormal"/>
    <w:next w:val="TabeladeLista4-nfase510"/>
    <w:uiPriority w:val="49"/>
    <w:rsid w:val="000F60C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6Colorida-nfase5121">
    <w:name w:val="Tabela de Lista 6 Colorida - Ênfase 5121"/>
    <w:basedOn w:val="Tabelanormal"/>
    <w:next w:val="TabeladeLista6Colorida-nfase510"/>
    <w:uiPriority w:val="51"/>
    <w:rsid w:val="000F60CC"/>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paragraph" w:styleId="SemEspaamento">
    <w:name w:val="No Spacing"/>
    <w:uiPriority w:val="1"/>
    <w:qFormat/>
    <w:rsid w:val="00ED0AD1"/>
    <w:pPr>
      <w:spacing w:after="0" w:line="240" w:lineRule="auto"/>
    </w:pPr>
    <w:rPr>
      <w:rFonts w:eastAsia="MS Mincho"/>
    </w:rPr>
  </w:style>
  <w:style w:type="numbering" w:customStyle="1" w:styleId="Semlista4">
    <w:name w:val="Sem lista4"/>
    <w:next w:val="Semlista"/>
    <w:uiPriority w:val="99"/>
    <w:semiHidden/>
    <w:unhideWhenUsed/>
    <w:rsid w:val="00625BD7"/>
  </w:style>
  <w:style w:type="paragraph" w:styleId="Corpodetexto2">
    <w:name w:val="Body Text 2"/>
    <w:basedOn w:val="Normal"/>
    <w:link w:val="Corpodetexto2Char"/>
    <w:uiPriority w:val="99"/>
    <w:rsid w:val="00625BD7"/>
    <w:pPr>
      <w:spacing w:after="0" w:line="240" w:lineRule="auto"/>
    </w:pPr>
    <w:rPr>
      <w:rFonts w:ascii="Arial (W1)" w:eastAsia="Times New Roman" w:hAnsi="Arial (W1)" w:cs="Arial (W1)"/>
      <w:b/>
      <w:bCs/>
      <w:sz w:val="22"/>
      <w:lang w:eastAsia="pt-BR"/>
    </w:rPr>
  </w:style>
  <w:style w:type="character" w:customStyle="1" w:styleId="Corpodetexto2Char">
    <w:name w:val="Corpo de texto 2 Char"/>
    <w:basedOn w:val="Fontepargpadro"/>
    <w:link w:val="Corpodetexto2"/>
    <w:uiPriority w:val="99"/>
    <w:rsid w:val="00625BD7"/>
    <w:rPr>
      <w:rFonts w:ascii="Arial (W1)" w:eastAsia="Times New Roman" w:hAnsi="Arial (W1)" w:cs="Arial (W1)"/>
      <w:b/>
      <w:bCs/>
      <w:lang w:eastAsia="pt-BR"/>
    </w:rPr>
  </w:style>
  <w:style w:type="paragraph" w:customStyle="1" w:styleId="17TEXTOcorpojustificado">
    <w:name w:val="17. «TEXTO» corpo justificado"/>
    <w:basedOn w:val="Normal"/>
    <w:link w:val="17TEXTOcorpojustificadoChar"/>
    <w:rsid w:val="00625BD7"/>
    <w:pPr>
      <w:spacing w:after="0" w:line="260" w:lineRule="atLeast"/>
      <w:jc w:val="both"/>
    </w:pPr>
    <w:rPr>
      <w:rFonts w:ascii="Times" w:eastAsia="Times New Roman" w:hAnsi="Times" w:cs="Times New Roman"/>
      <w:sz w:val="22"/>
      <w:szCs w:val="20"/>
      <w:lang w:eastAsia="pt-BR"/>
    </w:rPr>
  </w:style>
  <w:style w:type="character" w:customStyle="1" w:styleId="17TEXTOcorpojustificadoChar">
    <w:name w:val="17. «TEXTO» corpo justificado Char"/>
    <w:link w:val="17TEXTOcorpojustificado"/>
    <w:rsid w:val="00625BD7"/>
    <w:rPr>
      <w:rFonts w:ascii="Times" w:eastAsia="Times New Roman" w:hAnsi="Times" w:cs="Times New Roman"/>
      <w:szCs w:val="20"/>
      <w:lang w:eastAsia="pt-BR"/>
    </w:rPr>
  </w:style>
  <w:style w:type="paragraph" w:customStyle="1" w:styleId="Default">
    <w:name w:val="Default"/>
    <w:rsid w:val="00625BD7"/>
    <w:pPr>
      <w:autoSpaceDE w:val="0"/>
      <w:autoSpaceDN w:val="0"/>
      <w:adjustRightInd w:val="0"/>
      <w:spacing w:after="0" w:line="240" w:lineRule="auto"/>
    </w:pPr>
    <w:rPr>
      <w:rFonts w:ascii="Arial" w:eastAsia="Calibri" w:hAnsi="Arial" w:cs="Arial"/>
      <w:color w:val="000000"/>
      <w:sz w:val="24"/>
      <w:szCs w:val="24"/>
    </w:rPr>
  </w:style>
  <w:style w:type="paragraph" w:customStyle="1" w:styleId="Pa3">
    <w:name w:val="Pa3"/>
    <w:basedOn w:val="Default"/>
    <w:next w:val="Default"/>
    <w:uiPriority w:val="99"/>
    <w:rsid w:val="00625BD7"/>
    <w:pPr>
      <w:spacing w:line="137" w:lineRule="atLeast"/>
    </w:pPr>
    <w:rPr>
      <w:color w:val="auto"/>
    </w:rPr>
  </w:style>
  <w:style w:type="paragraph" w:customStyle="1" w:styleId="bullet1">
    <w:name w:val="bullet 1"/>
    <w:basedOn w:val="Normal"/>
    <w:rsid w:val="00625BD7"/>
    <w:pPr>
      <w:numPr>
        <w:numId w:val="14"/>
      </w:numPr>
      <w:spacing w:after="140" w:line="290" w:lineRule="auto"/>
      <w:jc w:val="both"/>
    </w:pPr>
    <w:rPr>
      <w:rFonts w:eastAsia="Times New Roman" w:cs="Times New Roman"/>
      <w:kern w:val="20"/>
      <w:sz w:val="20"/>
      <w:szCs w:val="24"/>
      <w:lang w:val="en-US"/>
    </w:rPr>
  </w:style>
  <w:style w:type="character" w:customStyle="1" w:styleId="BodyChar">
    <w:name w:val="Body Char"/>
    <w:link w:val="Body"/>
    <w:uiPriority w:val="99"/>
    <w:rsid w:val="00625BD7"/>
    <w:rPr>
      <w:rFonts w:ascii="Arial" w:eastAsia="Times New Roman" w:hAnsi="Arial" w:cs="Times New Roman"/>
      <w:kern w:val="20"/>
      <w:sz w:val="20"/>
      <w:szCs w:val="24"/>
      <w:lang w:eastAsia="en-GB"/>
    </w:rPr>
  </w:style>
  <w:style w:type="character" w:customStyle="1" w:styleId="st">
    <w:name w:val="st"/>
    <w:basedOn w:val="Fontepargpadro"/>
    <w:rsid w:val="00625BD7"/>
  </w:style>
  <w:style w:type="paragraph" w:customStyle="1" w:styleId="Padro">
    <w:name w:val="Padrão"/>
    <w:rsid w:val="00625BD7"/>
    <w:pPr>
      <w:tabs>
        <w:tab w:val="left" w:pos="708"/>
      </w:tabs>
      <w:suppressAutoHyphens/>
      <w:spacing w:after="200" w:line="276" w:lineRule="auto"/>
    </w:pPr>
    <w:rPr>
      <w:rFonts w:ascii="Calibri" w:eastAsia="SimSun" w:hAnsi="Calibri" w:cs="Calibri"/>
      <w:color w:val="00000A"/>
    </w:rPr>
  </w:style>
  <w:style w:type="paragraph" w:customStyle="1" w:styleId="10-Lista2">
    <w:name w:val="10-Lista 2"/>
    <w:basedOn w:val="09-Lista"/>
    <w:qFormat/>
    <w:rsid w:val="00625BD7"/>
    <w:pPr>
      <w:numPr>
        <w:numId w:val="15"/>
      </w:numPr>
      <w:tabs>
        <w:tab w:val="left" w:pos="1418"/>
      </w:tabs>
      <w:spacing w:line="276" w:lineRule="auto"/>
    </w:pPr>
    <w:rPr>
      <w:spacing w:val="-2"/>
      <w:sz w:val="18"/>
      <w:szCs w:val="18"/>
    </w:rPr>
  </w:style>
  <w:style w:type="paragraph" w:styleId="Textodenotaderodap">
    <w:name w:val="footnote text"/>
    <w:basedOn w:val="Normal"/>
    <w:link w:val="TextodenotaderodapChar"/>
    <w:uiPriority w:val="99"/>
    <w:semiHidden/>
    <w:unhideWhenUsed/>
    <w:rsid w:val="00625BD7"/>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625BD7"/>
    <w:rPr>
      <w:rFonts w:ascii="Calibri" w:eastAsia="Calibri" w:hAnsi="Calibri" w:cs="Times New Roman"/>
      <w:sz w:val="20"/>
      <w:szCs w:val="20"/>
    </w:rPr>
  </w:style>
  <w:style w:type="paragraph" w:styleId="NormalWeb">
    <w:name w:val="Normal (Web)"/>
    <w:basedOn w:val="Normal"/>
    <w:uiPriority w:val="99"/>
    <w:semiHidden/>
    <w:unhideWhenUsed/>
    <w:rsid w:val="00625B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625BD7"/>
    <w:rPr>
      <w:i/>
      <w:iCs/>
    </w:rPr>
  </w:style>
  <w:style w:type="character" w:customStyle="1" w:styleId="pt-br">
    <w:name w:val="pt-br"/>
    <w:basedOn w:val="Fontepargpadro"/>
    <w:rsid w:val="00625BD7"/>
  </w:style>
  <w:style w:type="character" w:styleId="Forte">
    <w:name w:val="Strong"/>
    <w:uiPriority w:val="22"/>
    <w:qFormat/>
    <w:rsid w:val="00625BD7"/>
    <w:rPr>
      <w:b/>
      <w:bCs/>
    </w:rPr>
  </w:style>
  <w:style w:type="table" w:customStyle="1" w:styleId="TabelaSimples21">
    <w:name w:val="Tabela Simples 21"/>
    <w:basedOn w:val="Tabelanormal"/>
    <w:uiPriority w:val="42"/>
    <w:rsid w:val="00625BD7"/>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625BD7"/>
    <w:pPr>
      <w:spacing w:after="0" w:line="240" w:lineRule="auto"/>
      <w:jc w:val="both"/>
    </w:pPr>
    <w:rPr>
      <w:rFonts w:ascii="Calibri" w:eastAsia="Calibri" w:hAnsi="Calibri" w:cs="Times New Roman"/>
      <w:bCs/>
      <w:color w:val="1F497D"/>
    </w:rPr>
  </w:style>
  <w:style w:type="paragraph" w:customStyle="1" w:styleId="050-TextoPadro">
    <w:name w:val="050 - Texto Padrão"/>
    <w:basedOn w:val="Normal"/>
    <w:link w:val="050-TextoPadroChar"/>
    <w:qFormat/>
    <w:rsid w:val="00625BD7"/>
    <w:pPr>
      <w:spacing w:before="120" w:after="120" w:line="276" w:lineRule="auto"/>
      <w:jc w:val="both"/>
    </w:pPr>
    <w:rPr>
      <w:rFonts w:eastAsia="Times New Roman" w:cs="Times New Roman"/>
      <w:szCs w:val="18"/>
      <w:lang w:eastAsia="pt-BR"/>
    </w:rPr>
  </w:style>
  <w:style w:type="character" w:customStyle="1" w:styleId="050-TextoPadroChar">
    <w:name w:val="050 - Texto Padrão Char"/>
    <w:basedOn w:val="Fontepargpadro"/>
    <w:link w:val="050-TextoPadro"/>
    <w:rsid w:val="00625BD7"/>
    <w:rPr>
      <w:rFonts w:ascii="Arial" w:eastAsia="Times New Roman" w:hAnsi="Arial" w:cs="Times New Roman"/>
      <w:sz w:val="18"/>
      <w:szCs w:val="18"/>
      <w:lang w:eastAsia="pt-BR"/>
    </w:rPr>
  </w:style>
  <w:style w:type="paragraph" w:customStyle="1" w:styleId="Textodenotadefim1">
    <w:name w:val="Texto de nota de fim1"/>
    <w:basedOn w:val="Normal"/>
    <w:next w:val="Textodenotadefim"/>
    <w:link w:val="TextodenotadefimChar"/>
    <w:uiPriority w:val="99"/>
    <w:semiHidden/>
    <w:unhideWhenUsed/>
    <w:rsid w:val="00625BD7"/>
    <w:pPr>
      <w:spacing w:after="0" w:line="240" w:lineRule="auto"/>
    </w:pPr>
    <w:rPr>
      <w:rFonts w:asciiTheme="minorHAnsi" w:eastAsia="MS Mincho" w:hAnsiTheme="minorHAnsi"/>
      <w:sz w:val="20"/>
      <w:szCs w:val="20"/>
    </w:rPr>
  </w:style>
  <w:style w:type="character" w:customStyle="1" w:styleId="TextodenotadefimChar">
    <w:name w:val="Texto de nota de fim Char"/>
    <w:basedOn w:val="Fontepargpadro"/>
    <w:link w:val="Textodenotadefim1"/>
    <w:uiPriority w:val="99"/>
    <w:semiHidden/>
    <w:rsid w:val="00625BD7"/>
    <w:rPr>
      <w:rFonts w:eastAsia="MS Mincho"/>
      <w:sz w:val="20"/>
      <w:szCs w:val="20"/>
    </w:rPr>
  </w:style>
  <w:style w:type="character" w:styleId="Refdenotadefim">
    <w:name w:val="endnote reference"/>
    <w:basedOn w:val="Fontepargpadro"/>
    <w:uiPriority w:val="99"/>
    <w:semiHidden/>
    <w:unhideWhenUsed/>
    <w:rsid w:val="00625BD7"/>
    <w:rPr>
      <w:vertAlign w:val="superscript"/>
    </w:rPr>
  </w:style>
  <w:style w:type="character" w:customStyle="1" w:styleId="translation">
    <w:name w:val="translation"/>
    <w:rsid w:val="00625BD7"/>
  </w:style>
  <w:style w:type="paragraph" w:styleId="Textodenotadefim">
    <w:name w:val="endnote text"/>
    <w:basedOn w:val="Normal"/>
    <w:link w:val="TextodenotadefimChar1"/>
    <w:uiPriority w:val="99"/>
    <w:semiHidden/>
    <w:unhideWhenUsed/>
    <w:rsid w:val="00625BD7"/>
    <w:pPr>
      <w:spacing w:after="0" w:line="240" w:lineRule="auto"/>
    </w:pPr>
    <w:rPr>
      <w:sz w:val="20"/>
      <w:szCs w:val="20"/>
    </w:rPr>
  </w:style>
  <w:style w:type="character" w:customStyle="1" w:styleId="TextodenotadefimChar1">
    <w:name w:val="Texto de nota de fim Char1"/>
    <w:basedOn w:val="Fontepargpadro"/>
    <w:link w:val="Textodenotadefim"/>
    <w:uiPriority w:val="99"/>
    <w:semiHidden/>
    <w:rsid w:val="00625BD7"/>
    <w:rPr>
      <w:rFonts w:ascii="Arial" w:hAnsi="Arial"/>
      <w:sz w:val="20"/>
      <w:szCs w:val="20"/>
    </w:rPr>
  </w:style>
  <w:style w:type="paragraph" w:styleId="Pr-formataoHTML">
    <w:name w:val="HTML Preformatted"/>
    <w:basedOn w:val="Normal"/>
    <w:link w:val="Pr-formataoHTMLChar"/>
    <w:uiPriority w:val="99"/>
    <w:semiHidden/>
    <w:unhideWhenUsed/>
    <w:rsid w:val="0085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50B55"/>
    <w:rPr>
      <w:rFonts w:ascii="Courier New" w:eastAsia="Times New Roman" w:hAnsi="Courier New" w:cs="Courier New"/>
      <w:sz w:val="20"/>
      <w:szCs w:val="20"/>
      <w:lang w:eastAsia="pt-BR"/>
    </w:rPr>
  </w:style>
  <w:style w:type="paragraph" w:customStyle="1" w:styleId="Normal1">
    <w:name w:val="Normal 1"/>
    <w:basedOn w:val="Normal"/>
    <w:rsid w:val="008121B6"/>
    <w:pPr>
      <w:spacing w:after="240" w:line="280" w:lineRule="atLeast"/>
      <w:ind w:left="454"/>
      <w:jc w:val="both"/>
    </w:pPr>
    <w:rPr>
      <w:rFonts w:ascii="Times New Roman" w:eastAsia="SimSun" w:hAnsi="Times New Roman" w:cs="Times New Roman"/>
      <w:sz w:val="24"/>
      <w:szCs w:val="24"/>
      <w:lang w:val="en-US"/>
    </w:rPr>
  </w:style>
  <w:style w:type="paragraph" w:customStyle="1" w:styleId="Parecer">
    <w:name w:val="Parecer"/>
    <w:basedOn w:val="Normal"/>
    <w:rsid w:val="008121B6"/>
    <w:pPr>
      <w:numPr>
        <w:numId w:val="17"/>
      </w:numPr>
      <w:spacing w:after="240" w:line="280" w:lineRule="atLeast"/>
    </w:pPr>
    <w:rPr>
      <w:rFonts w:ascii="Times New Roman" w:eastAsia="SimSun" w:hAnsi="Times New Roman" w:cs="Times New Roman"/>
      <w:sz w:val="24"/>
      <w:szCs w:val="24"/>
      <w:lang w:val="en-US"/>
    </w:rPr>
  </w:style>
  <w:style w:type="paragraph" w:customStyle="1" w:styleId="DTT">
    <w:name w:val="DTT"/>
    <w:basedOn w:val="Descriodotrabalho"/>
    <w:rsid w:val="008121B6"/>
    <w:pPr>
      <w:spacing w:line="240" w:lineRule="auto"/>
    </w:pPr>
    <w:rPr>
      <w:i w:val="0"/>
      <w:sz w:val="18"/>
    </w:rPr>
  </w:style>
  <w:style w:type="paragraph" w:customStyle="1" w:styleId="Descriodotrabalho">
    <w:name w:val="Descrição do trabalho"/>
    <w:basedOn w:val="Normal"/>
    <w:rsid w:val="008121B6"/>
    <w:pPr>
      <w:spacing w:after="0" w:line="280" w:lineRule="atLeast"/>
    </w:pPr>
    <w:rPr>
      <w:rFonts w:ascii="Univers" w:eastAsia="SimSun" w:hAnsi="Univers" w:cs="Times New Roman"/>
      <w:i/>
      <w:sz w:val="24"/>
      <w:szCs w:val="20"/>
      <w:lang w:val="en-US"/>
    </w:rPr>
  </w:style>
  <w:style w:type="table" w:customStyle="1" w:styleId="TableGrid3">
    <w:name w:val="Table Grid3"/>
    <w:basedOn w:val="Tabelanormal"/>
    <w:next w:val="Tabelacomgrade"/>
    <w:uiPriority w:val="59"/>
    <w:rsid w:val="008121B6"/>
    <w:pPr>
      <w:spacing w:after="0" w:line="240" w:lineRule="auto"/>
    </w:pPr>
    <w:rPr>
      <w:lang w:val="en-GB"/>
    </w:rPr>
    <w:tblPr/>
  </w:style>
  <w:style w:type="paragraph" w:customStyle="1" w:styleId="filename">
    <w:name w:val="filename"/>
    <w:basedOn w:val="Cabealho"/>
    <w:link w:val="filenameChar"/>
    <w:autoRedefine/>
    <w:qFormat/>
    <w:rsid w:val="008121B6"/>
    <w:pPr>
      <w:tabs>
        <w:tab w:val="clear" w:pos="4252"/>
        <w:tab w:val="clear" w:pos="8504"/>
        <w:tab w:val="center" w:pos="4320"/>
        <w:tab w:val="right" w:pos="8640"/>
      </w:tabs>
      <w:jc w:val="both"/>
    </w:pPr>
    <w:rPr>
      <w:rFonts w:asciiTheme="minorHAnsi" w:eastAsia="Times New Roman" w:hAnsiTheme="minorHAnsi" w:cstheme="minorHAnsi"/>
      <w:noProof/>
      <w:sz w:val="10"/>
      <w:szCs w:val="10"/>
    </w:rPr>
  </w:style>
  <w:style w:type="character" w:customStyle="1" w:styleId="filenameChar">
    <w:name w:val="filename Char"/>
    <w:link w:val="filename"/>
    <w:rsid w:val="008121B6"/>
    <w:rPr>
      <w:rFonts w:eastAsia="Times New Roman" w:cstheme="minorHAnsi"/>
      <w:noProof/>
      <w:sz w:val="10"/>
      <w:szCs w:val="10"/>
    </w:rPr>
  </w:style>
  <w:style w:type="paragraph" w:customStyle="1" w:styleId="P68B1DB1-Normal2">
    <w:name w:val="P68B1DB1-Normal2"/>
    <w:basedOn w:val="Normal"/>
    <w:rsid w:val="004F0411"/>
    <w:pPr>
      <w:spacing w:after="200" w:line="276" w:lineRule="auto"/>
    </w:pPr>
    <w:rPr>
      <w:rFonts w:eastAsia="MS Mincho" w:cs="Arial"/>
      <w:szCs w:val="20"/>
      <w:lang w:eastAsia="pt-BR"/>
    </w:rPr>
  </w:style>
  <w:style w:type="paragraph" w:customStyle="1" w:styleId="P68B1DB1-05-Textonormal3">
    <w:name w:val="P68B1DB1-05-Textonormal3"/>
    <w:basedOn w:val="05-Textonormal"/>
    <w:rsid w:val="004F0411"/>
    <w:rPr>
      <w:rFonts w:cs="Arial"/>
      <w:spacing w:val="0"/>
      <w:szCs w:val="20"/>
    </w:rPr>
  </w:style>
  <w:style w:type="character" w:customStyle="1" w:styleId="y2iqfc">
    <w:name w:val="y2iqfc"/>
    <w:basedOn w:val="Fontepargpadro"/>
    <w:rsid w:val="00A354D3"/>
  </w:style>
  <w:style w:type="character" w:customStyle="1" w:styleId="highlight">
    <w:name w:val="highlight"/>
    <w:basedOn w:val="Fontepargpadro"/>
    <w:rsid w:val="00A354D3"/>
  </w:style>
  <w:style w:type="character" w:customStyle="1" w:styleId="Ttulo3Char">
    <w:name w:val="Título 3 Char"/>
    <w:basedOn w:val="Fontepargpadro"/>
    <w:link w:val="Ttulo3"/>
    <w:rsid w:val="00C74A0D"/>
    <w:rPr>
      <w:rFonts w:ascii="Times New Roman" w:eastAsia="Times New Roman" w:hAnsi="Times New Roman" w:cs="Times New Roman"/>
      <w:sz w:val="24"/>
      <w:szCs w:val="20"/>
      <w:lang w:val="x-none" w:eastAsia="zh-CN"/>
    </w:rPr>
  </w:style>
  <w:style w:type="table" w:customStyle="1" w:styleId="TabeladeLista6Colorida-nfase515">
    <w:name w:val="Tabela de Lista 6 Colorida - Ênfase 515"/>
    <w:basedOn w:val="Tabelanormal"/>
    <w:uiPriority w:val="51"/>
    <w:rsid w:val="00C74A0D"/>
    <w:pPr>
      <w:spacing w:after="0" w:line="240" w:lineRule="auto"/>
    </w:pPr>
    <w:rPr>
      <w:color w:val="000000"/>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6Colorida-nfase5100">
    <w:name w:val="Tabela de Lista 6 Colorida - Ênfase 51_0"/>
    <w:basedOn w:val="Tabelanormal"/>
    <w:uiPriority w:val="51"/>
    <w:rsid w:val="00C74A0D"/>
    <w:pPr>
      <w:spacing w:after="0" w:line="240" w:lineRule="auto"/>
    </w:pPr>
    <w:rPr>
      <w:color w:val="000000"/>
    </w:rPr>
    <w:tblPr>
      <w:tblStyleRowBandSize w:val="1"/>
      <w:tblStyleColBandSize w:val="1"/>
      <w:tblBorders>
        <w:top w:val="single" w:sz="4" w:space="0" w:color="4472C4"/>
        <w:bottom w:val="single" w:sz="4" w:space="0" w:color="4472C4"/>
      </w:tblBorders>
    </w:tblPr>
    <w:tblStylePr w:type="firstRow">
      <w:rPr>
        <w:b/>
        <w:bCs/>
      </w:rPr>
      <w:tblPr/>
      <w:tcPr>
        <w:tcBorders>
          <w:top w:val="single" w:sz="4" w:space="0" w:color="8EAADB"/>
          <w:left w:val="nil"/>
          <w:bottom w:val="single" w:sz="4" w:space="0" w:color="8EAADB"/>
          <w:right w:val="nil"/>
          <w:insideH w:val="nil"/>
          <w:insideV w:val="nil"/>
          <w:tl2br w:val="nil"/>
          <w:tr2bl w:val="nil"/>
        </w:tcBorders>
        <w:shd w:val="clear" w:color="auto" w:fill="D9E2F3"/>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FFFFFF"/>
      </w:tcPr>
    </w:tblStylePr>
    <w:tblStylePr w:type="band2Horz">
      <w:tblPr/>
      <w:tcPr>
        <w:shd w:val="clear" w:color="auto" w:fill="D9E2F3"/>
      </w:tcPr>
    </w:tblStylePr>
  </w:style>
  <w:style w:type="table" w:customStyle="1" w:styleId="TabeladeGrade1Clara-nfase1100">
    <w:name w:val="Tabela de Grade 1 Clara - Ênfase 11_0"/>
    <w:basedOn w:val="Tabelanormal"/>
    <w:uiPriority w:val="46"/>
    <w:rsid w:val="00C74A0D"/>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deLista4-nfase1100">
    <w:name w:val="Tabela de Lista 4 - Ênfase 11_0"/>
    <w:basedOn w:val="Tabelanormal"/>
    <w:uiPriority w:val="49"/>
    <w:rsid w:val="00C74A0D"/>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7Colorida-nfase1100">
    <w:name w:val="Tabela de Lista 7 Colorida - Ênfase 11_0"/>
    <w:basedOn w:val="Tabelanormal"/>
    <w:uiPriority w:val="52"/>
    <w:rsid w:val="00C74A0D"/>
    <w:pPr>
      <w:spacing w:after="0" w:line="240" w:lineRule="auto"/>
    </w:pPr>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0">
    <w:name w:val="Tabela de Grade 2 - Ênfase 11_0"/>
    <w:basedOn w:val="Tabelanormal"/>
    <w:uiPriority w:val="47"/>
    <w:rsid w:val="00C74A0D"/>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2-nfase5100">
    <w:name w:val="Tabela de Grade 2 - Ênfase 51_0"/>
    <w:basedOn w:val="Tabelanormal"/>
    <w:uiPriority w:val="47"/>
    <w:rsid w:val="00C74A0D"/>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Grade6Colorida-nfase5100">
    <w:name w:val="Tabela de Grade 6 Colorida - Ênfase 51_0"/>
    <w:basedOn w:val="Tabelanormal"/>
    <w:uiPriority w:val="51"/>
    <w:rsid w:val="00C74A0D"/>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5100">
    <w:name w:val="Tabela de Lista 2 - Ênfase 51_0"/>
    <w:basedOn w:val="Tabelanormal"/>
    <w:uiPriority w:val="47"/>
    <w:rsid w:val="00C74A0D"/>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4-nfase5100">
    <w:name w:val="Tabela de Lista 4 - Ênfase 51_0"/>
    <w:basedOn w:val="Tabelanormal"/>
    <w:uiPriority w:val="49"/>
    <w:rsid w:val="00C74A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deLista2-nfase1100">
    <w:name w:val="Tabela de Lista 2 - Ênfase 11_0"/>
    <w:basedOn w:val="Tabelanormal"/>
    <w:uiPriority w:val="47"/>
    <w:rsid w:val="00C74A0D"/>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oPendente2">
    <w:name w:val="Menção Pendente2"/>
    <w:basedOn w:val="Fontepargpadro"/>
    <w:uiPriority w:val="99"/>
    <w:semiHidden/>
    <w:unhideWhenUsed/>
    <w:rsid w:val="00C74A0D"/>
    <w:rPr>
      <w:color w:val="605E5C"/>
      <w:shd w:val="clear" w:color="auto" w:fill="E1DFDD"/>
    </w:rPr>
  </w:style>
  <w:style w:type="table" w:customStyle="1" w:styleId="TableGrid31">
    <w:name w:val="Table Grid31"/>
    <w:basedOn w:val="Tabelanormal"/>
    <w:next w:val="Tabelacomgrade"/>
    <w:uiPriority w:val="59"/>
    <w:rsid w:val="004D7600"/>
    <w:pPr>
      <w:spacing w:after="0" w:line="240" w:lineRule="auto"/>
    </w:pPr>
    <w:rPr>
      <w:lang w:val="en-GB"/>
    </w:rPr>
    <w:tblPr/>
  </w:style>
  <w:style w:type="character" w:customStyle="1" w:styleId="q4iawc">
    <w:name w:val="q4iawc"/>
    <w:basedOn w:val="Fontepargpadro"/>
    <w:rsid w:val="009F71C4"/>
  </w:style>
  <w:style w:type="character" w:customStyle="1" w:styleId="MenoPendente3">
    <w:name w:val="Menção Pendente3"/>
    <w:basedOn w:val="Fontepargpadro"/>
    <w:uiPriority w:val="99"/>
    <w:semiHidden/>
    <w:unhideWhenUsed/>
    <w:rsid w:val="00F0356E"/>
    <w:rPr>
      <w:color w:val="605E5C"/>
      <w:shd w:val="clear" w:color="auto" w:fill="E1DFDD"/>
    </w:rPr>
  </w:style>
  <w:style w:type="character" w:customStyle="1" w:styleId="viiyi">
    <w:name w:val="viiyi"/>
    <w:basedOn w:val="Fontepargpadro"/>
    <w:rsid w:val="00F84D72"/>
  </w:style>
  <w:style w:type="character" w:customStyle="1" w:styleId="rynqvb">
    <w:name w:val="rynqvb"/>
    <w:basedOn w:val="Fontepargpadro"/>
    <w:rsid w:val="006451C7"/>
  </w:style>
  <w:style w:type="character" w:customStyle="1" w:styleId="tagt">
    <w:name w:val="tag_t"/>
    <w:basedOn w:val="Fontepargpadro"/>
    <w:rsid w:val="006451C7"/>
  </w:style>
  <w:style w:type="character" w:customStyle="1" w:styleId="hwtze">
    <w:name w:val="hwtze"/>
    <w:basedOn w:val="Fontepargpadro"/>
    <w:rsid w:val="00252C1D"/>
  </w:style>
  <w:style w:type="paragraph" w:customStyle="1" w:styleId="Lista1">
    <w:name w:val="Lista1"/>
    <w:basedOn w:val="Normal"/>
    <w:qFormat/>
    <w:rsid w:val="009D4210"/>
    <w:pPr>
      <w:spacing w:before="100" w:after="100" w:line="312" w:lineRule="auto"/>
      <w:ind w:left="57" w:right="57"/>
      <w:jc w:val="both"/>
    </w:pPr>
    <w:rPr>
      <w:rFonts w:ascii="BancoDoBrasil Textos Light" w:hAnsi="BancoDoBrasil Textos Light"/>
      <w:sz w:val="16"/>
    </w:rPr>
  </w:style>
  <w:style w:type="paragraph" w:customStyle="1" w:styleId="Subtitulonivel1">
    <w:name w:val="Subtitulo nivel 1"/>
    <w:basedOn w:val="Normal"/>
    <w:qFormat/>
    <w:rsid w:val="009D4210"/>
    <w:pPr>
      <w:tabs>
        <w:tab w:val="left" w:pos="7083"/>
      </w:tabs>
      <w:spacing w:before="120" w:after="120" w:line="240" w:lineRule="auto"/>
      <w:ind w:right="57"/>
      <w:jc w:val="both"/>
    </w:pPr>
    <w:rPr>
      <w:rFonts w:ascii="Calibri" w:hAnsi="Calibri"/>
      <w:color w:val="002D4B"/>
      <w:sz w:val="20"/>
    </w:rPr>
  </w:style>
  <w:style w:type="character" w:customStyle="1" w:styleId="xcontentpasted0">
    <w:name w:val="x_contentpasted0"/>
    <w:basedOn w:val="Fontepargpadro"/>
    <w:rsid w:val="009D4210"/>
  </w:style>
  <w:style w:type="character" w:customStyle="1" w:styleId="MenoPendente4">
    <w:name w:val="Menção Pendente4"/>
    <w:basedOn w:val="Fontepargpadro"/>
    <w:uiPriority w:val="99"/>
    <w:rsid w:val="009D4210"/>
    <w:rPr>
      <w:color w:val="605E5C"/>
      <w:shd w:val="clear" w:color="auto" w:fill="E1DFDD"/>
    </w:rPr>
  </w:style>
  <w:style w:type="paragraph" w:styleId="Ttulo">
    <w:name w:val="Title"/>
    <w:basedOn w:val="Normal"/>
    <w:next w:val="Normal"/>
    <w:link w:val="TtuloChar"/>
    <w:uiPriority w:val="10"/>
    <w:qFormat/>
    <w:rsid w:val="00F410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4102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277">
      <w:bodyDiv w:val="1"/>
      <w:marLeft w:val="0"/>
      <w:marRight w:val="0"/>
      <w:marTop w:val="0"/>
      <w:marBottom w:val="0"/>
      <w:divBdr>
        <w:top w:val="none" w:sz="0" w:space="0" w:color="auto"/>
        <w:left w:val="none" w:sz="0" w:space="0" w:color="auto"/>
        <w:bottom w:val="none" w:sz="0" w:space="0" w:color="auto"/>
        <w:right w:val="none" w:sz="0" w:space="0" w:color="auto"/>
      </w:divBdr>
    </w:div>
    <w:div w:id="39670925">
      <w:bodyDiv w:val="1"/>
      <w:marLeft w:val="0"/>
      <w:marRight w:val="0"/>
      <w:marTop w:val="0"/>
      <w:marBottom w:val="0"/>
      <w:divBdr>
        <w:top w:val="none" w:sz="0" w:space="0" w:color="auto"/>
        <w:left w:val="none" w:sz="0" w:space="0" w:color="auto"/>
        <w:bottom w:val="none" w:sz="0" w:space="0" w:color="auto"/>
        <w:right w:val="none" w:sz="0" w:space="0" w:color="auto"/>
      </w:divBdr>
    </w:div>
    <w:div w:id="56056646">
      <w:bodyDiv w:val="1"/>
      <w:marLeft w:val="0"/>
      <w:marRight w:val="0"/>
      <w:marTop w:val="0"/>
      <w:marBottom w:val="0"/>
      <w:divBdr>
        <w:top w:val="none" w:sz="0" w:space="0" w:color="auto"/>
        <w:left w:val="none" w:sz="0" w:space="0" w:color="auto"/>
        <w:bottom w:val="none" w:sz="0" w:space="0" w:color="auto"/>
        <w:right w:val="none" w:sz="0" w:space="0" w:color="auto"/>
      </w:divBdr>
    </w:div>
    <w:div w:id="78596724">
      <w:bodyDiv w:val="1"/>
      <w:marLeft w:val="0"/>
      <w:marRight w:val="0"/>
      <w:marTop w:val="0"/>
      <w:marBottom w:val="0"/>
      <w:divBdr>
        <w:top w:val="none" w:sz="0" w:space="0" w:color="auto"/>
        <w:left w:val="none" w:sz="0" w:space="0" w:color="auto"/>
        <w:bottom w:val="none" w:sz="0" w:space="0" w:color="auto"/>
        <w:right w:val="none" w:sz="0" w:space="0" w:color="auto"/>
      </w:divBdr>
    </w:div>
    <w:div w:id="135418256">
      <w:bodyDiv w:val="1"/>
      <w:marLeft w:val="0"/>
      <w:marRight w:val="0"/>
      <w:marTop w:val="0"/>
      <w:marBottom w:val="0"/>
      <w:divBdr>
        <w:top w:val="none" w:sz="0" w:space="0" w:color="auto"/>
        <w:left w:val="none" w:sz="0" w:space="0" w:color="auto"/>
        <w:bottom w:val="none" w:sz="0" w:space="0" w:color="auto"/>
        <w:right w:val="none" w:sz="0" w:space="0" w:color="auto"/>
      </w:divBdr>
    </w:div>
    <w:div w:id="164781450">
      <w:bodyDiv w:val="1"/>
      <w:marLeft w:val="0"/>
      <w:marRight w:val="0"/>
      <w:marTop w:val="0"/>
      <w:marBottom w:val="0"/>
      <w:divBdr>
        <w:top w:val="none" w:sz="0" w:space="0" w:color="auto"/>
        <w:left w:val="none" w:sz="0" w:space="0" w:color="auto"/>
        <w:bottom w:val="none" w:sz="0" w:space="0" w:color="auto"/>
        <w:right w:val="none" w:sz="0" w:space="0" w:color="auto"/>
      </w:divBdr>
    </w:div>
    <w:div w:id="166485564">
      <w:bodyDiv w:val="1"/>
      <w:marLeft w:val="0"/>
      <w:marRight w:val="0"/>
      <w:marTop w:val="0"/>
      <w:marBottom w:val="0"/>
      <w:divBdr>
        <w:top w:val="none" w:sz="0" w:space="0" w:color="auto"/>
        <w:left w:val="none" w:sz="0" w:space="0" w:color="auto"/>
        <w:bottom w:val="none" w:sz="0" w:space="0" w:color="auto"/>
        <w:right w:val="none" w:sz="0" w:space="0" w:color="auto"/>
      </w:divBdr>
    </w:div>
    <w:div w:id="192152394">
      <w:bodyDiv w:val="1"/>
      <w:marLeft w:val="0"/>
      <w:marRight w:val="0"/>
      <w:marTop w:val="0"/>
      <w:marBottom w:val="0"/>
      <w:divBdr>
        <w:top w:val="none" w:sz="0" w:space="0" w:color="auto"/>
        <w:left w:val="none" w:sz="0" w:space="0" w:color="auto"/>
        <w:bottom w:val="none" w:sz="0" w:space="0" w:color="auto"/>
        <w:right w:val="none" w:sz="0" w:space="0" w:color="auto"/>
      </w:divBdr>
    </w:div>
    <w:div w:id="195706235">
      <w:bodyDiv w:val="1"/>
      <w:marLeft w:val="0"/>
      <w:marRight w:val="0"/>
      <w:marTop w:val="0"/>
      <w:marBottom w:val="0"/>
      <w:divBdr>
        <w:top w:val="none" w:sz="0" w:space="0" w:color="auto"/>
        <w:left w:val="none" w:sz="0" w:space="0" w:color="auto"/>
        <w:bottom w:val="none" w:sz="0" w:space="0" w:color="auto"/>
        <w:right w:val="none" w:sz="0" w:space="0" w:color="auto"/>
      </w:divBdr>
    </w:div>
    <w:div w:id="198588868">
      <w:bodyDiv w:val="1"/>
      <w:marLeft w:val="0"/>
      <w:marRight w:val="0"/>
      <w:marTop w:val="0"/>
      <w:marBottom w:val="0"/>
      <w:divBdr>
        <w:top w:val="none" w:sz="0" w:space="0" w:color="auto"/>
        <w:left w:val="none" w:sz="0" w:space="0" w:color="auto"/>
        <w:bottom w:val="none" w:sz="0" w:space="0" w:color="auto"/>
        <w:right w:val="none" w:sz="0" w:space="0" w:color="auto"/>
      </w:divBdr>
    </w:div>
    <w:div w:id="209611158">
      <w:bodyDiv w:val="1"/>
      <w:marLeft w:val="0"/>
      <w:marRight w:val="0"/>
      <w:marTop w:val="0"/>
      <w:marBottom w:val="0"/>
      <w:divBdr>
        <w:top w:val="none" w:sz="0" w:space="0" w:color="auto"/>
        <w:left w:val="none" w:sz="0" w:space="0" w:color="auto"/>
        <w:bottom w:val="none" w:sz="0" w:space="0" w:color="auto"/>
        <w:right w:val="none" w:sz="0" w:space="0" w:color="auto"/>
      </w:divBdr>
    </w:div>
    <w:div w:id="224338530">
      <w:bodyDiv w:val="1"/>
      <w:marLeft w:val="0"/>
      <w:marRight w:val="0"/>
      <w:marTop w:val="0"/>
      <w:marBottom w:val="0"/>
      <w:divBdr>
        <w:top w:val="none" w:sz="0" w:space="0" w:color="auto"/>
        <w:left w:val="none" w:sz="0" w:space="0" w:color="auto"/>
        <w:bottom w:val="none" w:sz="0" w:space="0" w:color="auto"/>
        <w:right w:val="none" w:sz="0" w:space="0" w:color="auto"/>
      </w:divBdr>
    </w:div>
    <w:div w:id="236595576">
      <w:bodyDiv w:val="1"/>
      <w:marLeft w:val="0"/>
      <w:marRight w:val="0"/>
      <w:marTop w:val="0"/>
      <w:marBottom w:val="0"/>
      <w:divBdr>
        <w:top w:val="none" w:sz="0" w:space="0" w:color="auto"/>
        <w:left w:val="none" w:sz="0" w:space="0" w:color="auto"/>
        <w:bottom w:val="none" w:sz="0" w:space="0" w:color="auto"/>
        <w:right w:val="none" w:sz="0" w:space="0" w:color="auto"/>
      </w:divBdr>
    </w:div>
    <w:div w:id="300422930">
      <w:bodyDiv w:val="1"/>
      <w:marLeft w:val="0"/>
      <w:marRight w:val="0"/>
      <w:marTop w:val="0"/>
      <w:marBottom w:val="0"/>
      <w:divBdr>
        <w:top w:val="none" w:sz="0" w:space="0" w:color="auto"/>
        <w:left w:val="none" w:sz="0" w:space="0" w:color="auto"/>
        <w:bottom w:val="none" w:sz="0" w:space="0" w:color="auto"/>
        <w:right w:val="none" w:sz="0" w:space="0" w:color="auto"/>
      </w:divBdr>
    </w:div>
    <w:div w:id="311106687">
      <w:bodyDiv w:val="1"/>
      <w:marLeft w:val="0"/>
      <w:marRight w:val="0"/>
      <w:marTop w:val="0"/>
      <w:marBottom w:val="0"/>
      <w:divBdr>
        <w:top w:val="none" w:sz="0" w:space="0" w:color="auto"/>
        <w:left w:val="none" w:sz="0" w:space="0" w:color="auto"/>
        <w:bottom w:val="none" w:sz="0" w:space="0" w:color="auto"/>
        <w:right w:val="none" w:sz="0" w:space="0" w:color="auto"/>
      </w:divBdr>
    </w:div>
    <w:div w:id="320500591">
      <w:bodyDiv w:val="1"/>
      <w:marLeft w:val="0"/>
      <w:marRight w:val="0"/>
      <w:marTop w:val="0"/>
      <w:marBottom w:val="0"/>
      <w:divBdr>
        <w:top w:val="none" w:sz="0" w:space="0" w:color="auto"/>
        <w:left w:val="none" w:sz="0" w:space="0" w:color="auto"/>
        <w:bottom w:val="none" w:sz="0" w:space="0" w:color="auto"/>
        <w:right w:val="none" w:sz="0" w:space="0" w:color="auto"/>
      </w:divBdr>
    </w:div>
    <w:div w:id="328026110">
      <w:bodyDiv w:val="1"/>
      <w:marLeft w:val="0"/>
      <w:marRight w:val="0"/>
      <w:marTop w:val="0"/>
      <w:marBottom w:val="0"/>
      <w:divBdr>
        <w:top w:val="none" w:sz="0" w:space="0" w:color="auto"/>
        <w:left w:val="none" w:sz="0" w:space="0" w:color="auto"/>
        <w:bottom w:val="none" w:sz="0" w:space="0" w:color="auto"/>
        <w:right w:val="none" w:sz="0" w:space="0" w:color="auto"/>
      </w:divBdr>
    </w:div>
    <w:div w:id="344094830">
      <w:bodyDiv w:val="1"/>
      <w:marLeft w:val="0"/>
      <w:marRight w:val="0"/>
      <w:marTop w:val="0"/>
      <w:marBottom w:val="0"/>
      <w:divBdr>
        <w:top w:val="none" w:sz="0" w:space="0" w:color="auto"/>
        <w:left w:val="none" w:sz="0" w:space="0" w:color="auto"/>
        <w:bottom w:val="none" w:sz="0" w:space="0" w:color="auto"/>
        <w:right w:val="none" w:sz="0" w:space="0" w:color="auto"/>
      </w:divBdr>
    </w:div>
    <w:div w:id="363292900">
      <w:bodyDiv w:val="1"/>
      <w:marLeft w:val="0"/>
      <w:marRight w:val="0"/>
      <w:marTop w:val="0"/>
      <w:marBottom w:val="0"/>
      <w:divBdr>
        <w:top w:val="none" w:sz="0" w:space="0" w:color="auto"/>
        <w:left w:val="none" w:sz="0" w:space="0" w:color="auto"/>
        <w:bottom w:val="none" w:sz="0" w:space="0" w:color="auto"/>
        <w:right w:val="none" w:sz="0" w:space="0" w:color="auto"/>
      </w:divBdr>
    </w:div>
    <w:div w:id="370228240">
      <w:bodyDiv w:val="1"/>
      <w:marLeft w:val="0"/>
      <w:marRight w:val="0"/>
      <w:marTop w:val="0"/>
      <w:marBottom w:val="0"/>
      <w:divBdr>
        <w:top w:val="none" w:sz="0" w:space="0" w:color="auto"/>
        <w:left w:val="none" w:sz="0" w:space="0" w:color="auto"/>
        <w:bottom w:val="none" w:sz="0" w:space="0" w:color="auto"/>
        <w:right w:val="none" w:sz="0" w:space="0" w:color="auto"/>
      </w:divBdr>
    </w:div>
    <w:div w:id="381052591">
      <w:bodyDiv w:val="1"/>
      <w:marLeft w:val="0"/>
      <w:marRight w:val="0"/>
      <w:marTop w:val="0"/>
      <w:marBottom w:val="0"/>
      <w:divBdr>
        <w:top w:val="none" w:sz="0" w:space="0" w:color="auto"/>
        <w:left w:val="none" w:sz="0" w:space="0" w:color="auto"/>
        <w:bottom w:val="none" w:sz="0" w:space="0" w:color="auto"/>
        <w:right w:val="none" w:sz="0" w:space="0" w:color="auto"/>
      </w:divBdr>
    </w:div>
    <w:div w:id="414134153">
      <w:bodyDiv w:val="1"/>
      <w:marLeft w:val="0"/>
      <w:marRight w:val="0"/>
      <w:marTop w:val="0"/>
      <w:marBottom w:val="0"/>
      <w:divBdr>
        <w:top w:val="none" w:sz="0" w:space="0" w:color="auto"/>
        <w:left w:val="none" w:sz="0" w:space="0" w:color="auto"/>
        <w:bottom w:val="none" w:sz="0" w:space="0" w:color="auto"/>
        <w:right w:val="none" w:sz="0" w:space="0" w:color="auto"/>
      </w:divBdr>
    </w:div>
    <w:div w:id="432631920">
      <w:bodyDiv w:val="1"/>
      <w:marLeft w:val="0"/>
      <w:marRight w:val="0"/>
      <w:marTop w:val="0"/>
      <w:marBottom w:val="0"/>
      <w:divBdr>
        <w:top w:val="none" w:sz="0" w:space="0" w:color="auto"/>
        <w:left w:val="none" w:sz="0" w:space="0" w:color="auto"/>
        <w:bottom w:val="none" w:sz="0" w:space="0" w:color="auto"/>
        <w:right w:val="none" w:sz="0" w:space="0" w:color="auto"/>
      </w:divBdr>
    </w:div>
    <w:div w:id="437915025">
      <w:bodyDiv w:val="1"/>
      <w:marLeft w:val="0"/>
      <w:marRight w:val="0"/>
      <w:marTop w:val="0"/>
      <w:marBottom w:val="0"/>
      <w:divBdr>
        <w:top w:val="none" w:sz="0" w:space="0" w:color="auto"/>
        <w:left w:val="none" w:sz="0" w:space="0" w:color="auto"/>
        <w:bottom w:val="none" w:sz="0" w:space="0" w:color="auto"/>
        <w:right w:val="none" w:sz="0" w:space="0" w:color="auto"/>
      </w:divBdr>
    </w:div>
    <w:div w:id="552812293">
      <w:bodyDiv w:val="1"/>
      <w:marLeft w:val="0"/>
      <w:marRight w:val="0"/>
      <w:marTop w:val="0"/>
      <w:marBottom w:val="0"/>
      <w:divBdr>
        <w:top w:val="none" w:sz="0" w:space="0" w:color="auto"/>
        <w:left w:val="none" w:sz="0" w:space="0" w:color="auto"/>
        <w:bottom w:val="none" w:sz="0" w:space="0" w:color="auto"/>
        <w:right w:val="none" w:sz="0" w:space="0" w:color="auto"/>
      </w:divBdr>
    </w:div>
    <w:div w:id="553738169">
      <w:bodyDiv w:val="1"/>
      <w:marLeft w:val="0"/>
      <w:marRight w:val="0"/>
      <w:marTop w:val="0"/>
      <w:marBottom w:val="0"/>
      <w:divBdr>
        <w:top w:val="none" w:sz="0" w:space="0" w:color="auto"/>
        <w:left w:val="none" w:sz="0" w:space="0" w:color="auto"/>
        <w:bottom w:val="none" w:sz="0" w:space="0" w:color="auto"/>
        <w:right w:val="none" w:sz="0" w:space="0" w:color="auto"/>
      </w:divBdr>
    </w:div>
    <w:div w:id="591814021">
      <w:bodyDiv w:val="1"/>
      <w:marLeft w:val="0"/>
      <w:marRight w:val="0"/>
      <w:marTop w:val="0"/>
      <w:marBottom w:val="0"/>
      <w:divBdr>
        <w:top w:val="none" w:sz="0" w:space="0" w:color="auto"/>
        <w:left w:val="none" w:sz="0" w:space="0" w:color="auto"/>
        <w:bottom w:val="none" w:sz="0" w:space="0" w:color="auto"/>
        <w:right w:val="none" w:sz="0" w:space="0" w:color="auto"/>
      </w:divBdr>
    </w:div>
    <w:div w:id="625356608">
      <w:bodyDiv w:val="1"/>
      <w:marLeft w:val="0"/>
      <w:marRight w:val="0"/>
      <w:marTop w:val="0"/>
      <w:marBottom w:val="0"/>
      <w:divBdr>
        <w:top w:val="none" w:sz="0" w:space="0" w:color="auto"/>
        <w:left w:val="none" w:sz="0" w:space="0" w:color="auto"/>
        <w:bottom w:val="none" w:sz="0" w:space="0" w:color="auto"/>
        <w:right w:val="none" w:sz="0" w:space="0" w:color="auto"/>
      </w:divBdr>
    </w:div>
    <w:div w:id="639505153">
      <w:bodyDiv w:val="1"/>
      <w:marLeft w:val="0"/>
      <w:marRight w:val="0"/>
      <w:marTop w:val="0"/>
      <w:marBottom w:val="0"/>
      <w:divBdr>
        <w:top w:val="none" w:sz="0" w:space="0" w:color="auto"/>
        <w:left w:val="none" w:sz="0" w:space="0" w:color="auto"/>
        <w:bottom w:val="none" w:sz="0" w:space="0" w:color="auto"/>
        <w:right w:val="none" w:sz="0" w:space="0" w:color="auto"/>
      </w:divBdr>
    </w:div>
    <w:div w:id="639923000">
      <w:bodyDiv w:val="1"/>
      <w:marLeft w:val="0"/>
      <w:marRight w:val="0"/>
      <w:marTop w:val="0"/>
      <w:marBottom w:val="0"/>
      <w:divBdr>
        <w:top w:val="none" w:sz="0" w:space="0" w:color="auto"/>
        <w:left w:val="none" w:sz="0" w:space="0" w:color="auto"/>
        <w:bottom w:val="none" w:sz="0" w:space="0" w:color="auto"/>
        <w:right w:val="none" w:sz="0" w:space="0" w:color="auto"/>
      </w:divBdr>
    </w:div>
    <w:div w:id="703139999">
      <w:bodyDiv w:val="1"/>
      <w:marLeft w:val="0"/>
      <w:marRight w:val="0"/>
      <w:marTop w:val="0"/>
      <w:marBottom w:val="0"/>
      <w:divBdr>
        <w:top w:val="none" w:sz="0" w:space="0" w:color="auto"/>
        <w:left w:val="none" w:sz="0" w:space="0" w:color="auto"/>
        <w:bottom w:val="none" w:sz="0" w:space="0" w:color="auto"/>
        <w:right w:val="none" w:sz="0" w:space="0" w:color="auto"/>
      </w:divBdr>
    </w:div>
    <w:div w:id="722026678">
      <w:bodyDiv w:val="1"/>
      <w:marLeft w:val="0"/>
      <w:marRight w:val="0"/>
      <w:marTop w:val="0"/>
      <w:marBottom w:val="0"/>
      <w:divBdr>
        <w:top w:val="none" w:sz="0" w:space="0" w:color="auto"/>
        <w:left w:val="none" w:sz="0" w:space="0" w:color="auto"/>
        <w:bottom w:val="none" w:sz="0" w:space="0" w:color="auto"/>
        <w:right w:val="none" w:sz="0" w:space="0" w:color="auto"/>
      </w:divBdr>
    </w:div>
    <w:div w:id="733314457">
      <w:bodyDiv w:val="1"/>
      <w:marLeft w:val="0"/>
      <w:marRight w:val="0"/>
      <w:marTop w:val="0"/>
      <w:marBottom w:val="0"/>
      <w:divBdr>
        <w:top w:val="none" w:sz="0" w:space="0" w:color="auto"/>
        <w:left w:val="none" w:sz="0" w:space="0" w:color="auto"/>
        <w:bottom w:val="none" w:sz="0" w:space="0" w:color="auto"/>
        <w:right w:val="none" w:sz="0" w:space="0" w:color="auto"/>
      </w:divBdr>
    </w:div>
    <w:div w:id="735978079">
      <w:bodyDiv w:val="1"/>
      <w:marLeft w:val="0"/>
      <w:marRight w:val="0"/>
      <w:marTop w:val="0"/>
      <w:marBottom w:val="0"/>
      <w:divBdr>
        <w:top w:val="none" w:sz="0" w:space="0" w:color="auto"/>
        <w:left w:val="none" w:sz="0" w:space="0" w:color="auto"/>
        <w:bottom w:val="none" w:sz="0" w:space="0" w:color="auto"/>
        <w:right w:val="none" w:sz="0" w:space="0" w:color="auto"/>
      </w:divBdr>
    </w:div>
    <w:div w:id="807669948">
      <w:bodyDiv w:val="1"/>
      <w:marLeft w:val="0"/>
      <w:marRight w:val="0"/>
      <w:marTop w:val="0"/>
      <w:marBottom w:val="0"/>
      <w:divBdr>
        <w:top w:val="none" w:sz="0" w:space="0" w:color="auto"/>
        <w:left w:val="none" w:sz="0" w:space="0" w:color="auto"/>
        <w:bottom w:val="none" w:sz="0" w:space="0" w:color="auto"/>
        <w:right w:val="none" w:sz="0" w:space="0" w:color="auto"/>
      </w:divBdr>
    </w:div>
    <w:div w:id="812065553">
      <w:bodyDiv w:val="1"/>
      <w:marLeft w:val="0"/>
      <w:marRight w:val="0"/>
      <w:marTop w:val="0"/>
      <w:marBottom w:val="0"/>
      <w:divBdr>
        <w:top w:val="none" w:sz="0" w:space="0" w:color="auto"/>
        <w:left w:val="none" w:sz="0" w:space="0" w:color="auto"/>
        <w:bottom w:val="none" w:sz="0" w:space="0" w:color="auto"/>
        <w:right w:val="none" w:sz="0" w:space="0" w:color="auto"/>
      </w:divBdr>
    </w:div>
    <w:div w:id="824246391">
      <w:bodyDiv w:val="1"/>
      <w:marLeft w:val="0"/>
      <w:marRight w:val="0"/>
      <w:marTop w:val="0"/>
      <w:marBottom w:val="0"/>
      <w:divBdr>
        <w:top w:val="none" w:sz="0" w:space="0" w:color="auto"/>
        <w:left w:val="none" w:sz="0" w:space="0" w:color="auto"/>
        <w:bottom w:val="none" w:sz="0" w:space="0" w:color="auto"/>
        <w:right w:val="none" w:sz="0" w:space="0" w:color="auto"/>
      </w:divBdr>
    </w:div>
    <w:div w:id="852570265">
      <w:bodyDiv w:val="1"/>
      <w:marLeft w:val="0"/>
      <w:marRight w:val="0"/>
      <w:marTop w:val="0"/>
      <w:marBottom w:val="0"/>
      <w:divBdr>
        <w:top w:val="none" w:sz="0" w:space="0" w:color="auto"/>
        <w:left w:val="none" w:sz="0" w:space="0" w:color="auto"/>
        <w:bottom w:val="none" w:sz="0" w:space="0" w:color="auto"/>
        <w:right w:val="none" w:sz="0" w:space="0" w:color="auto"/>
      </w:divBdr>
    </w:div>
    <w:div w:id="949043777">
      <w:bodyDiv w:val="1"/>
      <w:marLeft w:val="0"/>
      <w:marRight w:val="0"/>
      <w:marTop w:val="0"/>
      <w:marBottom w:val="0"/>
      <w:divBdr>
        <w:top w:val="none" w:sz="0" w:space="0" w:color="auto"/>
        <w:left w:val="none" w:sz="0" w:space="0" w:color="auto"/>
        <w:bottom w:val="none" w:sz="0" w:space="0" w:color="auto"/>
        <w:right w:val="none" w:sz="0" w:space="0" w:color="auto"/>
      </w:divBdr>
    </w:div>
    <w:div w:id="949238061">
      <w:bodyDiv w:val="1"/>
      <w:marLeft w:val="0"/>
      <w:marRight w:val="0"/>
      <w:marTop w:val="0"/>
      <w:marBottom w:val="0"/>
      <w:divBdr>
        <w:top w:val="none" w:sz="0" w:space="0" w:color="auto"/>
        <w:left w:val="none" w:sz="0" w:space="0" w:color="auto"/>
        <w:bottom w:val="none" w:sz="0" w:space="0" w:color="auto"/>
        <w:right w:val="none" w:sz="0" w:space="0" w:color="auto"/>
      </w:divBdr>
    </w:div>
    <w:div w:id="964501543">
      <w:bodyDiv w:val="1"/>
      <w:marLeft w:val="0"/>
      <w:marRight w:val="0"/>
      <w:marTop w:val="0"/>
      <w:marBottom w:val="0"/>
      <w:divBdr>
        <w:top w:val="none" w:sz="0" w:space="0" w:color="auto"/>
        <w:left w:val="none" w:sz="0" w:space="0" w:color="auto"/>
        <w:bottom w:val="none" w:sz="0" w:space="0" w:color="auto"/>
        <w:right w:val="none" w:sz="0" w:space="0" w:color="auto"/>
      </w:divBdr>
    </w:div>
    <w:div w:id="975765980">
      <w:bodyDiv w:val="1"/>
      <w:marLeft w:val="0"/>
      <w:marRight w:val="0"/>
      <w:marTop w:val="0"/>
      <w:marBottom w:val="0"/>
      <w:divBdr>
        <w:top w:val="none" w:sz="0" w:space="0" w:color="auto"/>
        <w:left w:val="none" w:sz="0" w:space="0" w:color="auto"/>
        <w:bottom w:val="none" w:sz="0" w:space="0" w:color="auto"/>
        <w:right w:val="none" w:sz="0" w:space="0" w:color="auto"/>
      </w:divBdr>
    </w:div>
    <w:div w:id="988824817">
      <w:bodyDiv w:val="1"/>
      <w:marLeft w:val="0"/>
      <w:marRight w:val="0"/>
      <w:marTop w:val="0"/>
      <w:marBottom w:val="0"/>
      <w:divBdr>
        <w:top w:val="none" w:sz="0" w:space="0" w:color="auto"/>
        <w:left w:val="none" w:sz="0" w:space="0" w:color="auto"/>
        <w:bottom w:val="none" w:sz="0" w:space="0" w:color="auto"/>
        <w:right w:val="none" w:sz="0" w:space="0" w:color="auto"/>
      </w:divBdr>
    </w:div>
    <w:div w:id="1046100163">
      <w:bodyDiv w:val="1"/>
      <w:marLeft w:val="0"/>
      <w:marRight w:val="0"/>
      <w:marTop w:val="0"/>
      <w:marBottom w:val="0"/>
      <w:divBdr>
        <w:top w:val="none" w:sz="0" w:space="0" w:color="auto"/>
        <w:left w:val="none" w:sz="0" w:space="0" w:color="auto"/>
        <w:bottom w:val="none" w:sz="0" w:space="0" w:color="auto"/>
        <w:right w:val="none" w:sz="0" w:space="0" w:color="auto"/>
      </w:divBdr>
    </w:div>
    <w:div w:id="1086340091">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
    <w:div w:id="1113670580">
      <w:bodyDiv w:val="1"/>
      <w:marLeft w:val="0"/>
      <w:marRight w:val="0"/>
      <w:marTop w:val="0"/>
      <w:marBottom w:val="0"/>
      <w:divBdr>
        <w:top w:val="none" w:sz="0" w:space="0" w:color="auto"/>
        <w:left w:val="none" w:sz="0" w:space="0" w:color="auto"/>
        <w:bottom w:val="none" w:sz="0" w:space="0" w:color="auto"/>
        <w:right w:val="none" w:sz="0" w:space="0" w:color="auto"/>
      </w:divBdr>
    </w:div>
    <w:div w:id="1119759685">
      <w:bodyDiv w:val="1"/>
      <w:marLeft w:val="0"/>
      <w:marRight w:val="0"/>
      <w:marTop w:val="0"/>
      <w:marBottom w:val="0"/>
      <w:divBdr>
        <w:top w:val="none" w:sz="0" w:space="0" w:color="auto"/>
        <w:left w:val="none" w:sz="0" w:space="0" w:color="auto"/>
        <w:bottom w:val="none" w:sz="0" w:space="0" w:color="auto"/>
        <w:right w:val="none" w:sz="0" w:space="0" w:color="auto"/>
      </w:divBdr>
    </w:div>
    <w:div w:id="1159881903">
      <w:bodyDiv w:val="1"/>
      <w:marLeft w:val="0"/>
      <w:marRight w:val="0"/>
      <w:marTop w:val="0"/>
      <w:marBottom w:val="0"/>
      <w:divBdr>
        <w:top w:val="none" w:sz="0" w:space="0" w:color="auto"/>
        <w:left w:val="none" w:sz="0" w:space="0" w:color="auto"/>
        <w:bottom w:val="none" w:sz="0" w:space="0" w:color="auto"/>
        <w:right w:val="none" w:sz="0" w:space="0" w:color="auto"/>
      </w:divBdr>
    </w:div>
    <w:div w:id="1166557607">
      <w:bodyDiv w:val="1"/>
      <w:marLeft w:val="0"/>
      <w:marRight w:val="0"/>
      <w:marTop w:val="0"/>
      <w:marBottom w:val="0"/>
      <w:divBdr>
        <w:top w:val="none" w:sz="0" w:space="0" w:color="auto"/>
        <w:left w:val="none" w:sz="0" w:space="0" w:color="auto"/>
        <w:bottom w:val="none" w:sz="0" w:space="0" w:color="auto"/>
        <w:right w:val="none" w:sz="0" w:space="0" w:color="auto"/>
      </w:divBdr>
    </w:div>
    <w:div w:id="1225525350">
      <w:bodyDiv w:val="1"/>
      <w:marLeft w:val="0"/>
      <w:marRight w:val="0"/>
      <w:marTop w:val="0"/>
      <w:marBottom w:val="0"/>
      <w:divBdr>
        <w:top w:val="none" w:sz="0" w:space="0" w:color="auto"/>
        <w:left w:val="none" w:sz="0" w:space="0" w:color="auto"/>
        <w:bottom w:val="none" w:sz="0" w:space="0" w:color="auto"/>
        <w:right w:val="none" w:sz="0" w:space="0" w:color="auto"/>
      </w:divBdr>
    </w:div>
    <w:div w:id="1232231173">
      <w:bodyDiv w:val="1"/>
      <w:marLeft w:val="0"/>
      <w:marRight w:val="0"/>
      <w:marTop w:val="0"/>
      <w:marBottom w:val="0"/>
      <w:divBdr>
        <w:top w:val="none" w:sz="0" w:space="0" w:color="auto"/>
        <w:left w:val="none" w:sz="0" w:space="0" w:color="auto"/>
        <w:bottom w:val="none" w:sz="0" w:space="0" w:color="auto"/>
        <w:right w:val="none" w:sz="0" w:space="0" w:color="auto"/>
      </w:divBdr>
    </w:div>
    <w:div w:id="1256590194">
      <w:bodyDiv w:val="1"/>
      <w:marLeft w:val="0"/>
      <w:marRight w:val="0"/>
      <w:marTop w:val="0"/>
      <w:marBottom w:val="0"/>
      <w:divBdr>
        <w:top w:val="none" w:sz="0" w:space="0" w:color="auto"/>
        <w:left w:val="none" w:sz="0" w:space="0" w:color="auto"/>
        <w:bottom w:val="none" w:sz="0" w:space="0" w:color="auto"/>
        <w:right w:val="none" w:sz="0" w:space="0" w:color="auto"/>
      </w:divBdr>
    </w:div>
    <w:div w:id="1270160859">
      <w:bodyDiv w:val="1"/>
      <w:marLeft w:val="0"/>
      <w:marRight w:val="0"/>
      <w:marTop w:val="0"/>
      <w:marBottom w:val="0"/>
      <w:divBdr>
        <w:top w:val="none" w:sz="0" w:space="0" w:color="auto"/>
        <w:left w:val="none" w:sz="0" w:space="0" w:color="auto"/>
        <w:bottom w:val="none" w:sz="0" w:space="0" w:color="auto"/>
        <w:right w:val="none" w:sz="0" w:space="0" w:color="auto"/>
      </w:divBdr>
    </w:div>
    <w:div w:id="1332760392">
      <w:bodyDiv w:val="1"/>
      <w:marLeft w:val="0"/>
      <w:marRight w:val="0"/>
      <w:marTop w:val="0"/>
      <w:marBottom w:val="0"/>
      <w:divBdr>
        <w:top w:val="none" w:sz="0" w:space="0" w:color="auto"/>
        <w:left w:val="none" w:sz="0" w:space="0" w:color="auto"/>
        <w:bottom w:val="none" w:sz="0" w:space="0" w:color="auto"/>
        <w:right w:val="none" w:sz="0" w:space="0" w:color="auto"/>
      </w:divBdr>
    </w:div>
    <w:div w:id="1337416929">
      <w:bodyDiv w:val="1"/>
      <w:marLeft w:val="0"/>
      <w:marRight w:val="0"/>
      <w:marTop w:val="0"/>
      <w:marBottom w:val="0"/>
      <w:divBdr>
        <w:top w:val="none" w:sz="0" w:space="0" w:color="auto"/>
        <w:left w:val="none" w:sz="0" w:space="0" w:color="auto"/>
        <w:bottom w:val="none" w:sz="0" w:space="0" w:color="auto"/>
        <w:right w:val="none" w:sz="0" w:space="0" w:color="auto"/>
      </w:divBdr>
    </w:div>
    <w:div w:id="1381515689">
      <w:bodyDiv w:val="1"/>
      <w:marLeft w:val="0"/>
      <w:marRight w:val="0"/>
      <w:marTop w:val="0"/>
      <w:marBottom w:val="0"/>
      <w:divBdr>
        <w:top w:val="none" w:sz="0" w:space="0" w:color="auto"/>
        <w:left w:val="none" w:sz="0" w:space="0" w:color="auto"/>
        <w:bottom w:val="none" w:sz="0" w:space="0" w:color="auto"/>
        <w:right w:val="none" w:sz="0" w:space="0" w:color="auto"/>
      </w:divBdr>
    </w:div>
    <w:div w:id="1458836979">
      <w:bodyDiv w:val="1"/>
      <w:marLeft w:val="0"/>
      <w:marRight w:val="0"/>
      <w:marTop w:val="0"/>
      <w:marBottom w:val="0"/>
      <w:divBdr>
        <w:top w:val="none" w:sz="0" w:space="0" w:color="auto"/>
        <w:left w:val="none" w:sz="0" w:space="0" w:color="auto"/>
        <w:bottom w:val="none" w:sz="0" w:space="0" w:color="auto"/>
        <w:right w:val="none" w:sz="0" w:space="0" w:color="auto"/>
      </w:divBdr>
    </w:div>
    <w:div w:id="1468744146">
      <w:bodyDiv w:val="1"/>
      <w:marLeft w:val="0"/>
      <w:marRight w:val="0"/>
      <w:marTop w:val="0"/>
      <w:marBottom w:val="0"/>
      <w:divBdr>
        <w:top w:val="none" w:sz="0" w:space="0" w:color="auto"/>
        <w:left w:val="none" w:sz="0" w:space="0" w:color="auto"/>
        <w:bottom w:val="none" w:sz="0" w:space="0" w:color="auto"/>
        <w:right w:val="none" w:sz="0" w:space="0" w:color="auto"/>
      </w:divBdr>
    </w:div>
    <w:div w:id="1470853747">
      <w:bodyDiv w:val="1"/>
      <w:marLeft w:val="0"/>
      <w:marRight w:val="0"/>
      <w:marTop w:val="0"/>
      <w:marBottom w:val="0"/>
      <w:divBdr>
        <w:top w:val="none" w:sz="0" w:space="0" w:color="auto"/>
        <w:left w:val="none" w:sz="0" w:space="0" w:color="auto"/>
        <w:bottom w:val="none" w:sz="0" w:space="0" w:color="auto"/>
        <w:right w:val="none" w:sz="0" w:space="0" w:color="auto"/>
      </w:divBdr>
    </w:div>
    <w:div w:id="1474568408">
      <w:bodyDiv w:val="1"/>
      <w:marLeft w:val="0"/>
      <w:marRight w:val="0"/>
      <w:marTop w:val="0"/>
      <w:marBottom w:val="0"/>
      <w:divBdr>
        <w:top w:val="none" w:sz="0" w:space="0" w:color="auto"/>
        <w:left w:val="none" w:sz="0" w:space="0" w:color="auto"/>
        <w:bottom w:val="none" w:sz="0" w:space="0" w:color="auto"/>
        <w:right w:val="none" w:sz="0" w:space="0" w:color="auto"/>
      </w:divBdr>
    </w:div>
    <w:div w:id="1509908126">
      <w:bodyDiv w:val="1"/>
      <w:marLeft w:val="0"/>
      <w:marRight w:val="0"/>
      <w:marTop w:val="0"/>
      <w:marBottom w:val="0"/>
      <w:divBdr>
        <w:top w:val="none" w:sz="0" w:space="0" w:color="auto"/>
        <w:left w:val="none" w:sz="0" w:space="0" w:color="auto"/>
        <w:bottom w:val="none" w:sz="0" w:space="0" w:color="auto"/>
        <w:right w:val="none" w:sz="0" w:space="0" w:color="auto"/>
      </w:divBdr>
    </w:div>
    <w:div w:id="1518347052">
      <w:bodyDiv w:val="1"/>
      <w:marLeft w:val="0"/>
      <w:marRight w:val="0"/>
      <w:marTop w:val="0"/>
      <w:marBottom w:val="0"/>
      <w:divBdr>
        <w:top w:val="none" w:sz="0" w:space="0" w:color="auto"/>
        <w:left w:val="none" w:sz="0" w:space="0" w:color="auto"/>
        <w:bottom w:val="none" w:sz="0" w:space="0" w:color="auto"/>
        <w:right w:val="none" w:sz="0" w:space="0" w:color="auto"/>
      </w:divBdr>
    </w:div>
    <w:div w:id="1549608479">
      <w:bodyDiv w:val="1"/>
      <w:marLeft w:val="0"/>
      <w:marRight w:val="0"/>
      <w:marTop w:val="0"/>
      <w:marBottom w:val="0"/>
      <w:divBdr>
        <w:top w:val="none" w:sz="0" w:space="0" w:color="auto"/>
        <w:left w:val="none" w:sz="0" w:space="0" w:color="auto"/>
        <w:bottom w:val="none" w:sz="0" w:space="0" w:color="auto"/>
        <w:right w:val="none" w:sz="0" w:space="0" w:color="auto"/>
      </w:divBdr>
    </w:div>
    <w:div w:id="1551914497">
      <w:bodyDiv w:val="1"/>
      <w:marLeft w:val="0"/>
      <w:marRight w:val="0"/>
      <w:marTop w:val="0"/>
      <w:marBottom w:val="0"/>
      <w:divBdr>
        <w:top w:val="none" w:sz="0" w:space="0" w:color="auto"/>
        <w:left w:val="none" w:sz="0" w:space="0" w:color="auto"/>
        <w:bottom w:val="none" w:sz="0" w:space="0" w:color="auto"/>
        <w:right w:val="none" w:sz="0" w:space="0" w:color="auto"/>
      </w:divBdr>
    </w:div>
    <w:div w:id="1602571662">
      <w:bodyDiv w:val="1"/>
      <w:marLeft w:val="0"/>
      <w:marRight w:val="0"/>
      <w:marTop w:val="0"/>
      <w:marBottom w:val="0"/>
      <w:divBdr>
        <w:top w:val="none" w:sz="0" w:space="0" w:color="auto"/>
        <w:left w:val="none" w:sz="0" w:space="0" w:color="auto"/>
        <w:bottom w:val="none" w:sz="0" w:space="0" w:color="auto"/>
        <w:right w:val="none" w:sz="0" w:space="0" w:color="auto"/>
      </w:divBdr>
    </w:div>
    <w:div w:id="1605385879">
      <w:bodyDiv w:val="1"/>
      <w:marLeft w:val="0"/>
      <w:marRight w:val="0"/>
      <w:marTop w:val="0"/>
      <w:marBottom w:val="0"/>
      <w:divBdr>
        <w:top w:val="none" w:sz="0" w:space="0" w:color="auto"/>
        <w:left w:val="none" w:sz="0" w:space="0" w:color="auto"/>
        <w:bottom w:val="none" w:sz="0" w:space="0" w:color="auto"/>
        <w:right w:val="none" w:sz="0" w:space="0" w:color="auto"/>
      </w:divBdr>
    </w:div>
    <w:div w:id="1620065215">
      <w:bodyDiv w:val="1"/>
      <w:marLeft w:val="0"/>
      <w:marRight w:val="0"/>
      <w:marTop w:val="0"/>
      <w:marBottom w:val="0"/>
      <w:divBdr>
        <w:top w:val="none" w:sz="0" w:space="0" w:color="auto"/>
        <w:left w:val="none" w:sz="0" w:space="0" w:color="auto"/>
        <w:bottom w:val="none" w:sz="0" w:space="0" w:color="auto"/>
        <w:right w:val="none" w:sz="0" w:space="0" w:color="auto"/>
      </w:divBdr>
    </w:div>
    <w:div w:id="1631395521">
      <w:bodyDiv w:val="1"/>
      <w:marLeft w:val="0"/>
      <w:marRight w:val="0"/>
      <w:marTop w:val="0"/>
      <w:marBottom w:val="0"/>
      <w:divBdr>
        <w:top w:val="none" w:sz="0" w:space="0" w:color="auto"/>
        <w:left w:val="none" w:sz="0" w:space="0" w:color="auto"/>
        <w:bottom w:val="none" w:sz="0" w:space="0" w:color="auto"/>
        <w:right w:val="none" w:sz="0" w:space="0" w:color="auto"/>
      </w:divBdr>
    </w:div>
    <w:div w:id="1634171665">
      <w:bodyDiv w:val="1"/>
      <w:marLeft w:val="0"/>
      <w:marRight w:val="0"/>
      <w:marTop w:val="0"/>
      <w:marBottom w:val="0"/>
      <w:divBdr>
        <w:top w:val="none" w:sz="0" w:space="0" w:color="auto"/>
        <w:left w:val="none" w:sz="0" w:space="0" w:color="auto"/>
        <w:bottom w:val="none" w:sz="0" w:space="0" w:color="auto"/>
        <w:right w:val="none" w:sz="0" w:space="0" w:color="auto"/>
      </w:divBdr>
    </w:div>
    <w:div w:id="1647971835">
      <w:bodyDiv w:val="1"/>
      <w:marLeft w:val="0"/>
      <w:marRight w:val="0"/>
      <w:marTop w:val="0"/>
      <w:marBottom w:val="0"/>
      <w:divBdr>
        <w:top w:val="none" w:sz="0" w:space="0" w:color="auto"/>
        <w:left w:val="none" w:sz="0" w:space="0" w:color="auto"/>
        <w:bottom w:val="none" w:sz="0" w:space="0" w:color="auto"/>
        <w:right w:val="none" w:sz="0" w:space="0" w:color="auto"/>
      </w:divBdr>
    </w:div>
    <w:div w:id="1657997449">
      <w:bodyDiv w:val="1"/>
      <w:marLeft w:val="0"/>
      <w:marRight w:val="0"/>
      <w:marTop w:val="0"/>
      <w:marBottom w:val="0"/>
      <w:divBdr>
        <w:top w:val="none" w:sz="0" w:space="0" w:color="auto"/>
        <w:left w:val="none" w:sz="0" w:space="0" w:color="auto"/>
        <w:bottom w:val="none" w:sz="0" w:space="0" w:color="auto"/>
        <w:right w:val="none" w:sz="0" w:space="0" w:color="auto"/>
      </w:divBdr>
    </w:div>
    <w:div w:id="1674994675">
      <w:bodyDiv w:val="1"/>
      <w:marLeft w:val="0"/>
      <w:marRight w:val="0"/>
      <w:marTop w:val="0"/>
      <w:marBottom w:val="0"/>
      <w:divBdr>
        <w:top w:val="none" w:sz="0" w:space="0" w:color="auto"/>
        <w:left w:val="none" w:sz="0" w:space="0" w:color="auto"/>
        <w:bottom w:val="none" w:sz="0" w:space="0" w:color="auto"/>
        <w:right w:val="none" w:sz="0" w:space="0" w:color="auto"/>
      </w:divBdr>
    </w:div>
    <w:div w:id="1679120634">
      <w:bodyDiv w:val="1"/>
      <w:marLeft w:val="0"/>
      <w:marRight w:val="0"/>
      <w:marTop w:val="0"/>
      <w:marBottom w:val="0"/>
      <w:divBdr>
        <w:top w:val="none" w:sz="0" w:space="0" w:color="auto"/>
        <w:left w:val="none" w:sz="0" w:space="0" w:color="auto"/>
        <w:bottom w:val="none" w:sz="0" w:space="0" w:color="auto"/>
        <w:right w:val="none" w:sz="0" w:space="0" w:color="auto"/>
      </w:divBdr>
    </w:div>
    <w:div w:id="1840732513">
      <w:bodyDiv w:val="1"/>
      <w:marLeft w:val="0"/>
      <w:marRight w:val="0"/>
      <w:marTop w:val="0"/>
      <w:marBottom w:val="0"/>
      <w:divBdr>
        <w:top w:val="none" w:sz="0" w:space="0" w:color="auto"/>
        <w:left w:val="none" w:sz="0" w:space="0" w:color="auto"/>
        <w:bottom w:val="none" w:sz="0" w:space="0" w:color="auto"/>
        <w:right w:val="none" w:sz="0" w:space="0" w:color="auto"/>
      </w:divBdr>
    </w:div>
    <w:div w:id="1841970638">
      <w:bodyDiv w:val="1"/>
      <w:marLeft w:val="0"/>
      <w:marRight w:val="0"/>
      <w:marTop w:val="0"/>
      <w:marBottom w:val="0"/>
      <w:divBdr>
        <w:top w:val="none" w:sz="0" w:space="0" w:color="auto"/>
        <w:left w:val="none" w:sz="0" w:space="0" w:color="auto"/>
        <w:bottom w:val="none" w:sz="0" w:space="0" w:color="auto"/>
        <w:right w:val="none" w:sz="0" w:space="0" w:color="auto"/>
      </w:divBdr>
    </w:div>
    <w:div w:id="1877499521">
      <w:bodyDiv w:val="1"/>
      <w:marLeft w:val="0"/>
      <w:marRight w:val="0"/>
      <w:marTop w:val="0"/>
      <w:marBottom w:val="0"/>
      <w:divBdr>
        <w:top w:val="none" w:sz="0" w:space="0" w:color="auto"/>
        <w:left w:val="none" w:sz="0" w:space="0" w:color="auto"/>
        <w:bottom w:val="none" w:sz="0" w:space="0" w:color="auto"/>
        <w:right w:val="none" w:sz="0" w:space="0" w:color="auto"/>
      </w:divBdr>
    </w:div>
    <w:div w:id="1881479800">
      <w:bodyDiv w:val="1"/>
      <w:marLeft w:val="0"/>
      <w:marRight w:val="0"/>
      <w:marTop w:val="0"/>
      <w:marBottom w:val="0"/>
      <w:divBdr>
        <w:top w:val="none" w:sz="0" w:space="0" w:color="auto"/>
        <w:left w:val="none" w:sz="0" w:space="0" w:color="auto"/>
        <w:bottom w:val="none" w:sz="0" w:space="0" w:color="auto"/>
        <w:right w:val="none" w:sz="0" w:space="0" w:color="auto"/>
      </w:divBdr>
    </w:div>
    <w:div w:id="1968000034">
      <w:bodyDiv w:val="1"/>
      <w:marLeft w:val="0"/>
      <w:marRight w:val="0"/>
      <w:marTop w:val="0"/>
      <w:marBottom w:val="0"/>
      <w:divBdr>
        <w:top w:val="none" w:sz="0" w:space="0" w:color="auto"/>
        <w:left w:val="none" w:sz="0" w:space="0" w:color="auto"/>
        <w:bottom w:val="none" w:sz="0" w:space="0" w:color="auto"/>
        <w:right w:val="none" w:sz="0" w:space="0" w:color="auto"/>
      </w:divBdr>
    </w:div>
    <w:div w:id="1998262709">
      <w:bodyDiv w:val="1"/>
      <w:marLeft w:val="0"/>
      <w:marRight w:val="0"/>
      <w:marTop w:val="0"/>
      <w:marBottom w:val="0"/>
      <w:divBdr>
        <w:top w:val="none" w:sz="0" w:space="0" w:color="auto"/>
        <w:left w:val="none" w:sz="0" w:space="0" w:color="auto"/>
        <w:bottom w:val="none" w:sz="0" w:space="0" w:color="auto"/>
        <w:right w:val="none" w:sz="0" w:space="0" w:color="auto"/>
      </w:divBdr>
    </w:div>
    <w:div w:id="2026788595">
      <w:bodyDiv w:val="1"/>
      <w:marLeft w:val="0"/>
      <w:marRight w:val="0"/>
      <w:marTop w:val="0"/>
      <w:marBottom w:val="0"/>
      <w:divBdr>
        <w:top w:val="none" w:sz="0" w:space="0" w:color="auto"/>
        <w:left w:val="none" w:sz="0" w:space="0" w:color="auto"/>
        <w:bottom w:val="none" w:sz="0" w:space="0" w:color="auto"/>
        <w:right w:val="none" w:sz="0" w:space="0" w:color="auto"/>
      </w:divBdr>
    </w:div>
    <w:div w:id="2031301021">
      <w:bodyDiv w:val="1"/>
      <w:marLeft w:val="0"/>
      <w:marRight w:val="0"/>
      <w:marTop w:val="0"/>
      <w:marBottom w:val="0"/>
      <w:divBdr>
        <w:top w:val="none" w:sz="0" w:space="0" w:color="auto"/>
        <w:left w:val="none" w:sz="0" w:space="0" w:color="auto"/>
        <w:bottom w:val="none" w:sz="0" w:space="0" w:color="auto"/>
        <w:right w:val="none" w:sz="0" w:space="0" w:color="auto"/>
      </w:divBdr>
    </w:div>
    <w:div w:id="2054697550">
      <w:bodyDiv w:val="1"/>
      <w:marLeft w:val="0"/>
      <w:marRight w:val="0"/>
      <w:marTop w:val="0"/>
      <w:marBottom w:val="0"/>
      <w:divBdr>
        <w:top w:val="none" w:sz="0" w:space="0" w:color="auto"/>
        <w:left w:val="none" w:sz="0" w:space="0" w:color="auto"/>
        <w:bottom w:val="none" w:sz="0" w:space="0" w:color="auto"/>
        <w:right w:val="none" w:sz="0" w:space="0" w:color="auto"/>
      </w:divBdr>
    </w:div>
    <w:div w:id="2085032124">
      <w:bodyDiv w:val="1"/>
      <w:marLeft w:val="0"/>
      <w:marRight w:val="0"/>
      <w:marTop w:val="0"/>
      <w:marBottom w:val="0"/>
      <w:divBdr>
        <w:top w:val="none" w:sz="0" w:space="0" w:color="auto"/>
        <w:left w:val="none" w:sz="0" w:space="0" w:color="auto"/>
        <w:bottom w:val="none" w:sz="0" w:space="0" w:color="auto"/>
        <w:right w:val="none" w:sz="0" w:space="0" w:color="auto"/>
      </w:divBdr>
    </w:div>
    <w:div w:id="2099978784">
      <w:bodyDiv w:val="1"/>
      <w:marLeft w:val="0"/>
      <w:marRight w:val="0"/>
      <w:marTop w:val="0"/>
      <w:marBottom w:val="0"/>
      <w:divBdr>
        <w:top w:val="none" w:sz="0" w:space="0" w:color="auto"/>
        <w:left w:val="none" w:sz="0" w:space="0" w:color="auto"/>
        <w:bottom w:val="none" w:sz="0" w:space="0" w:color="auto"/>
        <w:right w:val="none" w:sz="0" w:space="0" w:color="auto"/>
      </w:divBdr>
    </w:div>
    <w:div w:id="21009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6.xml"/><Relationship Id="rId39" Type="http://schemas.openxmlformats.org/officeDocument/2006/relationships/header" Target="header19.xml"/><Relationship Id="rId21" Type="http://schemas.openxmlformats.org/officeDocument/2006/relationships/header" Target="header10.xml"/><Relationship Id="rId34" Type="http://schemas.openxmlformats.org/officeDocument/2006/relationships/header" Target="header17.xml"/><Relationship Id="rId42" Type="http://schemas.openxmlformats.org/officeDocument/2006/relationships/footer" Target="footer14.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28" Type="http://schemas.openxmlformats.org/officeDocument/2006/relationships/header" Target="header14.xml"/><Relationship Id="rId36" Type="http://schemas.openxmlformats.org/officeDocument/2006/relationships/footer" Target="footer11.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eader" Target="header15.xm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3.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21.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header" Target="header16.xml"/><Relationship Id="rId38" Type="http://schemas.openxmlformats.org/officeDocument/2006/relationships/footer" Target="footer12.xml"/><Relationship Id="rId46" Type="http://schemas.openxmlformats.org/officeDocument/2006/relationships/footer" Target="footer16.xml"/><Relationship Id="rId20" Type="http://schemas.openxmlformats.org/officeDocument/2006/relationships/header" Target="header9.xml"/><Relationship Id="rId41" Type="http://schemas.openxmlformats.org/officeDocument/2006/relationships/footer" Target="footer13.xml"/></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4.png"/></Relationships>
</file>

<file path=word/_rels/header20.xml.rels><?xml version="1.0" encoding="UTF-8" standalone="yes"?>
<Relationships xmlns="http://schemas.openxmlformats.org/package/2006/relationships"><Relationship Id="rId2" Type="http://schemas.openxmlformats.org/officeDocument/2006/relationships/image" Target="media/image6.gif"/><Relationship Id="rId1" Type="http://schemas.openxmlformats.org/officeDocument/2006/relationships/image" Target="media/image5.gif"/></Relationships>
</file>

<file path=word/_rels/header21.xml.rels><?xml version="1.0" encoding="UTF-8" standalone="yes"?>
<Relationships xmlns="http://schemas.openxmlformats.org/package/2006/relationships"><Relationship Id="rId1" Type="http://schemas.openxmlformats.org/officeDocument/2006/relationships/image" Target="media/image5.gif"/></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9DD16"/>
        </a:solidFill>
        <a:ln w="12700" cap="flat" cmpd="sng" algn="ctr">
          <a:noFill/>
          <a:prstDash val="solid"/>
          <a:miter lim="800000"/>
        </a:ln>
        <a:effectLst/>
      </a:spPr>
      <a:bodyPr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841A7-118E-4ED3-8C19-8031C3B6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7280</TotalTime>
  <Pages>80</Pages>
  <Words>40382</Words>
  <Characters>218063</Characters>
  <Application>Microsoft Office Word</Application>
  <DocSecurity>0</DocSecurity>
  <Lines>1817</Lines>
  <Paragraphs>515</Paragraphs>
  <ScaleCrop>false</ScaleCrop>
  <HeadingPairs>
    <vt:vector size="2" baseType="variant">
      <vt:variant>
        <vt:lpstr>Título</vt:lpstr>
      </vt:variant>
      <vt:variant>
        <vt:i4>1</vt:i4>
      </vt:variant>
    </vt:vector>
  </HeadingPairs>
  <TitlesOfParts>
    <vt:vector size="1" baseType="lpstr">
      <vt:lpstr/>
    </vt:vector>
  </TitlesOfParts>
  <Company>BANCO DO BRASIL S.A.</Company>
  <LinksUpToDate>false</LinksUpToDate>
  <CharactersWithSpaces>257930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Nogueira Dias</dc:creator>
  <cp:keywords/>
  <dc:description/>
  <cp:lastModifiedBy>Rummenigue Lima</cp:lastModifiedBy>
  <cp:revision>1035</cp:revision>
  <cp:lastPrinted>2023-02-09T00:00:00Z</cp:lastPrinted>
  <dcterms:created xsi:type="dcterms:W3CDTF">2020-02-06T19:06:00Z</dcterms:created>
  <dcterms:modified xsi:type="dcterms:W3CDTF">2023-02-09T00:03:00Z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Enabled">
    <vt:lpwstr>true</vt:lpwstr>
  </property>
  <property fmtid="{D5CDD505-2E9C-101B-9397-08002B2CF9AE}" pid="3" name="MSIP_Label_40881dc9-f7f2-41de-a334-ceff3dc15b31_SetDate">
    <vt:lpwstr>2023-02-09T00:03:16Z</vt:lpwstr>
  </property>
  <property fmtid="{D5CDD505-2E9C-101B-9397-08002B2CF9AE}" pid="4" name="MSIP_Label_40881dc9-f7f2-41de-a334-ceff3dc15b31_Method">
    <vt:lpwstr>Standard</vt:lpwstr>
  </property>
  <property fmtid="{D5CDD505-2E9C-101B-9397-08002B2CF9AE}" pid="5" name="MSIP_Label_40881dc9-f7f2-41de-a334-ceff3dc15b31_Name">
    <vt:lpwstr>40881dc9-f7f2-41de-a334-ceff3dc15b31</vt:lpwstr>
  </property>
  <property fmtid="{D5CDD505-2E9C-101B-9397-08002B2CF9AE}" pid="6" name="MSIP_Label_40881dc9-f7f2-41de-a334-ceff3dc15b31_SiteId">
    <vt:lpwstr>ea0c2907-38d2-4181-8750-b0b190b60443</vt:lpwstr>
  </property>
  <property fmtid="{D5CDD505-2E9C-101B-9397-08002B2CF9AE}" pid="7" name="MSIP_Label_40881dc9-f7f2-41de-a334-ceff3dc15b31_ActionId">
    <vt:lpwstr>b3ab8656-0a79-49e0-9a28-a4c5c7e1ac31</vt:lpwstr>
  </property>
  <property fmtid="{D5CDD505-2E9C-101B-9397-08002B2CF9AE}" pid="8" name="MSIP_Label_40881dc9-f7f2-41de-a334-ceff3dc15b31_ContentBits">
    <vt:lpwstr>1</vt:lpwstr>
  </property>
</Properties>
</file>